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36"/>
          <w:szCs w:val="36"/>
        </w:rPr>
      </w:pPr>
      <w:r>
        <w:rPr>
          <w:rFonts w:ascii="方正小标宋_GBK" w:hAnsi="方正小标宋_GBK" w:eastAsia="方正小标宋_GBK" w:cs="方正小标宋_GBK"/>
          <w:sz w:val="36"/>
          <w:szCs w:val="36"/>
        </w:rPr>
        <w:t>重庆市荣昌区清升镇畜牧服务中心</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36"/>
          <w:szCs w:val="36"/>
          <w:shd w:val="clear" w:color="auto" w:fill="FFFFFF"/>
        </w:rPr>
      </w:pPr>
      <w:r>
        <w:rPr>
          <w:rFonts w:hint="default" w:ascii="Times New Roman" w:hAnsi="Times New Roman" w:eastAsia="方正小标宋_GBK" w:cs="Times New Roman"/>
          <w:sz w:val="36"/>
          <w:szCs w:val="36"/>
          <w:shd w:val="clear" w:color="auto" w:fill="FFFFFF"/>
        </w:rPr>
        <w:t>2024</w:t>
      </w:r>
      <w:r>
        <w:rPr>
          <w:rFonts w:ascii="方正小标宋_GBK" w:hAnsi="方正小标宋_GBK" w:eastAsia="方正小标宋_GBK" w:cs="方正小标宋_GBK"/>
          <w:sz w:val="36"/>
          <w:szCs w:val="36"/>
          <w:shd w:val="clear" w:color="auto" w:fill="FFFFFF"/>
        </w:rPr>
        <w:t>年度决算公开说明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基本情况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本单位为镇政府管理的正科级全额拨款事业单位(公益-类)。宗旨:为畜牧业发展提供服务和技术保障。主要职责:实施动物疫病的防疫、强制免疫，协助做好动物、动物产品检疫、兽药、饲料等养殖业投入品及畜产品的技术服务等工作;负责动物疫情调查、监测、报告，畜牧生产指导，畜牧兽医技术推广和畜牧业生产信息统计等工作。</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楷体" w:hAnsi="楷体" w:eastAsia="楷体" w:cs="楷体"/>
          <w:sz w:val="32"/>
          <w:szCs w:val="32"/>
          <w:shd w:val="clear" w:color="auto" w:fill="FFFFFF"/>
        </w:rPr>
      </w:pPr>
      <w:r>
        <w:rPr>
          <w:rStyle w:val="10"/>
          <w:rFonts w:ascii="楷体" w:hAnsi="楷体" w:eastAsia="楷体" w:cs="楷体"/>
          <w:sz w:val="32"/>
          <w:szCs w:val="32"/>
          <w:shd w:val="clear" w:color="auto" w:fill="FFFFFF"/>
        </w:rPr>
        <w:t>（二）机构设置</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shd w:val="clear" w:color="auto" w:fill="FFFFFF"/>
          <w:lang w:eastAsia="zh-CN"/>
        </w:rPr>
        <w:t>从预算单位构成看，纳入本部门202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lang w:eastAsia="zh-CN"/>
        </w:rPr>
        <w:t>年度决算编制的二级预算单位主要包括</w:t>
      </w:r>
      <w:r>
        <w:rPr>
          <w:rFonts w:hint="eastAsia" w:ascii="方正仿宋_GBK" w:hAnsi="方正仿宋_GBK" w:eastAsia="方正仿宋_GBK" w:cs="方正仿宋_GBK"/>
          <w:sz w:val="32"/>
          <w:szCs w:val="32"/>
          <w:shd w:val="clear" w:color="auto" w:fill="FFFFFF"/>
          <w:lang w:val="en-US" w:eastAsia="zh-CN"/>
        </w:rPr>
        <w:t>重庆市荣昌区清升镇畜牧服务中心。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6"/>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152.27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收、支与2023年度相比，减少7.36万元，下降4.6%</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本年度减少两名人员，人员经费和公用经费减少。</w:t>
      </w:r>
    </w:p>
    <w:p>
      <w:pPr>
        <w:pStyle w:val="6"/>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hint="eastAsia" w:ascii="Times New Roman" w:hAnsi="Times New Roman" w:eastAsia="方正仿宋_GBK"/>
          <w:sz w:val="32"/>
          <w:szCs w:val="32"/>
          <w:shd w:val="clear" w:color="auto" w:fill="FFFFFF"/>
          <w:lang w:val="en-US" w:eastAsia="zh-CN"/>
        </w:rPr>
        <w:t>1</w:t>
      </w:r>
      <w:r>
        <w:rPr>
          <w:rStyle w:val="10"/>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152.27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与2023年度相比，减少7.36万元，下降4.6%</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本年度减少两名人员，人员经费和公用经费减少。</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152.27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hint="eastAsia" w:ascii="Times New Roman" w:hAnsi="Times New Roman" w:eastAsia="方正仿宋_GBK"/>
          <w:sz w:val="32"/>
          <w:szCs w:val="32"/>
          <w:shd w:val="clear" w:color="auto" w:fill="FFFFFF"/>
          <w:lang w:val="en-US" w:eastAsia="zh-CN"/>
        </w:rPr>
        <w:t>2</w:t>
      </w:r>
      <w:r>
        <w:rPr>
          <w:rStyle w:val="10"/>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152.27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与2023年度相比，减少7.36万元，下降4.6%</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本年度减少两名人员，人员经费和公用经费减少。</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152.27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hint="eastAsia" w:ascii="Times New Roman" w:hAnsi="Times New Roman" w:eastAsia="方正仿宋_GBK"/>
          <w:sz w:val="32"/>
          <w:szCs w:val="32"/>
          <w:shd w:val="clear" w:color="auto" w:fill="FFFFFF"/>
          <w:lang w:val="en-US" w:eastAsia="zh-CN"/>
        </w:rPr>
        <w:t>3</w:t>
      </w:r>
      <w:r>
        <w:rPr>
          <w:rStyle w:val="10"/>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default" w:ascii="方正仿宋_GBK" w:hAnsi="方正仿宋_GBK" w:eastAsia="方正仿宋_GBK" w:cs="方正仿宋_GBK"/>
          <w:sz w:val="32"/>
          <w:szCs w:val="32"/>
          <w:shd w:val="clear" w:color="auto" w:fill="FFFFFF"/>
          <w:lang w:val="en-US" w:eastAsia="zh-CN"/>
        </w:rPr>
        <w:t>202</w:t>
      </w:r>
      <w:r>
        <w:rPr>
          <w:rFonts w:hint="eastAsia" w:ascii="方正仿宋_GBK" w:hAnsi="方正仿宋_GBK" w:eastAsia="方正仿宋_GBK" w:cs="方正仿宋_GBK"/>
          <w:sz w:val="32"/>
          <w:szCs w:val="32"/>
          <w:shd w:val="clear" w:color="auto" w:fill="FFFFFF"/>
          <w:lang w:val="en-US" w:eastAsia="zh-CN"/>
        </w:rPr>
        <w:t>4</w:t>
      </w:r>
      <w:r>
        <w:rPr>
          <w:rFonts w:hint="default" w:ascii="方正仿宋_GBK" w:hAnsi="方正仿宋_GBK" w:eastAsia="方正仿宋_GBK" w:cs="方正仿宋_GBK"/>
          <w:sz w:val="32"/>
          <w:szCs w:val="32"/>
          <w:shd w:val="clear" w:color="auto" w:fill="FFFFFF"/>
          <w:lang w:val="en-US" w:eastAsia="zh-CN"/>
        </w:rPr>
        <w:t>年度</w:t>
      </w:r>
      <w:r>
        <w:rPr>
          <w:rFonts w:hint="eastAsia" w:ascii="方正仿宋_GBK" w:hAnsi="方正仿宋_GBK" w:eastAsia="方正仿宋_GBK" w:cs="方正仿宋_GBK"/>
          <w:sz w:val="32"/>
          <w:szCs w:val="32"/>
          <w:shd w:val="clear" w:color="auto" w:fill="FFFFFF"/>
          <w:lang w:val="en-US" w:eastAsia="zh-CN"/>
        </w:rPr>
        <w:t>无</w:t>
      </w:r>
      <w:r>
        <w:rPr>
          <w:rFonts w:hint="default" w:ascii="方正仿宋_GBK" w:hAnsi="方正仿宋_GBK" w:eastAsia="方正仿宋_GBK" w:cs="方正仿宋_GBK"/>
          <w:sz w:val="32"/>
          <w:szCs w:val="32"/>
          <w:shd w:val="clear" w:color="auto" w:fill="FFFFFF"/>
          <w:lang w:val="en-US" w:eastAsia="zh-CN"/>
        </w:rPr>
        <w:t>年末结转和结余。</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152.27</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财政拨款收、支总计各减少7.36万元，下降4.6%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本年度减少两名人员，人员经费和公用经费减少。</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hint="default" w:ascii="Times New Roman" w:hAnsi="Times New Roman" w:eastAsia="方正仿宋_GBK"/>
          <w:sz w:val="32"/>
          <w:szCs w:val="32"/>
          <w:shd w:val="clear" w:color="auto" w:fill="FFFFFF"/>
        </w:rPr>
        <w:t>1</w:t>
      </w:r>
      <w:r>
        <w:rPr>
          <w:rStyle w:val="10"/>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152.27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与2023年度相比，减少7.36万元，下降4.6%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本年度减少两名人员，人员经费和公用经费减少。</w:t>
      </w:r>
      <w:r>
        <w:rPr>
          <w:rFonts w:hint="default" w:ascii="Times New Roman" w:hAnsi="Times New Roman" w:eastAsia="方正仿宋_GBK"/>
          <w:sz w:val="32"/>
          <w:szCs w:val="32"/>
          <w:shd w:val="clear" w:color="auto" w:fill="FFFFFF"/>
        </w:rPr>
        <w:t>较年初预算数减少9.80万元，下降6.1%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厉行节约，年中压减公用经费开支。</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0"/>
          <w:rFonts w:hint="default" w:ascii="Times New Roman" w:hAnsi="Times New Roman" w:eastAsia="方正仿宋_GBK"/>
          <w:sz w:val="32"/>
          <w:szCs w:val="32"/>
          <w:shd w:val="clear" w:color="auto" w:fill="FFFFFF"/>
        </w:rPr>
        <w:t>2</w:t>
      </w:r>
      <w:r>
        <w:rPr>
          <w:rStyle w:val="10"/>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152.27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与2023年度相比，减少7.36万元，下降4.6%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本年度减少两名人员，人员经费和公用经费减少。</w:t>
      </w:r>
      <w:r>
        <w:rPr>
          <w:rFonts w:hint="default" w:ascii="Times New Roman" w:hAnsi="Times New Roman" w:eastAsia="方正仿宋_GBK"/>
          <w:sz w:val="32"/>
          <w:szCs w:val="32"/>
          <w:shd w:val="clear" w:color="auto" w:fill="FFFFFF"/>
        </w:rPr>
        <w:t>较年初预算数减少9.80万元，下降6.1%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厉行节约，年中压减公用经费开支。</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32.95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21.6%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较年初预算数增加8.47万元，增长34.6%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本年度补缴了职业年金和养老保险。</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6.43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较年初预算数减少0.86万元，下降11.8%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社保基数调整，与年初预算数略有误差。</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105.29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69.2%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较年初预算数减少16.47万元，下降13.5%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本年度减少两名人员，人员经费和公用经费减少。</w:t>
      </w:r>
    </w:p>
    <w:p>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7.59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eastAsia="zh-CN"/>
        </w:rPr>
        <w:t>年初精准预算</w:t>
      </w:r>
      <w:r>
        <w:rPr>
          <w:rFonts w:ascii="方正仿宋_GBK" w:hAnsi="方正仿宋_GBK" w:eastAsia="方正仿宋_GBK" w:cs="方正仿宋_GBK"/>
          <w:color w:val="auto"/>
          <w:sz w:val="32"/>
          <w:szCs w:val="32"/>
          <w:shd w:val="clear" w:color="auto" w:fill="FFFFFF"/>
        </w:rPr>
        <w:t>。</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0"/>
          <w:rFonts w:hint="default" w:ascii="Times New Roman" w:hAnsi="Times New Roman" w:eastAsia="方正仿宋_GBK"/>
          <w:sz w:val="32"/>
          <w:szCs w:val="32"/>
          <w:shd w:val="clear" w:color="auto" w:fill="FFFFFF"/>
        </w:rPr>
        <w:t>3</w:t>
      </w:r>
      <w:r>
        <w:rPr>
          <w:rStyle w:val="10"/>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2024年度无年末结转和结余。</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152.27</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6"/>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128.01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与2023年度相比，减少26.28万元，下降17.0%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本年度减少两名人员，人员经费减少。</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rPr>
        <w:t>基本工资、绩效工资、津贴补贴、各项奖金、社会保障缴费以及部分离退休人员经费支出等</w:t>
      </w:r>
      <w:r>
        <w:rPr>
          <w:rFonts w:ascii="方正仿宋_GBK" w:hAnsi="方正仿宋_GBK" w:eastAsia="方正仿宋_GBK" w:cs="方正仿宋_GBK"/>
          <w:color w:val="auto"/>
          <w:sz w:val="32"/>
          <w:szCs w:val="32"/>
          <w:shd w:val="clear" w:color="auto" w:fill="FFFFFF"/>
        </w:rPr>
        <w:t>。</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24.26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与2023年度相比，增加18.92万元，增长354.3%</w:t>
      </w:r>
      <w:r>
        <w:rPr>
          <w:rFonts w:ascii="方正仿宋_GBK" w:hAnsi="方正仿宋_GBK" w:eastAsia="方正仿宋_GBK" w:cs="方正仿宋_GBK"/>
          <w:sz w:val="32"/>
          <w:szCs w:val="32"/>
          <w:shd w:val="clear" w:color="auto" w:fill="FFFFFF"/>
        </w:rPr>
        <w:t>，主要原因是年初公用经费安排方面有所变化、由上年度在政府本级列支转变为本单位自行列支、故本年</w:t>
      </w:r>
      <w:r>
        <w:rPr>
          <w:rFonts w:hint="eastAsia" w:ascii="方正仿宋_GBK" w:hAnsi="方正仿宋_GBK" w:eastAsia="方正仿宋_GBK" w:cs="方正仿宋_GBK"/>
          <w:sz w:val="32"/>
          <w:szCs w:val="32"/>
          <w:shd w:val="clear" w:color="auto" w:fill="FFFFFF"/>
          <w:lang w:eastAsia="zh-CN"/>
        </w:rPr>
        <w:t>公用经费</w:t>
      </w:r>
      <w:r>
        <w:rPr>
          <w:rFonts w:ascii="方正仿宋_GBK" w:hAnsi="方正仿宋_GBK" w:eastAsia="方正仿宋_GBK" w:cs="方正仿宋_GBK"/>
          <w:sz w:val="32"/>
          <w:szCs w:val="32"/>
          <w:shd w:val="clear" w:color="auto" w:fill="FFFFFF"/>
        </w:rPr>
        <w:t>高于上年水平</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lang w:val="en-US" w:eastAsia="zh-CN"/>
        </w:rPr>
        <w:t>办公费、印刷费、咨询费、水电费、邮电费、差旅费、会议费、公务接待费、劳务费、公务用车运行维护费、其他商品和服务支出等费用支出。</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本单位</w:t>
      </w:r>
      <w:r>
        <w:rPr>
          <w:rFonts w:hint="default" w:ascii="方正仿宋_GBK" w:hAnsi="方正仿宋_GBK" w:eastAsia="方正仿宋_GBK" w:cs="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年度无政府性基金预算财政拨款收支。</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shd w:val="clear" w:color="auto" w:fill="FFFFFF"/>
          <w:lang w:val="en-US" w:eastAsia="zh-CN"/>
        </w:rPr>
        <w:t>本</w:t>
      </w:r>
      <w:r>
        <w:rPr>
          <w:rFonts w:hint="eastAsia" w:ascii="方正仿宋_GBK" w:hAnsi="方正仿宋_GBK" w:eastAsia="方正仿宋_GBK" w:cs="方正仿宋_GBK"/>
          <w:sz w:val="32"/>
          <w:szCs w:val="32"/>
          <w:shd w:val="clear" w:color="auto" w:fill="FFFFFF"/>
          <w:lang w:val="en-US" w:eastAsia="zh-CN"/>
        </w:rPr>
        <w:t>单位</w:t>
      </w:r>
      <w:r>
        <w:rPr>
          <w:rFonts w:hint="default" w:ascii="方正仿宋_GBK" w:hAnsi="方正仿宋_GBK" w:eastAsia="方正仿宋_GBK" w:cs="方正仿宋_GBK"/>
          <w:sz w:val="32"/>
          <w:szCs w:val="32"/>
          <w:shd w:val="clear" w:color="auto" w:fill="FFFFFF"/>
          <w:lang w:val="en-US" w:eastAsia="zh-CN"/>
        </w:rPr>
        <w:t>2024年度无国有资本经营预算财政拨款支出</w:t>
      </w:r>
      <w:r>
        <w:rPr>
          <w:rFonts w:hint="eastAsia" w:ascii="方正仿宋_GBK" w:hAnsi="方正仿宋_GBK" w:eastAsia="方正仿宋_GBK" w:cs="方正仿宋_GBK"/>
          <w:sz w:val="32"/>
          <w:szCs w:val="32"/>
          <w:shd w:val="clear" w:color="auto" w:fill="FFFFFF"/>
          <w:lang w:val="en-US" w:eastAsia="zh-CN"/>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本年度未发生三公经费支出。</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2024年未发生</w:t>
      </w:r>
      <w:r>
        <w:rPr>
          <w:rFonts w:ascii="方正仿宋_GBK" w:hAnsi="方正仿宋_GBK" w:eastAsia="方正仿宋_GBK" w:cs="方正仿宋_GBK"/>
          <w:color w:val="auto"/>
          <w:sz w:val="32"/>
          <w:szCs w:val="32"/>
          <w:shd w:val="clear" w:color="auto" w:fill="FFFFFF"/>
        </w:rPr>
        <w:t>因</w:t>
      </w:r>
      <w:r>
        <w:rPr>
          <w:rFonts w:ascii="方正仿宋_GBK" w:hAnsi="方正仿宋_GBK" w:eastAsia="方正仿宋_GBK" w:cs="方正仿宋_GBK"/>
          <w:sz w:val="32"/>
          <w:szCs w:val="32"/>
          <w:shd w:val="clear" w:color="auto" w:fill="FFFFFF"/>
        </w:rPr>
        <w:t>公出国（境）费用</w:t>
      </w:r>
      <w:r>
        <w:rPr>
          <w:rFonts w:hint="eastAsia" w:ascii="方正仿宋_GBK" w:hAnsi="方正仿宋_GBK" w:eastAsia="方正仿宋_GBK" w:cs="方正仿宋_GBK"/>
          <w:sz w:val="32"/>
          <w:szCs w:val="32"/>
          <w:shd w:val="clear" w:color="auto" w:fill="FFFFFF"/>
          <w:lang w:eastAsia="zh-CN"/>
        </w:rPr>
        <w:t>。</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2024年未发生</w:t>
      </w: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eastAsia" w:ascii="方正仿宋_GBK" w:hAnsi="方正仿宋_GBK" w:eastAsia="方正仿宋_GBK" w:cs="方正仿宋_GBK"/>
          <w:sz w:val="32"/>
          <w:szCs w:val="32"/>
          <w:shd w:val="clear" w:color="auto" w:fill="FFFFFF"/>
          <w:lang w:eastAsia="zh-CN"/>
        </w:rPr>
        <w:t>。</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2024年未发生</w:t>
      </w: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eastAsia" w:ascii="方正仿宋_GBK" w:hAnsi="方正仿宋_GBK" w:eastAsia="方正仿宋_GBK" w:cs="方正仿宋_GBK"/>
          <w:sz w:val="32"/>
          <w:szCs w:val="32"/>
          <w:shd w:val="clear" w:color="auto" w:fill="FFFFFF"/>
          <w:lang w:eastAsia="zh-CN"/>
        </w:rPr>
        <w:t>。</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2024年未发生</w:t>
      </w:r>
      <w:r>
        <w:rPr>
          <w:rFonts w:ascii="方正仿宋_GBK" w:hAnsi="方正仿宋_GBK" w:eastAsia="方正仿宋_GBK" w:cs="方正仿宋_GBK"/>
          <w:sz w:val="32"/>
          <w:szCs w:val="32"/>
          <w:shd w:val="clear" w:color="auto" w:fill="FFFFFF"/>
        </w:rPr>
        <w:t>公务接待费</w:t>
      </w:r>
      <w:r>
        <w:rPr>
          <w:rFonts w:hint="eastAsia" w:ascii="方正仿宋_GBK" w:hAnsi="方正仿宋_GBK" w:eastAsia="方正仿宋_GBK" w:cs="方正仿宋_GBK"/>
          <w:sz w:val="32"/>
          <w:szCs w:val="32"/>
          <w:shd w:val="clear" w:color="auto" w:fill="FFFFFF"/>
          <w:lang w:eastAsia="zh-CN"/>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与2023年度相比，减少0.22万元，下降100.0%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利用数字化平台，进行线上培训，减少线下支出。</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与2023年度相比，减少4.47万元，下降100.0%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eastAsia="zh-CN"/>
        </w:rPr>
        <w:t>数字办公化普及，大量工作通过线上会议、视频沟通等方式开展，替代传统的现场调研、异地协调，减少了差旅需求。</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default" w:ascii="Times New Roman" w:hAnsi="Times New Roman" w:eastAsia="方正仿宋_GBK"/>
          <w:sz w:val="32"/>
          <w:szCs w:val="32"/>
          <w:shd w:val="clear" w:color="auto" w:fill="FFFFFF"/>
          <w:lang w:eastAsia="zh-CN"/>
        </w:rPr>
      </w:pPr>
      <w:r>
        <w:rPr>
          <w:rFonts w:hint="default" w:ascii="Times New Roman" w:hAnsi="Times New Roman" w:eastAsia="方正仿宋_GBK"/>
          <w:sz w:val="32"/>
          <w:szCs w:val="32"/>
          <w:shd w:val="clear" w:color="auto" w:fill="FFFFFF"/>
          <w:lang w:eastAsia="zh-CN"/>
        </w:rPr>
        <w:t>按照部门决算列报口径，我</w:t>
      </w:r>
      <w:r>
        <w:rPr>
          <w:rFonts w:hint="eastAsia" w:ascii="Times New Roman" w:hAnsi="Times New Roman" w:eastAsia="方正仿宋_GBK"/>
          <w:sz w:val="32"/>
          <w:szCs w:val="32"/>
          <w:shd w:val="clear" w:color="auto" w:fill="FFFFFF"/>
          <w:lang w:eastAsia="zh-CN"/>
        </w:rPr>
        <w:t>单位</w:t>
      </w:r>
      <w:r>
        <w:rPr>
          <w:rFonts w:hint="default" w:ascii="Times New Roman" w:hAnsi="Times New Roman" w:eastAsia="方正仿宋_GBK"/>
          <w:sz w:val="32"/>
          <w:szCs w:val="32"/>
          <w:shd w:val="clear" w:color="auto" w:fill="FFFFFF"/>
          <w:lang w:eastAsia="zh-CN"/>
        </w:rPr>
        <w:t>不在机关运行经费统计范围之内。</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sz w:val="32"/>
          <w:szCs w:val="32"/>
          <w:shd w:val="clear" w:color="auto" w:fill="FFFFFF"/>
        </w:rPr>
        <w:t>2024年度我</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未发生政府采购事项，无相关经费支</w:t>
      </w:r>
      <w:r>
        <w:rPr>
          <w:rFonts w:hint="eastAsia" w:ascii="方正仿宋_GBK" w:hAnsi="方正仿宋_GBK" w:eastAsia="方正仿宋_GBK" w:cs="方正仿宋_GBK"/>
          <w:sz w:val="32"/>
          <w:szCs w:val="32"/>
          <w:shd w:val="clear" w:color="auto" w:fill="FFFFFF"/>
          <w:lang w:eastAsia="zh-CN"/>
        </w:rPr>
        <w:t>出。</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jc w:val="both"/>
        <w:textAlignment w:val="auto"/>
        <w:rPr>
          <w:rStyle w:val="10"/>
          <w:rFonts w:hint="eastAsia" w:ascii="黑体" w:hAnsi="黑体" w:eastAsia="黑体" w:cs="黑体"/>
          <w:sz w:val="32"/>
          <w:szCs w:val="32"/>
          <w:shd w:val="clear" w:color="auto" w:fill="FFFFFF"/>
          <w:lang w:val="en-US" w:eastAsia="zh-CN" w:bidi="ar-SA"/>
        </w:rPr>
      </w:pPr>
      <w:r>
        <w:rPr>
          <w:rStyle w:val="10"/>
          <w:rFonts w:ascii="黑体" w:hAnsi="黑体" w:eastAsia="黑体" w:cs="黑体"/>
          <w:sz w:val="32"/>
          <w:szCs w:val="32"/>
          <w:shd w:val="clear" w:color="auto" w:fill="FFFFFF"/>
        </w:rPr>
        <w:t>五、</w:t>
      </w:r>
      <w:r>
        <w:rPr>
          <w:rStyle w:val="10"/>
          <w:rFonts w:hint="eastAsia" w:ascii="黑体" w:hAnsi="黑体" w:eastAsia="黑体" w:cs="黑体"/>
          <w:sz w:val="32"/>
          <w:szCs w:val="32"/>
          <w:shd w:val="clear" w:color="auto" w:fill="FFFFFF"/>
          <w:lang w:eastAsia="zh-CN"/>
        </w:rPr>
        <w:t>预算</w:t>
      </w:r>
      <w:r>
        <w:rPr>
          <w:rStyle w:val="10"/>
          <w:rFonts w:hint="eastAsia" w:ascii="黑体" w:hAnsi="黑体" w:eastAsia="黑体" w:cs="黑体"/>
          <w:sz w:val="32"/>
          <w:szCs w:val="32"/>
          <w:shd w:val="clear" w:color="auto" w:fill="FFFFFF"/>
          <w:lang w:val="en-US" w:eastAsia="zh-CN" w:bidi="ar-SA"/>
        </w:rPr>
        <w:t>绩效管理情况说明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rPr>
        <w:t>（一）</w:t>
      </w:r>
      <w:r>
        <w:rPr>
          <w:rFonts w:hint="eastAsia" w:ascii="楷体" w:hAnsi="楷体" w:eastAsia="楷体" w:cs="楷体"/>
          <w:b/>
          <w:bCs/>
          <w:sz w:val="32"/>
          <w:szCs w:val="32"/>
          <w:shd w:val="clear" w:color="auto" w:fill="FFFFFF"/>
          <w:lang w:val="en-US" w:eastAsia="zh-CN"/>
        </w:rPr>
        <w:t>单位</w:t>
      </w:r>
      <w:r>
        <w:rPr>
          <w:rFonts w:hint="eastAsia" w:ascii="楷体" w:hAnsi="楷体" w:eastAsia="楷体" w:cs="楷体"/>
          <w:b/>
          <w:bCs/>
          <w:sz w:val="32"/>
          <w:szCs w:val="32"/>
          <w:shd w:val="clear" w:color="auto" w:fill="FFFFFF"/>
        </w:rPr>
        <w:t>自评情况</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仿宋_GBK" w:hAnsi="方正仿宋_GBK" w:eastAsia="方正仿宋_GBK" w:cs="方正仿宋_GBK"/>
          <w:sz w:val="32"/>
          <w:szCs w:val="32"/>
          <w:highlight w:val="yellow"/>
          <w:shd w:val="clear" w:color="auto" w:fill="FFFFFF"/>
          <w:lang w:eastAsia="zh-CN" w:bidi="ar"/>
        </w:rPr>
      </w:pPr>
      <w:r>
        <w:rPr>
          <w:rFonts w:hint="eastAsia" w:ascii="方正仿宋_GBK" w:hAnsi="方正仿宋_GBK" w:eastAsia="方正仿宋_GBK" w:cs="方正仿宋_GBK"/>
          <w:sz w:val="32"/>
          <w:szCs w:val="32"/>
          <w:shd w:val="clear" w:color="auto" w:fill="FFFFFF"/>
          <w:lang w:val="en-US" w:eastAsia="zh-CN" w:bidi="ar-SA"/>
        </w:rPr>
        <w:t>根据预算绩效管理要求</w:t>
      </w:r>
      <w:r>
        <w:rPr>
          <w:rFonts w:hint="eastAsia" w:ascii="方正仿宋_GBK" w:hAnsi="方正仿宋_GBK" w:eastAsia="方正仿宋_GBK" w:cs="方正仿宋_GBK"/>
          <w:sz w:val="32"/>
          <w:szCs w:val="32"/>
          <w:shd w:val="clear" w:color="auto" w:fill="FFFFFF"/>
          <w:lang w:bidi="ar"/>
        </w:rPr>
        <w:t>，我</w:t>
      </w:r>
      <w:r>
        <w:rPr>
          <w:rFonts w:hint="eastAsia" w:ascii="方正仿宋_GBK" w:hAnsi="方正仿宋_GBK" w:eastAsia="方正仿宋_GBK" w:cs="方正仿宋_GBK"/>
          <w:sz w:val="32"/>
          <w:szCs w:val="32"/>
          <w:shd w:val="clear" w:color="auto" w:fill="FFFFFF"/>
          <w:lang w:val="en-US" w:eastAsia="zh-CN" w:bidi="ar"/>
        </w:rPr>
        <w:t>单位</w:t>
      </w:r>
      <w:r>
        <w:rPr>
          <w:rFonts w:hint="eastAsia" w:ascii="方正仿宋_GBK" w:hAnsi="方正仿宋_GBK" w:eastAsia="方正仿宋_GBK" w:cs="方正仿宋_GBK"/>
          <w:sz w:val="32"/>
          <w:szCs w:val="32"/>
          <w:shd w:val="clear" w:color="auto" w:fill="FFFFFF"/>
          <w:lang w:bidi="ar"/>
        </w:rPr>
        <w:t>对</w:t>
      </w:r>
      <w:r>
        <w:rPr>
          <w:rFonts w:hint="eastAsia" w:ascii="方正仿宋_GBK" w:hAnsi="方正仿宋_GBK" w:eastAsia="方正仿宋_GBK" w:cs="方正仿宋_GBK"/>
          <w:sz w:val="32"/>
          <w:szCs w:val="32"/>
          <w:shd w:val="clear" w:color="auto" w:fill="FFFFFF"/>
          <w:lang w:val="en-US" w:eastAsia="zh-CN" w:bidi="ar"/>
        </w:rPr>
        <w:t>0</w:t>
      </w:r>
      <w:r>
        <w:rPr>
          <w:rFonts w:hint="eastAsia" w:ascii="方正仿宋_GBK" w:hAnsi="方正仿宋_GBK" w:eastAsia="方正仿宋_GBK" w:cs="方正仿宋_GBK"/>
          <w:sz w:val="32"/>
          <w:szCs w:val="32"/>
          <w:shd w:val="clear" w:color="auto" w:fill="FFFFFF"/>
          <w:lang w:bidi="ar"/>
        </w:rPr>
        <w:t>个项目开展了绩效自评，涉及</w:t>
      </w:r>
      <w:r>
        <w:rPr>
          <w:rFonts w:hint="eastAsia" w:ascii="方正仿宋_GBK" w:hAnsi="方正仿宋_GBK" w:eastAsia="方正仿宋_GBK" w:cs="方正仿宋_GBK"/>
          <w:sz w:val="32"/>
          <w:szCs w:val="32"/>
          <w:shd w:val="clear" w:color="auto" w:fill="FFFFFF"/>
          <w:lang w:eastAsia="zh-CN" w:bidi="ar"/>
        </w:rPr>
        <w:t>财政拨款</w:t>
      </w:r>
      <w:r>
        <w:rPr>
          <w:rFonts w:hint="eastAsia" w:ascii="方正仿宋_GBK" w:hAnsi="方正仿宋_GBK" w:eastAsia="方正仿宋_GBK" w:cs="方正仿宋_GBK"/>
          <w:sz w:val="32"/>
          <w:szCs w:val="32"/>
          <w:shd w:val="clear" w:color="auto" w:fill="FFFFFF"/>
          <w:lang w:bidi="ar"/>
        </w:rPr>
        <w:t>资金</w:t>
      </w:r>
      <w:r>
        <w:rPr>
          <w:rFonts w:hint="eastAsia" w:ascii="方正仿宋_GBK" w:hAnsi="方正仿宋_GBK" w:eastAsia="方正仿宋_GBK" w:cs="方正仿宋_GBK"/>
          <w:sz w:val="32"/>
          <w:szCs w:val="32"/>
          <w:shd w:val="clear" w:color="auto" w:fill="FFFFFF"/>
          <w:lang w:val="en-US" w:eastAsia="zh-CN" w:bidi="ar"/>
        </w:rPr>
        <w:t>0</w:t>
      </w:r>
      <w:r>
        <w:rPr>
          <w:rFonts w:hint="eastAsia" w:ascii="方正仿宋_GBK" w:hAnsi="方正仿宋_GBK" w:eastAsia="方正仿宋_GBK" w:cs="方正仿宋_GBK"/>
          <w:sz w:val="32"/>
          <w:szCs w:val="32"/>
          <w:shd w:val="clear" w:color="auto" w:fill="FFFFFF"/>
          <w:lang w:bidi="ar"/>
        </w:rPr>
        <w:t>万元</w:t>
      </w:r>
      <w:r>
        <w:rPr>
          <w:rFonts w:hint="eastAsia" w:ascii="方正仿宋_GBK" w:hAnsi="方正仿宋_GBK" w:eastAsia="方正仿宋_GBK" w:cs="方正仿宋_GBK"/>
          <w:sz w:val="32"/>
          <w:szCs w:val="32"/>
          <w:shd w:val="clear" w:color="auto" w:fill="FFFFFF"/>
          <w:lang w:eastAsia="zh-CN" w:bidi="ar"/>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w:t>
      </w:r>
      <w:r>
        <w:rPr>
          <w:rFonts w:hint="eastAsia" w:ascii="楷体" w:hAnsi="楷体" w:eastAsia="楷体" w:cs="楷体"/>
          <w:b/>
          <w:bCs/>
          <w:sz w:val="32"/>
          <w:szCs w:val="32"/>
          <w:shd w:val="clear" w:color="auto" w:fill="FFFFFF"/>
          <w:lang w:val="en-US" w:eastAsia="zh-CN"/>
        </w:rPr>
        <w:t>单位</w:t>
      </w:r>
      <w:r>
        <w:rPr>
          <w:rFonts w:hint="eastAsia" w:ascii="楷体" w:hAnsi="楷体" w:eastAsia="楷体" w:cs="楷体"/>
          <w:b/>
          <w:bCs/>
          <w:sz w:val="32"/>
          <w:szCs w:val="32"/>
          <w:shd w:val="clear" w:color="auto" w:fill="FFFFFF"/>
        </w:rPr>
        <w:t>绩效评价情况</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bidi="ar-SA"/>
        </w:rPr>
        <w:t>我单位未</w:t>
      </w:r>
      <w:r>
        <w:rPr>
          <w:rFonts w:hint="eastAsia" w:ascii="方正仿宋_GBK" w:hAnsi="方正仿宋_GBK" w:eastAsia="方正仿宋_GBK" w:cs="方正仿宋_GBK"/>
          <w:sz w:val="32"/>
          <w:szCs w:val="32"/>
          <w:shd w:val="clear" w:color="auto" w:fill="FFFFFF"/>
          <w:lang w:val="en-US" w:eastAsia="zh-CN"/>
        </w:rPr>
        <w:t>组织开展绩效评价。</w:t>
      </w:r>
    </w:p>
    <w:p>
      <w:pPr>
        <w:pStyle w:val="6"/>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shd w:val="clear" w:color="auto" w:fill="FFFFFF"/>
          <w:lang w:val="en-US" w:eastAsia="zh-CN"/>
        </w:rPr>
      </w:pPr>
      <w:r>
        <w:rPr>
          <w:rFonts w:hint="eastAsia" w:ascii="楷体" w:hAnsi="楷体" w:eastAsia="楷体" w:cs="楷体"/>
          <w:b/>
          <w:bCs/>
          <w:sz w:val="32"/>
          <w:szCs w:val="32"/>
          <w:shd w:val="clear" w:color="auto" w:fill="FFFFFF"/>
          <w:lang w:val="en-US" w:eastAsia="zh-CN" w:bidi="ar-SA"/>
        </w:rPr>
        <w:t>（三）财政绩效评价情况</w:t>
      </w:r>
      <w:r>
        <w:rPr>
          <w:rFonts w:hint="eastAsia" w:ascii="方正仿宋_GBK" w:hAnsi="方正仿宋_GBK" w:eastAsia="方正仿宋_GBK" w:cs="方正仿宋_GBK"/>
          <w:sz w:val="32"/>
          <w:szCs w:val="32"/>
          <w:shd w:val="clear" w:color="auto" w:fill="FFFFFF"/>
          <w:lang w:val="en-US" w:eastAsia="zh-CN"/>
        </w:rPr>
        <w:t xml:space="preserve"> </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rPr>
        <w:t>区财政局未委托第三方对我单位开展绩效评价</w:t>
      </w:r>
      <w:r>
        <w:rPr>
          <w:rFonts w:hint="eastAsia" w:ascii="方正仿宋_GBK" w:hAnsi="方正仿宋_GBK" w:eastAsia="方正仿宋_GBK" w:cs="方正仿宋_GBK"/>
          <w:sz w:val="32"/>
          <w:szCs w:val="32"/>
          <w:shd w:val="clear" w:color="auto" w:fill="FFFFFF"/>
          <w:lang w:val="en-US" w:eastAsia="zh-CN" w:bidi="ar-SA"/>
        </w:rPr>
        <w:t>。</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sz w:val="32"/>
          <w:szCs w:val="32"/>
          <w:lang w:eastAsia="zh-CN"/>
        </w:rPr>
      </w:pPr>
      <w:r>
        <w:rPr>
          <w:rStyle w:val="10"/>
          <w:rFonts w:hint="eastAsia" w:ascii="黑体" w:hAnsi="黑体" w:eastAsia="黑体" w:cs="黑体"/>
          <w:sz w:val="32"/>
          <w:szCs w:val="32"/>
          <w:shd w:val="clear" w:color="auto" w:fill="FFFFFF"/>
          <w:lang w:eastAsia="zh-CN"/>
        </w:rPr>
        <w:t>六</w:t>
      </w:r>
      <w:r>
        <w:rPr>
          <w:rStyle w:val="10"/>
          <w:rFonts w:ascii="黑体" w:hAnsi="黑体" w:eastAsia="黑体" w:cs="黑体"/>
          <w:sz w:val="32"/>
          <w:szCs w:val="32"/>
          <w:shd w:val="clear" w:color="auto" w:fill="FFFFFF"/>
        </w:rPr>
        <w:t>、专业名词解释</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Style w:val="10"/>
          <w:rFonts w:hint="eastAsia" w:ascii="楷体" w:hAnsi="楷体" w:eastAsia="楷体" w:cs="楷体"/>
          <w:sz w:val="32"/>
          <w:szCs w:val="32"/>
          <w:shd w:val="clear" w:color="auto" w:fill="FFFFFF"/>
          <w:lang w:eastAsia="zh-CN"/>
        </w:rPr>
        <w:t>（含专用结余）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w:t>
      </w:r>
      <w:r>
        <w:rPr>
          <w:rFonts w:hint="eastAsia" w:ascii="方正仿宋_GBK" w:hAnsi="方正仿宋_GBK" w:eastAsia="方正仿宋_GBK" w:cs="方正仿宋_GBK"/>
          <w:sz w:val="32"/>
          <w:szCs w:val="32"/>
          <w:shd w:val="clear" w:color="auto" w:fill="FFFFFF"/>
          <w:lang w:eastAsia="zh-CN"/>
        </w:rPr>
        <w:t>事业单位按照预算管理要求使用非财政拨款结余弥补收支差额的金额，以及使用专用结余安排支出的金额。</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lang w:eastAsia="zh-CN"/>
        </w:rPr>
        <w:t>七</w:t>
      </w:r>
      <w:r>
        <w:rPr>
          <w:rStyle w:val="10"/>
          <w:rFonts w:ascii="黑体" w:hAnsi="黑体" w:eastAsia="黑体" w:cs="黑体"/>
          <w:sz w:val="32"/>
          <w:szCs w:val="32"/>
          <w:shd w:val="clear" w:color="auto" w:fill="FFFFFF"/>
        </w:rPr>
        <w:t>、决算公开联系方式及信息反馈渠道</w:t>
      </w:r>
    </w:p>
    <w:p>
      <w:pPr>
        <w:pStyle w:val="11"/>
        <w:keepNext w:val="0"/>
        <w:keepLines w:val="0"/>
        <w:pageBreakBefore w:val="0"/>
        <w:widowControl/>
        <w:kinsoku/>
        <w:wordWrap/>
        <w:overflowPunct/>
        <w:topLinePunct w:val="0"/>
        <w:autoSpaceDE w:val="0"/>
        <w:autoSpaceDN/>
        <w:bidi w:val="0"/>
        <w:adjustRightInd/>
        <w:spacing w:beforeAutospacing="0" w:afterAutospacing="0" w:line="596" w:lineRule="exact"/>
        <w:ind w:firstLine="640"/>
        <w:jc w:val="both"/>
        <w:textAlignment w:val="auto"/>
        <w:rPr>
          <w:rStyle w:val="10"/>
          <w:rFonts w:hint="default" w:ascii="方正仿宋_GBK" w:hAnsi="方正仿宋_GBK" w:eastAsia="方正仿宋_GBK" w:cs="方正仿宋_GBK"/>
          <w:sz w:val="32"/>
          <w:szCs w:val="32"/>
          <w:shd w:val="clear" w:color="auto" w:fill="FFFF00"/>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决算公开信息反馈和联系方式：</w:t>
      </w:r>
      <w:r>
        <w:rPr>
          <w:rFonts w:hint="eastAsia" w:ascii="方正仿宋_GBK" w:hAnsi="方正仿宋_GBK" w:eastAsia="方正仿宋_GBK" w:cs="方正仿宋_GBK"/>
          <w:sz w:val="32"/>
          <w:szCs w:val="32"/>
          <w:shd w:val="clear" w:color="auto" w:fill="FFFFFF"/>
          <w:lang w:val="en-US" w:eastAsia="zh-CN"/>
        </w:rPr>
        <w:t>023-81069618</w:t>
      </w: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重庆市荣昌区清升镇畜牧服务中心</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152.27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105.29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152.27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152.27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152.27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152.27</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637"/>
        <w:gridCol w:w="3075"/>
        <w:gridCol w:w="1308"/>
        <w:gridCol w:w="1367"/>
        <w:gridCol w:w="1257"/>
        <w:gridCol w:w="1257"/>
        <w:gridCol w:w="1320"/>
        <w:gridCol w:w="1259"/>
        <w:gridCol w:w="1392"/>
        <w:gridCol w:w="1631"/>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02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重庆市荣昌区清升镇畜牧服务中心</w:t>
            </w:r>
          </w:p>
        </w:tc>
        <w:tc>
          <w:tcPr>
            <w:tcW w:w="13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02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71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75"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7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152.27</w:t>
            </w:r>
            <w:r>
              <w:rPr>
                <w:rFonts w:ascii="Times New Roman" w:hAnsi="Times New Roman"/>
                <w:b/>
                <w:color w:val="000000"/>
                <w:sz w:val="20"/>
                <w:u w:color="auto"/>
              </w:rPr>
              <w:t xml:space="preserve"> </w:t>
            </w:r>
          </w:p>
        </w:tc>
        <w:tc>
          <w:tcPr>
            <w:tcW w:w="13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152.27</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13.33</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6.62</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6.43</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6.43</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4.62</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105.29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105.29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105.29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105.29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105.29</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105.29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7.59</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637"/>
        <w:gridCol w:w="3530"/>
        <w:gridCol w:w="1645"/>
        <w:gridCol w:w="1694"/>
        <w:gridCol w:w="1627"/>
        <w:gridCol w:w="1559"/>
        <w:gridCol w:w="1694"/>
        <w:gridCol w:w="1936"/>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1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重庆市荣昌区清升镇畜牧服务中心 </w:t>
            </w: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8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152.27</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152.27</w:t>
            </w:r>
            <w:r>
              <w:rPr>
                <w:rFonts w:ascii="Times New Roman" w:hAnsi="Times New Roman"/>
                <w:b/>
                <w:color w:val="000000"/>
                <w:sz w:val="20"/>
                <w:u w:color="auto"/>
              </w:rPr>
              <w:t xml:space="preserve"> </w:t>
            </w:r>
          </w:p>
        </w:tc>
        <w:tc>
          <w:tcPr>
            <w:tcW w:w="16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32.95</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32.95</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32.95</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32.95</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13.33</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13.33</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6.62</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6.62</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6.43</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6.43</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6.43</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6.43</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4.62</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4.62</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105.29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105.29</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105.29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105.29</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105.29</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105.29</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7.59</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7.59</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7.59</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7.59</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重庆市荣昌区清升镇畜牧服务中心</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152.27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32.95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32.95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105.29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105.29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152.27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152.27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152.27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152.27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152.27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152.27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重庆市荣昌区清升镇畜牧服务中心</w:t>
            </w: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152.27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152.27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32.95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32.95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32.95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32.95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6.62</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6.43</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6.43</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4.62</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1.82</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105.29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105.29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105.29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105.29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105.29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105.29</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7.59</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重庆市荣昌区清升镇畜牧服务中心</w:t>
            </w: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115.72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24.26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25.58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49.99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128.01</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24.26</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重庆市荣昌区清升镇畜牧服务中心</w:t>
            </w:r>
            <w:bookmarkStart w:id="0" w:name="_GoBack"/>
            <w:bookmarkEnd w:id="0"/>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重庆市荣昌区清升镇畜牧服务中心</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重庆市荣昌区清升镇畜牧服务中心</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cs="宋体"/>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p>
      <w:pPr>
        <w:rPr>
          <w:rFonts w:cs="宋体"/>
          <w:sz w:val="18"/>
          <w:szCs w:val="18"/>
        </w:rPr>
      </w:pPr>
    </w:p>
    <w:tbl>
      <w:tblPr>
        <w:tblStyle w:val="7"/>
        <w:tblW w:w="15336" w:type="dxa"/>
        <w:tblInd w:w="8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
        <w:gridCol w:w="2073"/>
        <w:gridCol w:w="1518"/>
        <w:gridCol w:w="362"/>
        <w:gridCol w:w="1125"/>
        <w:gridCol w:w="1490"/>
        <w:gridCol w:w="1431"/>
        <w:gridCol w:w="614"/>
        <w:gridCol w:w="735"/>
        <w:gridCol w:w="1047"/>
        <w:gridCol w:w="230"/>
        <w:gridCol w:w="1404"/>
        <w:gridCol w:w="247"/>
        <w:gridCol w:w="728"/>
        <w:gridCol w:w="357"/>
        <w:gridCol w:w="693"/>
        <w:gridCol w:w="1268"/>
        <w:gridCol w:w="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00" w:hRule="atLeast"/>
        </w:trPr>
        <w:tc>
          <w:tcPr>
            <w:tcW w:w="15336" w:type="dxa"/>
            <w:gridSpan w:val="1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Times New Roman" w:hAnsi="Times New Roman" w:eastAsia="微软雅黑" w:cs="微软雅黑"/>
                <w:b/>
                <w:bCs/>
                <w:i w:val="0"/>
                <w:iCs w:val="0"/>
                <w:color w:val="000000"/>
                <w:sz w:val="40"/>
                <w:szCs w:val="40"/>
                <w:u w:val="none"/>
              </w:rPr>
            </w:pPr>
            <w:r>
              <w:rPr>
                <w:rFonts w:hint="eastAsia" w:ascii="Times New Roman" w:hAnsi="Times New Roman" w:cs="宋体"/>
                <w:b/>
                <w:color w:val="000000"/>
                <w:kern w:val="2"/>
                <w:sz w:val="32"/>
                <w:szCs w:val="32"/>
                <w:lang w:val="en-US" w:eastAsia="zh-CN"/>
              </w:rPr>
              <w:t>2024年度单位整体绩效自评表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15336" w:type="dxa"/>
            <w:gridSpan w:val="18"/>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公开10表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3962" w:type="dxa"/>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0"/>
                <w:szCs w:val="20"/>
                <w:u w:val="none"/>
                <w:lang w:eastAsia="zh-CN"/>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重庆市荣昌区</w:t>
            </w:r>
            <w:r>
              <w:rPr>
                <w:rFonts w:hint="eastAsia"/>
                <w:color w:val="000000"/>
                <w:sz w:val="20"/>
                <w:u w:color="auto"/>
                <w:lang w:eastAsia="zh-CN"/>
              </w:rPr>
              <w:t>清升</w:t>
            </w:r>
            <w:r>
              <w:rPr>
                <w:color w:val="000000"/>
                <w:sz w:val="20"/>
                <w:u w:color="auto"/>
              </w:rPr>
              <w:t>镇重庆市荣昌区</w:t>
            </w:r>
            <w:r>
              <w:rPr>
                <w:rFonts w:hint="eastAsia"/>
                <w:color w:val="000000"/>
                <w:sz w:val="20"/>
                <w:u w:color="auto"/>
                <w:lang w:eastAsia="zh-CN"/>
              </w:rPr>
              <w:t>畜牧服务中心</w:t>
            </w:r>
          </w:p>
        </w:tc>
        <w:tc>
          <w:tcPr>
            <w:tcW w:w="112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22"/>
                <w:szCs w:val="22"/>
                <w:u w:val="none"/>
              </w:rPr>
            </w:pPr>
          </w:p>
        </w:tc>
        <w:tc>
          <w:tcPr>
            <w:tcW w:w="1490" w:type="dxa"/>
            <w:tcBorders>
              <w:top w:val="nil"/>
              <w:left w:val="nil"/>
              <w:bottom w:val="nil"/>
              <w:right w:val="nil"/>
            </w:tcBorders>
            <w:shd w:val="clear" w:color="auto" w:fill="auto"/>
            <w:noWrap/>
            <w:vAlign w:val="center"/>
          </w:tcPr>
          <w:p>
            <w:pPr>
              <w:jc w:val="right"/>
              <w:rPr>
                <w:rFonts w:hint="eastAsia" w:ascii="Times New Roman" w:hAnsi="Times New Roman" w:eastAsia="宋体" w:cs="宋体"/>
                <w:b/>
                <w:bCs/>
                <w:i w:val="0"/>
                <w:iCs w:val="0"/>
                <w:color w:val="000000"/>
                <w:sz w:val="22"/>
                <w:szCs w:val="22"/>
                <w:u w:val="none"/>
              </w:rPr>
            </w:pPr>
          </w:p>
        </w:tc>
        <w:tc>
          <w:tcPr>
            <w:tcW w:w="1431" w:type="dxa"/>
            <w:tcBorders>
              <w:top w:val="nil"/>
              <w:left w:val="nil"/>
              <w:bottom w:val="nil"/>
              <w:right w:val="nil"/>
            </w:tcBorders>
            <w:shd w:val="clear" w:color="auto" w:fill="auto"/>
            <w:noWrap/>
            <w:vAlign w:val="center"/>
          </w:tcPr>
          <w:p>
            <w:pPr>
              <w:jc w:val="left"/>
              <w:rPr>
                <w:rFonts w:hint="eastAsia" w:ascii="Times New Roman" w:hAnsi="Times New Roman" w:eastAsia="宋体" w:cs="宋体"/>
                <w:i w:val="0"/>
                <w:iCs w:val="0"/>
                <w:color w:val="000000"/>
                <w:sz w:val="22"/>
                <w:szCs w:val="22"/>
                <w:u w:val="none"/>
              </w:rPr>
            </w:pPr>
          </w:p>
        </w:tc>
        <w:tc>
          <w:tcPr>
            <w:tcW w:w="614" w:type="dxa"/>
            <w:tcBorders>
              <w:top w:val="nil"/>
              <w:left w:val="nil"/>
              <w:bottom w:val="nil"/>
              <w:right w:val="nil"/>
            </w:tcBorders>
            <w:shd w:val="clear" w:color="auto" w:fill="auto"/>
            <w:noWrap/>
            <w:vAlign w:val="center"/>
          </w:tcPr>
          <w:p>
            <w:pPr>
              <w:jc w:val="left"/>
              <w:rPr>
                <w:rFonts w:hint="eastAsia" w:ascii="Times New Roman" w:hAnsi="Times New Roman" w:eastAsia="宋体" w:cs="宋体"/>
                <w:i w:val="0"/>
                <w:iCs w:val="0"/>
                <w:color w:val="000000"/>
                <w:sz w:val="22"/>
                <w:szCs w:val="22"/>
                <w:u w:val="none"/>
              </w:rPr>
            </w:pPr>
          </w:p>
        </w:tc>
        <w:tc>
          <w:tcPr>
            <w:tcW w:w="1782" w:type="dxa"/>
            <w:gridSpan w:val="2"/>
            <w:tcBorders>
              <w:top w:val="nil"/>
              <w:left w:val="nil"/>
              <w:bottom w:val="nil"/>
              <w:right w:val="nil"/>
            </w:tcBorders>
            <w:shd w:val="clear" w:color="auto" w:fill="auto"/>
            <w:noWrap/>
            <w:vAlign w:val="center"/>
          </w:tcPr>
          <w:p>
            <w:pPr>
              <w:jc w:val="right"/>
              <w:rPr>
                <w:rFonts w:hint="eastAsia" w:ascii="Times New Roman" w:hAnsi="Times New Roman" w:eastAsia="宋体" w:cs="宋体"/>
                <w:b/>
                <w:bCs/>
                <w:i w:val="0"/>
                <w:iCs w:val="0"/>
                <w:color w:val="000000"/>
                <w:sz w:val="22"/>
                <w:szCs w:val="22"/>
                <w:u w:val="none"/>
              </w:rPr>
            </w:pPr>
          </w:p>
        </w:tc>
        <w:tc>
          <w:tcPr>
            <w:tcW w:w="230" w:type="dxa"/>
            <w:tcBorders>
              <w:top w:val="nil"/>
              <w:left w:val="nil"/>
              <w:bottom w:val="nil"/>
              <w:right w:val="nil"/>
            </w:tcBorders>
            <w:shd w:val="clear" w:color="auto" w:fill="auto"/>
            <w:noWrap/>
            <w:vAlign w:val="center"/>
          </w:tcPr>
          <w:p>
            <w:pPr>
              <w:jc w:val="left"/>
              <w:rPr>
                <w:rFonts w:hint="eastAsia" w:ascii="Times New Roman" w:hAnsi="Times New Roman" w:eastAsia="宋体" w:cs="宋体"/>
                <w:i w:val="0"/>
                <w:iCs w:val="0"/>
                <w:color w:val="000000"/>
                <w:sz w:val="22"/>
                <w:szCs w:val="22"/>
                <w:u w:val="none"/>
              </w:rPr>
            </w:pPr>
          </w:p>
        </w:tc>
        <w:tc>
          <w:tcPr>
            <w:tcW w:w="1651" w:type="dxa"/>
            <w:gridSpan w:val="2"/>
            <w:tcBorders>
              <w:top w:val="nil"/>
              <w:left w:val="nil"/>
              <w:bottom w:val="nil"/>
              <w:right w:val="nil"/>
            </w:tcBorders>
            <w:shd w:val="clear" w:color="auto" w:fill="auto"/>
            <w:noWrap/>
            <w:vAlign w:val="center"/>
          </w:tcPr>
          <w:p>
            <w:pPr>
              <w:jc w:val="left"/>
              <w:rPr>
                <w:rFonts w:hint="eastAsia" w:ascii="Times New Roman" w:hAnsi="Times New Roman" w:eastAsia="宋体" w:cs="宋体"/>
                <w:i w:val="0"/>
                <w:iCs w:val="0"/>
                <w:color w:val="000000"/>
                <w:sz w:val="22"/>
                <w:szCs w:val="22"/>
                <w:u w:val="none"/>
              </w:rPr>
            </w:pPr>
          </w:p>
        </w:tc>
        <w:tc>
          <w:tcPr>
            <w:tcW w:w="1085" w:type="dxa"/>
            <w:gridSpan w:val="2"/>
            <w:tcBorders>
              <w:top w:val="nil"/>
              <w:left w:val="nil"/>
              <w:bottom w:val="nil"/>
              <w:right w:val="nil"/>
            </w:tcBorders>
            <w:shd w:val="clear" w:color="auto" w:fill="auto"/>
            <w:noWrap/>
            <w:vAlign w:val="center"/>
          </w:tcPr>
          <w:p>
            <w:pPr>
              <w:jc w:val="right"/>
              <w:rPr>
                <w:rFonts w:hint="eastAsia" w:ascii="Times New Roman" w:hAnsi="Times New Roman" w:eastAsia="宋体" w:cs="宋体"/>
                <w:b/>
                <w:bCs/>
                <w:i w:val="0"/>
                <w:iCs w:val="0"/>
                <w:color w:val="000000"/>
                <w:sz w:val="22"/>
                <w:szCs w:val="22"/>
                <w:u w:val="none"/>
              </w:rPr>
            </w:pPr>
          </w:p>
        </w:tc>
        <w:tc>
          <w:tcPr>
            <w:tcW w:w="1966" w:type="dxa"/>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cs="宋体"/>
                <w:i w:val="0"/>
                <w:iCs w:val="0"/>
                <w:color w:val="000000"/>
                <w:kern w:val="0"/>
                <w:sz w:val="20"/>
                <w:szCs w:val="20"/>
                <w:u w:val="none"/>
                <w:lang w:val="en-US" w:eastAsia="zh-CN" w:bidi="ar"/>
              </w:rPr>
              <w:t xml:space="preserve">         </w:t>
            </w:r>
            <w:r>
              <w:rPr>
                <w:rFonts w:hint="eastAsia" w:ascii="Times New Roman" w:hAnsi="Times New Roman" w:eastAsia="宋体" w:cs="宋体"/>
                <w:i w:val="0"/>
                <w:iCs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714"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项目名称：</w:t>
            </w:r>
          </w:p>
        </w:tc>
        <w:tc>
          <w:tcPr>
            <w:tcW w:w="300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color w:val="000000"/>
                <w:sz w:val="20"/>
                <w:u w:color="auto"/>
              </w:rPr>
              <w:t>重庆市荣昌区</w:t>
            </w:r>
            <w:r>
              <w:rPr>
                <w:rFonts w:hint="eastAsia"/>
                <w:color w:val="000000"/>
                <w:sz w:val="20"/>
                <w:u w:color="auto"/>
                <w:lang w:eastAsia="zh-CN"/>
              </w:rPr>
              <w:t>畜牧服务中心</w:t>
            </w:r>
            <w:r>
              <w:rPr>
                <w:rFonts w:hint="eastAsia" w:ascii="宋体" w:hAnsi="宋体" w:eastAsia="宋体" w:cs="宋体"/>
                <w:i w:val="0"/>
                <w:color w:val="000000"/>
                <w:kern w:val="0"/>
                <w:sz w:val="20"/>
                <w:szCs w:val="20"/>
                <w:u w:val="none"/>
                <w:lang w:val="en-US" w:eastAsia="zh-CN" w:bidi="ar"/>
              </w:rPr>
              <w:t>整体自评</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项目编码：</w:t>
            </w:r>
          </w:p>
        </w:tc>
        <w:tc>
          <w:tcPr>
            <w:tcW w:w="278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自评总分：</w:t>
            </w:r>
          </w:p>
        </w:tc>
        <w:tc>
          <w:tcPr>
            <w:tcW w:w="237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项目主管部门：</w:t>
            </w:r>
          </w:p>
        </w:tc>
        <w:tc>
          <w:tcPr>
            <w:tcW w:w="300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909-重庆市荣昌区清升镇人民政府</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财政归口处室：</w:t>
            </w:r>
          </w:p>
        </w:tc>
        <w:tc>
          <w:tcPr>
            <w:tcW w:w="278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002-预算科</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cs="宋体"/>
                <w:b/>
                <w:i w:val="0"/>
                <w:color w:val="000000"/>
                <w:kern w:val="0"/>
                <w:sz w:val="20"/>
                <w:szCs w:val="20"/>
                <w:u w:val="none"/>
                <w:lang w:val="en-US" w:eastAsia="zh-CN" w:bidi="ar"/>
              </w:rPr>
              <w:t>单位</w:t>
            </w:r>
            <w:r>
              <w:rPr>
                <w:rFonts w:hint="eastAsia" w:ascii="宋体" w:hAnsi="宋体" w:eastAsia="宋体" w:cs="宋体"/>
                <w:b/>
                <w:i w:val="0"/>
                <w:color w:val="000000"/>
                <w:kern w:val="0"/>
                <w:sz w:val="20"/>
                <w:szCs w:val="20"/>
                <w:u w:val="none"/>
                <w:lang w:val="en-US" w:eastAsia="zh-CN" w:bidi="ar"/>
              </w:rPr>
              <w:t>联系人：</w:t>
            </w:r>
          </w:p>
        </w:tc>
        <w:tc>
          <w:tcPr>
            <w:tcW w:w="237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罗橙</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联系电话：</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18423170446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600" w:hRule="atLeast"/>
        </w:trPr>
        <w:tc>
          <w:tcPr>
            <w:tcW w:w="15322" w:type="dxa"/>
            <w:gridSpan w:val="1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808080"/>
                <w:sz w:val="20"/>
                <w:szCs w:val="20"/>
                <w:u w:val="none"/>
              </w:rPr>
            </w:pPr>
            <w:r>
              <w:rPr>
                <w:rFonts w:hint="eastAsia" w:ascii="微软雅黑" w:hAnsi="微软雅黑" w:eastAsia="微软雅黑" w:cs="微软雅黑"/>
                <w:b/>
                <w:i w:val="0"/>
                <w:color w:val="auto"/>
                <w:kern w:val="0"/>
                <w:sz w:val="20"/>
                <w:szCs w:val="20"/>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35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年初预算数</w:t>
            </w:r>
          </w:p>
        </w:tc>
        <w:tc>
          <w:tcPr>
            <w:tcW w:w="278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全年（调整）预算数</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全年执行数</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执行率</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执行率权重</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年度总金额</w:t>
            </w:r>
          </w:p>
        </w:tc>
        <w:tc>
          <w:tcPr>
            <w:tcW w:w="151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8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9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1620718.4</w:t>
            </w:r>
          </w:p>
        </w:tc>
        <w:tc>
          <w:tcPr>
            <w:tcW w:w="143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349"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1522673.18</w:t>
            </w:r>
          </w:p>
        </w:tc>
        <w:tc>
          <w:tcPr>
            <w:tcW w:w="127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0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1522673.18</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其中：财政拨款</w:t>
            </w:r>
          </w:p>
        </w:tc>
        <w:tc>
          <w:tcPr>
            <w:tcW w:w="151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8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9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1620718.4</w:t>
            </w:r>
          </w:p>
        </w:tc>
        <w:tc>
          <w:tcPr>
            <w:tcW w:w="143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349"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1522673.18</w:t>
            </w:r>
          </w:p>
        </w:tc>
        <w:tc>
          <w:tcPr>
            <w:tcW w:w="127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0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1522673.18</w:t>
            </w:r>
            <w:r>
              <w:rPr>
                <w:rFonts w:hint="eastAsia" w:ascii="宋体" w:hAnsi="宋体" w:eastAsia="宋体" w:cs="宋体"/>
                <w:i w:val="0"/>
                <w:color w:val="000000"/>
                <w:kern w:val="0"/>
                <w:sz w:val="20"/>
                <w:szCs w:val="20"/>
                <w:u w:val="none"/>
                <w:lang w:val="en-US" w:eastAsia="zh-CN" w:bidi="ar"/>
              </w:rPr>
              <w:t xml:space="preserve">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w:t>
            </w:r>
          </w:p>
        </w:tc>
        <w:tc>
          <w:tcPr>
            <w:tcW w:w="151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8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9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1620718.4 </w:t>
            </w:r>
          </w:p>
        </w:tc>
        <w:tc>
          <w:tcPr>
            <w:tcW w:w="143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349"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1522673.18</w:t>
            </w:r>
          </w:p>
        </w:tc>
        <w:tc>
          <w:tcPr>
            <w:tcW w:w="127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0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1522673.18</w:t>
            </w:r>
            <w:r>
              <w:rPr>
                <w:rFonts w:hint="eastAsia" w:ascii="宋体" w:hAnsi="宋体" w:eastAsia="宋体" w:cs="宋体"/>
                <w:i w:val="0"/>
                <w:color w:val="000000"/>
                <w:kern w:val="0"/>
                <w:sz w:val="20"/>
                <w:szCs w:val="20"/>
                <w:u w:val="none"/>
                <w:lang w:val="en-US" w:eastAsia="zh-CN" w:bidi="ar"/>
              </w:rPr>
              <w:t xml:space="preserve">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600" w:hRule="atLeast"/>
        </w:trPr>
        <w:tc>
          <w:tcPr>
            <w:tcW w:w="15322" w:type="dxa"/>
            <w:gridSpan w:val="1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0"/>
                <w:szCs w:val="20"/>
                <w:u w:val="none"/>
              </w:rPr>
            </w:pPr>
            <w:r>
              <w:rPr>
                <w:rFonts w:hint="eastAsia" w:ascii="微软雅黑" w:hAnsi="微软雅黑" w:eastAsia="微软雅黑" w:cs="微软雅黑"/>
                <w:b/>
                <w:i w:val="0"/>
                <w:color w:val="auto"/>
                <w:kern w:val="0"/>
                <w:sz w:val="20"/>
                <w:szCs w:val="20"/>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656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年初绩效目标</w:t>
            </w:r>
          </w:p>
        </w:tc>
        <w:tc>
          <w:tcPr>
            <w:tcW w:w="5461"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全年（调整）绩效目标</w:t>
            </w:r>
          </w:p>
        </w:tc>
        <w:tc>
          <w:tcPr>
            <w:tcW w:w="329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3108" w:hRule="atLeast"/>
        </w:trPr>
        <w:tc>
          <w:tcPr>
            <w:tcW w:w="656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rPr>
              <w:t>实施动物疫病的防疫、强制免疫，协助做好动物、动物产品检疫、兽药、饲料等养殖业投入品及畜产品的技术服务等工作；负责动物疫情调查、监测、报告，畜牧生产指导，畜牧兽医技术推广和畜牧业生产信息统计等工作。</w:t>
            </w:r>
          </w:p>
        </w:tc>
        <w:tc>
          <w:tcPr>
            <w:tcW w:w="546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329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rPr>
              <w:t>实施动物疫病的防疫、强制免疫，协助做好动物、动物产品检疫、兽药、饲料等养殖业投入品及畜产品的技术服务等工作；负责动物疫情调查、监测、报告，畜牧生产指导，畜牧兽医技术推广和畜牧业生产信息统计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600" w:hRule="atLeast"/>
        </w:trPr>
        <w:tc>
          <w:tcPr>
            <w:tcW w:w="15322" w:type="dxa"/>
            <w:gridSpan w:val="1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0"/>
                <w:szCs w:val="20"/>
                <w:u w:val="none"/>
              </w:rPr>
            </w:pPr>
            <w:r>
              <w:rPr>
                <w:rFonts w:hint="eastAsia" w:ascii="微软雅黑" w:hAnsi="微软雅黑" w:eastAsia="微软雅黑" w:cs="微软雅黑"/>
                <w:b/>
                <w:i w:val="0"/>
                <w:color w:val="auto"/>
                <w:kern w:val="0"/>
                <w:sz w:val="20"/>
                <w:szCs w:val="20"/>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指标名称</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计量单位</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指标性质</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指标值</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全年完成值</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偏离度（%）</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得分系数（%）</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指标权重</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指标得分</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是否核心指标</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固定资产利用率</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cs="宋体"/>
                <w:i w:val="0"/>
                <w:color w:val="000000"/>
                <w:kern w:val="0"/>
                <w:sz w:val="20"/>
                <w:szCs w:val="20"/>
                <w:u w:val="none"/>
                <w:lang w:val="en-US" w:eastAsia="zh-CN" w:bidi="ar"/>
              </w:rPr>
              <w:t>%</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95</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95</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人员经费保障率</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cs="宋体"/>
                <w:i w:val="0"/>
                <w:color w:val="000000"/>
                <w:kern w:val="0"/>
                <w:sz w:val="20"/>
                <w:szCs w:val="20"/>
                <w:u w:val="none"/>
                <w:lang w:val="en-US" w:eastAsia="zh-CN" w:bidi="ar"/>
              </w:rPr>
              <w:t>%</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100</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公用经费保障率</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cs="宋体"/>
                <w:i w:val="0"/>
                <w:color w:val="000000"/>
                <w:kern w:val="0"/>
                <w:sz w:val="20"/>
                <w:szCs w:val="20"/>
                <w:u w:val="none"/>
                <w:lang w:val="en-US" w:eastAsia="zh-CN" w:bidi="ar"/>
              </w:rPr>
              <w:t>%</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100</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重点工作完成率</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病死畜禽无害化处理监管率</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righ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righ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是</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重大动物强制免疫密度</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righ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righ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sz w:val="20"/>
                <w:szCs w:val="20"/>
                <w:u w:val="none"/>
                <w:lang w:val="en-US" w:eastAsia="zh-CN"/>
              </w:rPr>
              <w:t>100</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是</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受益或服务对象满意度</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Pr>
        <w:rPr>
          <w:rFonts w:hint="default"/>
          <w:sz w:val="18"/>
          <w:szCs w:val="18"/>
        </w:rPr>
      </w:pP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4384"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3360"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5B1480"/>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6E2DA9"/>
    <w:rsid w:val="03B87EA0"/>
    <w:rsid w:val="03E3214F"/>
    <w:rsid w:val="044C50BA"/>
    <w:rsid w:val="05BC6D49"/>
    <w:rsid w:val="06194FF1"/>
    <w:rsid w:val="06A2550B"/>
    <w:rsid w:val="06F80EE2"/>
    <w:rsid w:val="07001CCA"/>
    <w:rsid w:val="0727105D"/>
    <w:rsid w:val="075678DB"/>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0FBD3C60"/>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45D6F4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B821C91"/>
    <w:rsid w:val="2BF81A22"/>
    <w:rsid w:val="2C636760"/>
    <w:rsid w:val="2C6762A3"/>
    <w:rsid w:val="2DF41D09"/>
    <w:rsid w:val="2FCA4B37"/>
    <w:rsid w:val="2FE029D7"/>
    <w:rsid w:val="2FF06E00"/>
    <w:rsid w:val="30586FEC"/>
    <w:rsid w:val="315F0B22"/>
    <w:rsid w:val="31D84415"/>
    <w:rsid w:val="32285F6F"/>
    <w:rsid w:val="32770556"/>
    <w:rsid w:val="329C0913"/>
    <w:rsid w:val="32AA0460"/>
    <w:rsid w:val="33370EC9"/>
    <w:rsid w:val="3337290D"/>
    <w:rsid w:val="33E31118"/>
    <w:rsid w:val="33EF7674"/>
    <w:rsid w:val="342D7BC6"/>
    <w:rsid w:val="352930DB"/>
    <w:rsid w:val="35573069"/>
    <w:rsid w:val="355F6038"/>
    <w:rsid w:val="358C217E"/>
    <w:rsid w:val="36C9128A"/>
    <w:rsid w:val="37841E99"/>
    <w:rsid w:val="37BF1123"/>
    <w:rsid w:val="383C3F15"/>
    <w:rsid w:val="38BE4696"/>
    <w:rsid w:val="3939115E"/>
    <w:rsid w:val="39AB7AFE"/>
    <w:rsid w:val="39B82A39"/>
    <w:rsid w:val="39C42CA8"/>
    <w:rsid w:val="39DC4FD6"/>
    <w:rsid w:val="39F03D7A"/>
    <w:rsid w:val="39F33306"/>
    <w:rsid w:val="3A1A432E"/>
    <w:rsid w:val="3A2C1C67"/>
    <w:rsid w:val="3A2C6DA1"/>
    <w:rsid w:val="3A6A77C9"/>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4C52C6"/>
    <w:rsid w:val="3F694D83"/>
    <w:rsid w:val="3F885DCC"/>
    <w:rsid w:val="3FCD675E"/>
    <w:rsid w:val="4004000C"/>
    <w:rsid w:val="40BD5482"/>
    <w:rsid w:val="411B6CE5"/>
    <w:rsid w:val="412070D7"/>
    <w:rsid w:val="41314E40"/>
    <w:rsid w:val="41E0734B"/>
    <w:rsid w:val="426C1EA8"/>
    <w:rsid w:val="42736402"/>
    <w:rsid w:val="42E86A87"/>
    <w:rsid w:val="43307B09"/>
    <w:rsid w:val="436D44AF"/>
    <w:rsid w:val="439A3EB9"/>
    <w:rsid w:val="43A2191B"/>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C8D1B40"/>
    <w:rsid w:val="4C9316A8"/>
    <w:rsid w:val="4D1F53CA"/>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9E5A73"/>
    <w:rsid w:val="56FF7E9E"/>
    <w:rsid w:val="578867FC"/>
    <w:rsid w:val="58321776"/>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AF5D7C"/>
    <w:rsid w:val="66EE5541"/>
    <w:rsid w:val="67924660"/>
    <w:rsid w:val="68407834"/>
    <w:rsid w:val="6883293E"/>
    <w:rsid w:val="688412AD"/>
    <w:rsid w:val="68EB1B71"/>
    <w:rsid w:val="696C0310"/>
    <w:rsid w:val="6A6C7940"/>
    <w:rsid w:val="6A9F1565"/>
    <w:rsid w:val="6AAD2300"/>
    <w:rsid w:val="6B474EF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72E1EBA"/>
    <w:rsid w:val="781926BC"/>
    <w:rsid w:val="796D60A4"/>
    <w:rsid w:val="797A664A"/>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1</TotalTime>
  <ScaleCrop>false</ScaleCrop>
  <LinksUpToDate>false</LinksUpToDate>
  <CharactersWithSpaces>26313</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2025-11-03T07:22:22Z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BB46EABDBB2749749395447164B066B3_12</vt:lpwstr>
  </property>
</Properties>
</file>