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重庆市荣昌区清升镇建设环保服务中心</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0"/>
          <w:rFonts w:ascii="黑体" w:hAnsi="黑体" w:eastAsia="黑体" w:cs="黑体"/>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sz w:val="32"/>
          <w:szCs w:val="32"/>
        </w:rPr>
      </w:pPr>
      <w:r>
        <w:rPr>
          <w:rStyle w:val="10"/>
          <w:rFonts w:hint="eastAsia" w:ascii="方正楷体_GBK" w:hAnsi="方正楷体_GBK" w:eastAsia="方正楷体_GBK" w:cs="方正楷体_GBK"/>
          <w:b w:val="0"/>
          <w:bCs/>
          <w:sz w:val="32"/>
          <w:szCs w:val="32"/>
          <w:shd w:val="clear" w:color="auto" w:fill="FFFFFF"/>
        </w:rPr>
        <w:t>（一）职能职责</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eastAsia="zh-CN"/>
        </w:rPr>
        <w:t>本单位为镇政府管理的正科级全额拨款事业单位(公益一类)。宗旨:为辖区建设提供服务，改善人居环境。主要职责:承担规划建设、市政公用事业、房屋管理、市容环境、环</w:t>
      </w:r>
      <w:r>
        <w:rPr>
          <w:rFonts w:hint="default" w:ascii="Times New Roman" w:hAnsi="Times New Roman" w:eastAsia="方正仿宋_GBK" w:cs="Times New Roman"/>
          <w:sz w:val="32"/>
          <w:szCs w:val="32"/>
          <w:shd w:val="clear" w:color="auto" w:fill="FFFFFF"/>
          <w:lang w:val="en-US" w:eastAsia="zh-CN" w:bidi="ar-SA"/>
        </w:rPr>
        <w:t>境保护等领域的事务性服务工作。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楷体_GBK" w:hAnsi="方正楷体_GBK" w:eastAsia="方正楷体_GBK" w:cs="方正楷体_GBK"/>
          <w:b w:val="0"/>
          <w:bCs/>
          <w:sz w:val="32"/>
          <w:szCs w:val="32"/>
          <w:shd w:val="clear" w:color="auto" w:fill="FFFFFF"/>
          <w:lang w:val="en-US" w:eastAsia="zh-CN"/>
        </w:rPr>
      </w:pPr>
      <w:r>
        <w:rPr>
          <w:rStyle w:val="10"/>
          <w:rFonts w:hint="eastAsia" w:ascii="方正楷体_GBK" w:hAnsi="方正楷体_GBK" w:eastAsia="方正楷体_GBK" w:cs="方正楷体_GBK"/>
          <w:b w:val="0"/>
          <w:bCs/>
          <w:sz w:val="32"/>
          <w:szCs w:val="32"/>
          <w:shd w:val="clear" w:color="auto" w:fill="FFFFFF"/>
          <w:lang w:val="en-US" w:eastAsia="zh-CN"/>
        </w:rPr>
        <w:t>（二）机构设置</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eastAsia="zh-CN"/>
        </w:rPr>
        <w:t>从预算单位构成看，纳入本部门202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eastAsia="zh-CN"/>
        </w:rPr>
        <w:t>年度决算编制的二级预算单位主要包括</w:t>
      </w:r>
      <w:r>
        <w:rPr>
          <w:rFonts w:hint="default" w:ascii="Times New Roman" w:hAnsi="Times New Roman" w:eastAsia="方正仿宋_GBK" w:cs="Times New Roman"/>
          <w:sz w:val="32"/>
          <w:szCs w:val="32"/>
          <w:shd w:val="clear" w:color="auto" w:fill="FFFFFF"/>
          <w:lang w:val="en-US" w:eastAsia="zh-CN"/>
        </w:rPr>
        <w:t>重庆市荣昌区清升镇人民政府建设环保服务中心。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单位</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68.85万元。收、支与2023年度相比，减少171.44万元，下降71.4%，主要原因是</w:t>
      </w:r>
      <w:r>
        <w:rPr>
          <w:rFonts w:hint="default" w:ascii="Times New Roman" w:hAnsi="Times New Roman" w:eastAsia="方正仿宋_GBK" w:cs="Times New Roman"/>
          <w:sz w:val="32"/>
          <w:szCs w:val="32"/>
          <w:shd w:val="clear" w:color="auto" w:fill="FFFFFF"/>
          <w:lang w:eastAsia="zh-CN"/>
        </w:rPr>
        <w:t>本年度场镇品质提升项目财政拨款收入、支出减少。</w:t>
      </w:r>
    </w:p>
    <w:p>
      <w:pPr>
        <w:pStyle w:val="6"/>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lang w:val="en-US" w:eastAsia="zh-CN"/>
        </w:rPr>
        <w:t>1</w:t>
      </w:r>
      <w:r>
        <w:rPr>
          <w:rStyle w:val="10"/>
          <w:rFonts w:hint="default" w:ascii="Times New Roman" w:hAnsi="Times New Roman" w:eastAsia="方正仿宋_GBK" w:cs="Times New Roman"/>
          <w:b w:val="0"/>
          <w:bCs/>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2024年度收入合计68.85万元，与2023年度相比，减少171.44万元，下降71.4%，主要原因</w:t>
      </w:r>
      <w:r>
        <w:rPr>
          <w:rFonts w:hint="default" w:ascii="Times New Roman" w:hAnsi="Times New Roman" w:eastAsia="方正仿宋_GBK" w:cs="Times New Roman"/>
          <w:sz w:val="32"/>
          <w:szCs w:val="32"/>
          <w:shd w:val="clear" w:color="auto" w:fill="FFFFFF"/>
          <w:lang w:eastAsia="zh-CN"/>
        </w:rPr>
        <w:t>是本年度场镇品质提升项目财政拨款收入减少。</w:t>
      </w:r>
      <w:r>
        <w:rPr>
          <w:rFonts w:hint="default" w:ascii="Times New Roman" w:hAnsi="Times New Roman" w:eastAsia="方正仿宋_GBK" w:cs="Times New Roman"/>
          <w:sz w:val="32"/>
          <w:szCs w:val="32"/>
          <w:shd w:val="clear" w:color="auto" w:fill="FFFFFF"/>
        </w:rPr>
        <w:t>其中：财政拨款收入68.85万元，占100.0%；事业收入0.00万元，占0.0%；经营收入0.00万元，占0.0%；其他收入0.00万元，占0.0%。此外，使用非财政拨款结余（含专用结余）0.00万元，年初结转和结余0.00万元。</w:t>
      </w:r>
    </w:p>
    <w:p>
      <w:pPr>
        <w:pStyle w:val="6"/>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lang w:val="en-US" w:eastAsia="zh-CN"/>
        </w:rPr>
        <w:t>2</w:t>
      </w:r>
      <w:r>
        <w:rPr>
          <w:rStyle w:val="10"/>
          <w:rFonts w:hint="default" w:ascii="Times New Roman" w:hAnsi="Times New Roman" w:eastAsia="方正仿宋_GBK" w:cs="Times New Roman"/>
          <w:b w:val="0"/>
          <w:bCs/>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2024年度支出合计68.85万元，与2023年度相比，减少171.44万元，下降71.4%，主要原因</w:t>
      </w:r>
      <w:r>
        <w:rPr>
          <w:rFonts w:hint="default" w:ascii="Times New Roman" w:hAnsi="Times New Roman" w:eastAsia="方正仿宋_GBK" w:cs="Times New Roman"/>
          <w:sz w:val="32"/>
          <w:szCs w:val="32"/>
          <w:shd w:val="clear" w:color="auto" w:fill="FFFFFF"/>
          <w:lang w:eastAsia="zh-CN"/>
        </w:rPr>
        <w:t>本年度场镇品质提升项目财政拨款支出减少。</w:t>
      </w:r>
      <w:r>
        <w:rPr>
          <w:rFonts w:hint="default" w:ascii="Times New Roman" w:hAnsi="Times New Roman" w:eastAsia="方正仿宋_GBK" w:cs="Times New Roman"/>
          <w:sz w:val="32"/>
          <w:szCs w:val="32"/>
          <w:shd w:val="clear" w:color="auto" w:fill="FFFFFF"/>
        </w:rPr>
        <w:t>其中：基本支出68.85万元，占100.0%；项目支出0.00万元，占0.0%；经营支出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bCs/>
          <w:sz w:val="32"/>
          <w:szCs w:val="32"/>
          <w:shd w:val="clear" w:color="auto" w:fill="FFFFFF"/>
          <w:lang w:val="en-US" w:eastAsia="zh-CN"/>
        </w:rPr>
        <w:t>3</w:t>
      </w:r>
      <w:r>
        <w:rPr>
          <w:rStyle w:val="10"/>
          <w:rFonts w:hint="default" w:ascii="Times New Roman" w:hAnsi="Times New Roman" w:eastAsia="方正仿宋_GBK" w:cs="Times New Roman"/>
          <w:b w:val="0"/>
          <w:bCs/>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2024年度年末结转和结余0.00万元，与2023年度相比，无增减，主要原因是</w:t>
      </w:r>
      <w:r>
        <w:rPr>
          <w:rFonts w:hint="default" w:ascii="Times New Roman" w:hAnsi="Times New Roman" w:eastAsia="方正仿宋_GBK" w:cs="Times New Roman"/>
          <w:sz w:val="32"/>
          <w:szCs w:val="32"/>
          <w:shd w:val="clear" w:color="auto" w:fill="FFFFFF"/>
          <w:lang w:val="en-US" w:eastAsia="zh-CN"/>
        </w:rPr>
        <w:t>2024年度无年末结转和结余。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2024年度财政拨款收、支总计均为68.85万元。与2023年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相比，财政拨款收、支总计各减少171.44万元，下降71.4%。主要原因是</w:t>
      </w:r>
      <w:r>
        <w:rPr>
          <w:rFonts w:hint="default" w:ascii="Times New Roman" w:hAnsi="Times New Roman" w:eastAsia="方正仿宋_GBK" w:cs="Times New Roman"/>
          <w:sz w:val="32"/>
          <w:szCs w:val="32"/>
          <w:shd w:val="clear" w:color="auto" w:fill="FFFFFF"/>
          <w:lang w:eastAsia="zh-CN"/>
        </w:rPr>
        <w:t>本年度场镇品质提升项目财政拨款收入、支出减少。</w:t>
      </w:r>
    </w:p>
    <w:p>
      <w:pPr>
        <w:pStyle w:val="11"/>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hint="eastAsia" w:ascii="方正楷体_GBK" w:hAnsi="方正楷体_GBK" w:eastAsia="方正楷体_GBK" w:cs="方正楷体_GBK"/>
          <w:b/>
          <w:bCs/>
          <w:sz w:val="32"/>
          <w:szCs w:val="32"/>
          <w:shd w:val="clear" w:color="auto" w:fill="FFFFFF"/>
        </w:rPr>
      </w:pPr>
      <w:r>
        <w:rPr>
          <w:rFonts w:hint="eastAsia" w:ascii="方正楷体_GBK" w:hAnsi="方正楷体_GBK" w:eastAsia="方正楷体_GBK" w:cs="方正楷体_GBK"/>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b w:val="0"/>
          <w:bCs/>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2024年度一般公共预算财政拨款收入68.85万元，与2023年度相比，减少171.44万元，下降71.4%。主要原因是</w:t>
      </w:r>
      <w:r>
        <w:rPr>
          <w:rFonts w:hint="default" w:ascii="Times New Roman" w:hAnsi="Times New Roman" w:eastAsia="方正仿宋_GBK" w:cs="Times New Roman"/>
          <w:sz w:val="32"/>
          <w:szCs w:val="32"/>
          <w:shd w:val="clear" w:color="auto" w:fill="FFFFFF"/>
          <w:lang w:eastAsia="zh-CN"/>
        </w:rPr>
        <w:t>本年度场镇品质提升项目财政拨款收入减少。</w:t>
      </w:r>
      <w:r>
        <w:rPr>
          <w:rFonts w:hint="default" w:ascii="Times New Roman" w:hAnsi="Times New Roman" w:eastAsia="方正仿宋_GBK" w:cs="Times New Roman"/>
          <w:sz w:val="32"/>
          <w:szCs w:val="32"/>
          <w:shd w:val="clear" w:color="auto" w:fill="FFFFFF"/>
        </w:rPr>
        <w:t>较年初预算数减少103.02万元，下降59.9%。主要原因是</w:t>
      </w:r>
      <w:r>
        <w:rPr>
          <w:rFonts w:hint="default" w:ascii="Times New Roman" w:hAnsi="Times New Roman" w:eastAsia="方正仿宋_GBK" w:cs="Times New Roman"/>
          <w:sz w:val="32"/>
          <w:szCs w:val="32"/>
          <w:shd w:val="clear" w:color="auto" w:fill="FFFFFF"/>
          <w:lang w:eastAsia="zh-CN"/>
        </w:rPr>
        <w:t>老旧小区改造接近尾声，场镇品质提升项目拨款减少。</w:t>
      </w:r>
      <w:r>
        <w:rPr>
          <w:rFonts w:hint="default" w:ascii="Times New Roman" w:hAnsi="Times New Roman" w:eastAsia="方正仿宋_GBK" w:cs="Times New Roman"/>
          <w:sz w:val="32"/>
          <w:szCs w:val="32"/>
          <w:shd w:val="clear" w:color="auto" w:fill="FFFFFF"/>
        </w:rPr>
        <w:t>此外，年初财政拨款结转和结余0.00万元。</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2024年度一般公共预算财政拨款支出68.85万元，与2023年度相比，减少171.44万元，下降71.4%。主要原因是</w:t>
      </w:r>
      <w:r>
        <w:rPr>
          <w:rFonts w:hint="default" w:ascii="Times New Roman" w:hAnsi="Times New Roman" w:eastAsia="方正仿宋_GBK" w:cs="Times New Roman"/>
          <w:sz w:val="32"/>
          <w:szCs w:val="32"/>
          <w:shd w:val="clear" w:color="auto" w:fill="FFFFFF"/>
          <w:lang w:eastAsia="zh-CN"/>
        </w:rPr>
        <w:t>本年度场镇品质提升项目财政拨款收入减少</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较年初预算数减少103.02万元，下降59.9%。主要原因是</w:t>
      </w:r>
      <w:r>
        <w:rPr>
          <w:rFonts w:hint="default" w:ascii="Times New Roman" w:hAnsi="Times New Roman" w:eastAsia="方正仿宋_GBK" w:cs="Times New Roman"/>
          <w:sz w:val="32"/>
          <w:szCs w:val="32"/>
          <w:shd w:val="clear" w:color="auto" w:fill="FFFFFF"/>
          <w:lang w:eastAsia="zh-CN"/>
        </w:rPr>
        <w:t>老旧小区改造接近尾声，场镇品质提升项目拨款减少。</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就业支出8.71万元，占12.7%，较年初预算数增加2.42万元，增长38.5%，主要原因是</w:t>
      </w:r>
      <w:r>
        <w:rPr>
          <w:rFonts w:hint="default" w:ascii="Times New Roman" w:hAnsi="Times New Roman" w:eastAsia="方正仿宋_GBK" w:cs="Times New Roman"/>
          <w:color w:val="auto"/>
          <w:sz w:val="32"/>
          <w:szCs w:val="32"/>
          <w:shd w:val="clear" w:color="auto" w:fill="FFFFFF"/>
          <w:lang w:eastAsia="zh-CN"/>
        </w:rPr>
        <w:t>本年度补缴了养老保险和职业年金。</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）卫生健康支出2.37万元，占3.5%，较年初预算数减少0.73万元，下降23.6%，主要原因是</w:t>
      </w:r>
      <w:r>
        <w:rPr>
          <w:rFonts w:hint="default" w:ascii="Times New Roman" w:hAnsi="Times New Roman" w:eastAsia="方正仿宋_GBK" w:cs="Times New Roman"/>
          <w:sz w:val="32"/>
          <w:szCs w:val="32"/>
          <w:shd w:val="clear" w:color="auto" w:fill="FFFFFF"/>
          <w:lang w:eastAsia="zh-CN"/>
        </w:rPr>
        <w:t>社保基数调整，与年初预算略有误差。</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）城乡社区支出54.67万元，占79.4%，较年初预算数减少104.27万元，下降65.6%，主要原因是</w:t>
      </w:r>
      <w:r>
        <w:rPr>
          <w:rFonts w:hint="default" w:ascii="Times New Roman" w:hAnsi="Times New Roman" w:eastAsia="方正仿宋_GBK" w:cs="Times New Roman"/>
          <w:sz w:val="32"/>
          <w:szCs w:val="32"/>
          <w:shd w:val="clear" w:color="auto" w:fill="FFFFFF"/>
          <w:lang w:eastAsia="zh-CN"/>
        </w:rPr>
        <w:t>老旧小区改造接近尾声，场镇品质提升项目拨款减少。</w:t>
      </w:r>
    </w:p>
    <w:p>
      <w:pPr>
        <w:spacing w:line="596" w:lineRule="exact"/>
        <w:ind w:firstLine="640" w:firstLineChars="200"/>
        <w:jc w:val="both"/>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3.09万元，占4.5%，较年初预算数减少0.06万元，下降1.9%，主要原因是</w:t>
      </w:r>
      <w:r>
        <w:rPr>
          <w:rFonts w:hint="default" w:ascii="Times New Roman" w:hAnsi="Times New Roman" w:eastAsia="方正仿宋_GBK" w:cs="Times New Roman"/>
          <w:color w:val="auto"/>
          <w:sz w:val="32"/>
          <w:szCs w:val="32"/>
          <w:shd w:val="clear" w:color="auto" w:fill="FFFFFF"/>
          <w:lang w:eastAsia="zh-CN"/>
        </w:rPr>
        <w:t>公积金基数调整，与年初预算数略有误差。</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Style w:val="10"/>
          <w:rFonts w:hint="default" w:ascii="Times New Roman" w:hAnsi="Times New Roman" w:eastAsia="方正仿宋_GBK" w:cs="Times New Roman"/>
          <w:b w:val="0"/>
          <w:bCs/>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sz w:val="32"/>
          <w:szCs w:val="32"/>
          <w:shd w:val="clear" w:color="auto" w:fill="FFFFFF"/>
          <w:lang w:val="en-US" w:eastAsia="zh-CN"/>
        </w:rPr>
        <w:t>2024年度无年末结转和结余。</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2024年度一般公共财政拨款基本支出68.85万元。其中：人员经费58.25万元，与2023年度相比，减少2.42万元，下降4.0%，主要原因是</w:t>
      </w:r>
      <w:r>
        <w:rPr>
          <w:rFonts w:hint="default" w:ascii="Times New Roman" w:hAnsi="Times New Roman" w:eastAsia="方正仿宋_GBK" w:cs="Times New Roman"/>
          <w:sz w:val="32"/>
          <w:szCs w:val="32"/>
          <w:shd w:val="clear" w:color="auto" w:fill="FFFFFF"/>
          <w:lang w:eastAsia="zh-CN"/>
        </w:rPr>
        <w:t>社保基数调整，本年度补缴的职业年金小于上年数。</w:t>
      </w:r>
      <w:r>
        <w:rPr>
          <w:rFonts w:hint="default" w:ascii="Times New Roman" w:hAnsi="Times New Roman" w:eastAsia="方正仿宋_GBK" w:cs="Times New Roman"/>
          <w:sz w:val="32"/>
          <w:szCs w:val="32"/>
          <w:shd w:val="clear" w:color="auto" w:fill="FFFFFF"/>
        </w:rPr>
        <w:t>人员经费用途主要包括基本工资、绩效工资、津贴补贴、各项奖金、社会保障缴费以及部分离退休人员经费支出等</w:t>
      </w:r>
      <w:r>
        <w:rPr>
          <w:rFonts w:hint="default" w:ascii="Times New Roman" w:hAnsi="Times New Roman" w:eastAsia="方正仿宋_GBK" w:cs="Times New Roman"/>
          <w:color w:val="auto"/>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公用经费10.60万元，与2023年度相比，增加8.63万元，增长438.1%，主要原因是年初公用经费安排方面有所变化、由上年度在政府本级列支转变为本单位自行列支、故本年</w:t>
      </w:r>
      <w:r>
        <w:rPr>
          <w:rFonts w:hint="default" w:ascii="Times New Roman" w:hAnsi="Times New Roman" w:eastAsia="方正仿宋_GBK" w:cs="Times New Roman"/>
          <w:sz w:val="32"/>
          <w:szCs w:val="32"/>
          <w:shd w:val="clear" w:color="auto" w:fill="FFFFFF"/>
          <w:lang w:eastAsia="zh-CN"/>
        </w:rPr>
        <w:t>公用经费</w:t>
      </w:r>
      <w:r>
        <w:rPr>
          <w:rFonts w:hint="default" w:ascii="Times New Roman" w:hAnsi="Times New Roman" w:eastAsia="方正仿宋_GBK" w:cs="Times New Roman"/>
          <w:sz w:val="32"/>
          <w:szCs w:val="32"/>
          <w:shd w:val="clear" w:color="auto" w:fill="FFFFFF"/>
        </w:rPr>
        <w:t>高于上年水平</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val="en-US" w:eastAsia="zh-CN"/>
        </w:rPr>
        <w:t>办公费、印刷费、咨询费、水电费、邮电费、差旅费、会议费、公务接待费、劳务费、公务用车运行维护费、其他商品和服务支出等费用支出。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本单位2024年度无政府性基金预算财政拨款收支。</w:t>
      </w:r>
    </w:p>
    <w:p>
      <w:pPr>
        <w:pStyle w:val="6"/>
        <w:snapToGrid w:val="0"/>
        <w:spacing w:before="0" w:beforeAutospacing="0" w:after="0" w:afterAutospacing="0" w:line="596" w:lineRule="exact"/>
        <w:ind w:firstLine="640" w:firstLineChars="200"/>
        <w:jc w:val="both"/>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本单位2024年度无国有资本经营预算财政拨款支出。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i w:val="0"/>
          <w:iCs w:val="0"/>
          <w:sz w:val="32"/>
          <w:szCs w:val="32"/>
          <w:lang w:eastAsia="zh-CN"/>
        </w:rPr>
      </w:pPr>
      <w:r>
        <w:rPr>
          <w:rFonts w:hint="default" w:ascii="Times New Roman" w:hAnsi="Times New Roman" w:eastAsia="方正仿宋_GBK" w:cs="Times New Roman"/>
          <w:sz w:val="32"/>
          <w:szCs w:val="32"/>
          <w:shd w:val="clear" w:color="auto" w:fill="FFFFFF"/>
        </w:rPr>
        <w:t>2024年度“三公”经费支出共计0.96万元，较年初预算数减少0.04万元，下降4.0%，主要原因是</w:t>
      </w:r>
      <w:r>
        <w:rPr>
          <w:rFonts w:hint="default" w:ascii="Times New Roman" w:hAnsi="Times New Roman" w:eastAsia="方正仿宋_GBK" w:cs="Times New Roman"/>
          <w:color w:val="auto"/>
          <w:sz w:val="32"/>
          <w:szCs w:val="32"/>
          <w:shd w:val="clear" w:color="auto" w:fill="FFFFFF"/>
          <w:lang w:eastAsia="zh-CN"/>
        </w:rPr>
        <w:t>年初预算数不准确，与实际使用情况有误差。</w:t>
      </w:r>
      <w:r>
        <w:rPr>
          <w:rFonts w:hint="default" w:ascii="Times New Roman" w:hAnsi="Times New Roman" w:eastAsia="方正仿宋_GBK" w:cs="Times New Roman"/>
          <w:sz w:val="32"/>
          <w:szCs w:val="32"/>
          <w:shd w:val="clear" w:color="auto" w:fill="FFFFFF"/>
        </w:rPr>
        <w:t>较上年支出数增加0.96万元，增长100.0%，主要原因是</w:t>
      </w:r>
      <w:r>
        <w:rPr>
          <w:rFonts w:hint="default" w:ascii="Times New Roman" w:hAnsi="Times New Roman" w:eastAsia="方正仿宋_GBK" w:cs="Times New Roman"/>
          <w:i w:val="0"/>
          <w:iCs w:val="0"/>
          <w:color w:val="auto"/>
          <w:sz w:val="32"/>
          <w:szCs w:val="32"/>
          <w:shd w:val="clear" w:color="auto" w:fill="FFFFFF"/>
          <w:lang w:eastAsia="zh-CN"/>
        </w:rPr>
        <w:t>上年度公务车运行维护费主要在本级体现，本单位未发生公车维修维护费。</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因公出国（境）费用0.00万元，费用支出较年初预算数无增减，较上年支出数无增减，主要原因是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2024年未发生</w:t>
      </w:r>
      <w:r>
        <w:rPr>
          <w:rFonts w:hint="default" w:ascii="Times New Roman" w:hAnsi="Times New Roman" w:eastAsia="方正仿宋_GBK" w:cs="Times New Roman"/>
          <w:color w:val="auto"/>
          <w:sz w:val="32"/>
          <w:szCs w:val="32"/>
          <w:shd w:val="clear" w:color="auto" w:fill="FFFFFF"/>
        </w:rPr>
        <w:t>因</w:t>
      </w:r>
      <w:r>
        <w:rPr>
          <w:rFonts w:hint="default" w:ascii="Times New Roman" w:hAnsi="Times New Roman" w:eastAsia="方正仿宋_GBK" w:cs="Times New Roman"/>
          <w:sz w:val="32"/>
          <w:szCs w:val="32"/>
          <w:shd w:val="clear" w:color="auto" w:fill="FFFFFF"/>
        </w:rPr>
        <w:t>公出国（境）费用</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2024年未发生</w:t>
      </w: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i w:val="0"/>
          <w:iCs w:val="0"/>
          <w:sz w:val="32"/>
          <w:szCs w:val="32"/>
          <w:lang w:eastAsia="zh-CN"/>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车运行维护费0.96万元，主要用于</w:t>
      </w:r>
      <w:r>
        <w:rPr>
          <w:rFonts w:hint="default" w:ascii="Times New Roman" w:hAnsi="Times New Roman" w:eastAsia="方正仿宋_GBK" w:cs="Times New Roman"/>
          <w:sz w:val="32"/>
          <w:szCs w:val="32"/>
          <w:shd w:val="clear" w:color="auto" w:fill="FFFFFF"/>
          <w:lang w:val="en-US" w:eastAsia="zh-CN"/>
        </w:rPr>
        <w:t>机要文件交换、因公出行、镇辖区管辖范围内各项业务检查等工作所需车辆的燃料费、维修费、过桥过路费、保险费等。</w:t>
      </w:r>
      <w:r>
        <w:rPr>
          <w:rFonts w:hint="default" w:ascii="Times New Roman" w:hAnsi="Times New Roman" w:eastAsia="方正仿宋_GBK" w:cs="Times New Roman"/>
          <w:sz w:val="32"/>
          <w:szCs w:val="32"/>
          <w:shd w:val="clear" w:color="auto" w:fill="FFFFFF"/>
        </w:rPr>
        <w:t>费用支出较年初预算数减少0.04万元，下降4.0%，主要原因是</w:t>
      </w:r>
      <w:r>
        <w:rPr>
          <w:rFonts w:hint="default" w:ascii="Times New Roman" w:hAnsi="Times New Roman" w:eastAsia="方正仿宋_GBK" w:cs="Times New Roman"/>
          <w:color w:val="auto"/>
          <w:sz w:val="32"/>
          <w:szCs w:val="32"/>
          <w:shd w:val="clear" w:color="auto" w:fill="FFFFFF"/>
          <w:lang w:eastAsia="zh-CN"/>
        </w:rPr>
        <w:t>年初预算数不准确，与实际使用情况有误差。</w:t>
      </w:r>
      <w:r>
        <w:rPr>
          <w:rFonts w:hint="default" w:ascii="Times New Roman" w:hAnsi="Times New Roman" w:eastAsia="方正仿宋_GBK" w:cs="Times New Roman"/>
          <w:sz w:val="32"/>
          <w:szCs w:val="32"/>
          <w:shd w:val="clear" w:color="auto" w:fill="FFFFFF"/>
        </w:rPr>
        <w:t>较上年支出数增加0.96万元，增长100.0%，主要原因是</w:t>
      </w:r>
      <w:r>
        <w:rPr>
          <w:rFonts w:hint="default" w:ascii="Times New Roman" w:hAnsi="Times New Roman" w:eastAsia="方正仿宋_GBK" w:cs="Times New Roman"/>
          <w:i w:val="0"/>
          <w:iCs w:val="0"/>
          <w:color w:val="auto"/>
          <w:sz w:val="32"/>
          <w:szCs w:val="32"/>
          <w:shd w:val="clear" w:color="auto" w:fill="FFFFFF"/>
          <w:lang w:eastAsia="zh-CN"/>
        </w:rPr>
        <w:t>上年度公务车运行维护费主要在本级体现，本单位未发生公车维修维护费。</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公务接待费0.00万元，费用支出较年初预算数无增减，较上年支出数无增减，主要原因是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2024年未发生</w:t>
      </w: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因公出国（境）共计0个团组，0人；公务用车购置0辆，公务车保有量为2辆；国内公务接待0批次0人，其中：国内外事接待0批次，0人；国（境）外公务接待0批次，0人。2024年本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人均接待费0元，车均购置费0万元，车均维护费0.48万元</w:t>
      </w:r>
      <w:r>
        <w:rPr>
          <w:rFonts w:hint="default" w:ascii="Times New Roman" w:hAnsi="Times New Roman" w:eastAsia="方正仿宋_GBK" w:cs="Times New Roman"/>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sz w:val="32"/>
          <w:szCs w:val="32"/>
          <w:shd w:val="clear" w:color="auto" w:fill="FFFFFF"/>
        </w:rPr>
        <w:t>本年度会议费支出0.00万元，与2023年度相比，无增减，本年度培训费支出0.00万元，与2023年度相比，减少0.20万元，下降100.0%，主要原因是</w:t>
      </w:r>
      <w:r>
        <w:rPr>
          <w:rFonts w:hint="default" w:ascii="Times New Roman" w:hAnsi="Times New Roman" w:eastAsia="方正仿宋_GBK" w:cs="Times New Roman"/>
          <w:color w:val="auto"/>
          <w:sz w:val="32"/>
          <w:szCs w:val="32"/>
          <w:shd w:val="clear" w:color="auto" w:fill="FFFFFF"/>
          <w:lang w:eastAsia="zh-CN"/>
        </w:rPr>
        <w:t>利用数字化平台，进行线上培训，减少线下支出。</w:t>
      </w:r>
      <w:r>
        <w:rPr>
          <w:rFonts w:hint="default" w:ascii="Times New Roman" w:hAnsi="Times New Roman" w:eastAsia="方正仿宋_GBK" w:cs="Times New Roman"/>
          <w:sz w:val="32"/>
          <w:szCs w:val="32"/>
          <w:shd w:val="clear" w:color="auto" w:fill="FFFFFF"/>
        </w:rPr>
        <w:t>本年度差旅费支出0.00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与2023年度相比，减少1.68万元，下降100.0%，主要原因是</w:t>
      </w:r>
      <w:r>
        <w:rPr>
          <w:rFonts w:hint="default" w:ascii="Times New Roman" w:hAnsi="Times New Roman" w:eastAsia="方正仿宋_GBK" w:cs="Times New Roman"/>
          <w:sz w:val="32"/>
          <w:szCs w:val="32"/>
          <w:shd w:val="clear" w:color="auto" w:fill="FFFFFF"/>
          <w:lang w:eastAsia="zh-CN"/>
        </w:rPr>
        <w:t>数字办公化普及，大量工作通过线上会议、视频沟通等方式开展，替代传统的现场调研、异地协调，减少了差旅需求。</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lang w:eastAsia="zh-CN"/>
        </w:rPr>
        <w:t>按照部门决算列报口径，我单位不在机关运行经费统计范围之内。</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2辆，其中，副部（省）级及以上领导用车0辆、主要负责人用车0辆、机要通信用车0辆、应急保障用车2辆、执法执勤用车0辆，特种专业技术用车0辆，离退休干部用车0辆。单价100万元（含）以上专用设备0台（套）。</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2024年度我</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未发生政府采购事项，无相关经费支</w:t>
      </w:r>
      <w:r>
        <w:rPr>
          <w:rFonts w:hint="default" w:ascii="Times New Roman" w:hAnsi="Times New Roman" w:eastAsia="方正仿宋_GBK" w:cs="Times New Roman"/>
          <w:sz w:val="32"/>
          <w:szCs w:val="32"/>
          <w:shd w:val="clear" w:color="auto" w:fill="FFFFFF"/>
          <w:lang w:eastAsia="zh-CN"/>
        </w:rPr>
        <w:t>出。</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黑体_GBK" w:hAnsi="方正黑体_GBK" w:eastAsia="方正黑体_GBK" w:cs="方正黑体_GBK"/>
          <w:b w:val="0"/>
          <w:bCs/>
          <w:sz w:val="32"/>
          <w:szCs w:val="32"/>
          <w:highlight w:val="yellow"/>
          <w:shd w:val="clear" w:color="auto" w:fill="FFFFFF"/>
          <w:lang w:bidi="ar"/>
        </w:rPr>
      </w:pPr>
      <w:r>
        <w:rPr>
          <w:rStyle w:val="10"/>
          <w:rFonts w:hint="eastAsia" w:ascii="方正黑体_GBK" w:hAnsi="方正黑体_GBK" w:eastAsia="方正黑体_GBK" w:cs="方正黑体_GBK"/>
          <w:b w:val="0"/>
          <w:bCs/>
          <w:sz w:val="32"/>
          <w:szCs w:val="32"/>
          <w:shd w:val="clear" w:color="auto" w:fill="FFFFFF"/>
        </w:rPr>
        <w:t>五、</w:t>
      </w:r>
      <w:r>
        <w:rPr>
          <w:rStyle w:val="10"/>
          <w:rFonts w:hint="eastAsia" w:ascii="方正黑体_GBK" w:hAnsi="方正黑体_GBK" w:eastAsia="方正黑体_GBK" w:cs="方正黑体_GBK"/>
          <w:b w:val="0"/>
          <w:bCs/>
          <w:sz w:val="32"/>
          <w:szCs w:val="32"/>
          <w:shd w:val="clear" w:color="auto" w:fill="FFFFFF"/>
          <w:lang w:eastAsia="zh-CN"/>
        </w:rPr>
        <w:t>预算</w:t>
      </w:r>
      <w:r>
        <w:rPr>
          <w:rStyle w:val="10"/>
          <w:rFonts w:hint="eastAsia" w:ascii="方正黑体_GBK" w:hAnsi="方正黑体_GBK" w:eastAsia="方正黑体_GBK" w:cs="方正黑体_GBK"/>
          <w:b w:val="0"/>
          <w:bCs/>
          <w:sz w:val="32"/>
          <w:szCs w:val="32"/>
          <w:shd w:val="clear" w:color="auto" w:fill="FFFFFF"/>
          <w:lang w:val="en-US" w:eastAsia="zh-CN" w:bidi="ar-SA"/>
        </w:rPr>
        <w:t>绩效管理情况说明</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sz w:val="32"/>
          <w:szCs w:val="32"/>
          <w:shd w:val="clear" w:color="auto" w:fill="FFFFFF"/>
          <w:lang w:val="en-US" w:eastAsia="zh-CN"/>
        </w:rPr>
      </w:pPr>
      <w:r>
        <w:rPr>
          <w:rFonts w:hint="eastAsia" w:ascii="方正楷体_GBK" w:hAnsi="方正楷体_GBK" w:eastAsia="方正楷体_GBK" w:cs="方正楷体_GBK"/>
          <w:b w:val="0"/>
          <w:bCs/>
          <w:sz w:val="32"/>
          <w:szCs w:val="32"/>
          <w:shd w:val="clear" w:color="auto" w:fill="FFFFFF"/>
        </w:rPr>
        <w:t>（一）</w:t>
      </w:r>
      <w:r>
        <w:rPr>
          <w:rFonts w:hint="eastAsia" w:ascii="方正楷体_GBK" w:hAnsi="方正楷体_GBK" w:eastAsia="方正楷体_GBK" w:cs="方正楷体_GBK"/>
          <w:b w:val="0"/>
          <w:bCs/>
          <w:sz w:val="32"/>
          <w:szCs w:val="32"/>
          <w:shd w:val="clear" w:color="auto" w:fill="FFFFFF"/>
          <w:lang w:val="en-US" w:eastAsia="zh-CN"/>
        </w:rPr>
        <w:t>单位</w:t>
      </w:r>
      <w:r>
        <w:rPr>
          <w:rFonts w:hint="eastAsia" w:ascii="方正楷体_GBK" w:hAnsi="方正楷体_GBK" w:eastAsia="方正楷体_GBK" w:cs="方正楷体_GBK"/>
          <w:b w:val="0"/>
          <w:bCs/>
          <w:sz w:val="32"/>
          <w:szCs w:val="32"/>
          <w:shd w:val="clear" w:color="auto" w:fill="FFFFFF"/>
        </w:rPr>
        <w:t>自评情况</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根据预算绩效管理要求，我</w:t>
      </w:r>
      <w:r>
        <w:rPr>
          <w:rFonts w:hint="default" w:ascii="Times New Roman" w:hAnsi="Times New Roman" w:eastAsia="方正仿宋_GBK" w:cs="Times New Roman"/>
          <w:sz w:val="32"/>
          <w:szCs w:val="32"/>
          <w:shd w:val="clear" w:color="auto" w:fill="FFFFFF"/>
          <w:lang w:val="en-US" w:eastAsia="zh-CN"/>
        </w:rPr>
        <w:t>单位</w:t>
      </w:r>
      <w:r>
        <w:rPr>
          <w:rFonts w:hint="default" w:ascii="Times New Roman" w:hAnsi="Times New Roman" w:eastAsia="方正仿宋_GBK" w:cs="Times New Roman"/>
          <w:sz w:val="32"/>
          <w:szCs w:val="32"/>
          <w:shd w:val="clear" w:color="auto" w:fill="FFFFFF"/>
        </w:rPr>
        <w:t>对</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个项目开展了绩效自评，涉及</w:t>
      </w:r>
      <w:r>
        <w:rPr>
          <w:rFonts w:hint="default" w:ascii="Times New Roman" w:hAnsi="Times New Roman" w:eastAsia="方正仿宋_GBK" w:cs="Times New Roman"/>
          <w:sz w:val="32"/>
          <w:szCs w:val="32"/>
          <w:shd w:val="clear" w:color="auto" w:fill="FFFFFF"/>
          <w:lang w:eastAsia="zh-CN"/>
        </w:rPr>
        <w:t>财政拨款</w:t>
      </w:r>
      <w:r>
        <w:rPr>
          <w:rFonts w:hint="default" w:ascii="Times New Roman" w:hAnsi="Times New Roman" w:eastAsia="方正仿宋_GBK" w:cs="Times New Roman"/>
          <w:sz w:val="32"/>
          <w:szCs w:val="32"/>
          <w:shd w:val="clear" w:color="auto" w:fill="FFFFFF"/>
        </w:rPr>
        <w:t>资金</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p>
    <w:p>
      <w:pPr>
        <w:pStyle w:val="6"/>
        <w:snapToGrid w:val="0"/>
        <w:spacing w:before="0" w:beforeAutospacing="0" w:after="0" w:afterAutospacing="0" w:line="596" w:lineRule="exact"/>
        <w:ind w:firstLine="640" w:firstLineChars="200"/>
        <w:jc w:val="both"/>
        <w:rPr>
          <w:rFonts w:hint="eastAsia" w:ascii="方正楷体_GBK" w:hAnsi="方正楷体_GBK" w:eastAsia="方正楷体_GBK" w:cs="方正楷体_GBK"/>
          <w:b w:val="0"/>
          <w:bCs/>
          <w:sz w:val="32"/>
          <w:szCs w:val="32"/>
          <w:shd w:val="clear" w:color="auto" w:fill="FFFFFF"/>
          <w:lang w:val="en-US" w:eastAsia="zh-CN" w:bidi="ar-SA"/>
        </w:rPr>
      </w:pPr>
      <w:r>
        <w:rPr>
          <w:rFonts w:hint="eastAsia" w:ascii="方正楷体_GBK" w:hAnsi="方正楷体_GBK" w:eastAsia="方正楷体_GBK" w:cs="方正楷体_GBK"/>
          <w:b w:val="0"/>
          <w:bCs/>
          <w:sz w:val="32"/>
          <w:szCs w:val="32"/>
          <w:shd w:val="clear" w:color="auto" w:fill="FFFFFF"/>
          <w:lang w:val="en-US" w:eastAsia="zh-CN" w:bidi="ar-SA"/>
        </w:rPr>
        <w:t>（二）单位绩效评价情况</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仿宋_GBK" w:cs="Times New Roman"/>
          <w:sz w:val="32"/>
          <w:szCs w:val="32"/>
          <w:shd w:val="clear" w:color="auto" w:fill="FFFFFF"/>
          <w:lang w:eastAsia="zh-CN" w:bidi="ar"/>
        </w:rPr>
      </w:pPr>
      <w:r>
        <w:rPr>
          <w:rFonts w:hint="default" w:ascii="Times New Roman" w:hAnsi="Times New Roman" w:eastAsia="方正仿宋_GBK" w:cs="Times New Roman"/>
          <w:sz w:val="32"/>
          <w:szCs w:val="32"/>
          <w:shd w:val="clear" w:color="auto" w:fill="FFFFFF"/>
          <w:lang w:eastAsia="zh-CN" w:bidi="ar"/>
        </w:rPr>
        <w:t>我</w:t>
      </w:r>
      <w:r>
        <w:rPr>
          <w:rFonts w:hint="default" w:ascii="Times New Roman" w:hAnsi="Times New Roman" w:eastAsia="方正仿宋_GBK" w:cs="Times New Roman"/>
          <w:sz w:val="32"/>
          <w:szCs w:val="32"/>
          <w:shd w:val="clear" w:color="auto" w:fill="FFFFFF"/>
          <w:lang w:val="en-US" w:eastAsia="zh-CN" w:bidi="ar"/>
        </w:rPr>
        <w:t>单位</w:t>
      </w:r>
      <w:r>
        <w:rPr>
          <w:rFonts w:hint="default" w:ascii="Times New Roman" w:hAnsi="Times New Roman" w:eastAsia="方正仿宋_GBK" w:cs="Times New Roman"/>
          <w:sz w:val="32"/>
          <w:szCs w:val="32"/>
          <w:shd w:val="clear" w:color="auto" w:fill="FFFFFF"/>
          <w:lang w:eastAsia="zh-CN" w:bidi="ar"/>
        </w:rPr>
        <w:t>未组织开展绩效评价。</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eastAsia" w:ascii="方正楷体_GBK" w:hAnsi="方正楷体_GBK" w:eastAsia="方正楷体_GBK" w:cs="方正楷体_GBK"/>
          <w:b w:val="0"/>
          <w:bCs/>
          <w:sz w:val="32"/>
          <w:szCs w:val="32"/>
          <w:shd w:val="clear" w:color="auto" w:fill="FFFFFF"/>
          <w:lang w:val="en-US" w:eastAsia="zh-CN" w:bidi="ar"/>
        </w:rPr>
      </w:pPr>
      <w:r>
        <w:rPr>
          <w:rFonts w:hint="eastAsia" w:ascii="方正楷体_GBK" w:hAnsi="方正楷体_GBK" w:eastAsia="方正楷体_GBK" w:cs="方正楷体_GBK"/>
          <w:b w:val="0"/>
          <w:bCs/>
          <w:sz w:val="32"/>
          <w:szCs w:val="32"/>
          <w:shd w:val="clear" w:color="auto" w:fill="FFFFFF"/>
          <w:lang w:val="en-US" w:eastAsia="zh-CN" w:bidi="ar"/>
        </w:rPr>
        <w:t xml:space="preserve">（三）财政绩效评价情况 </w:t>
      </w:r>
    </w:p>
    <w:p>
      <w:pPr>
        <w:pStyle w:val="11"/>
        <w:keepNext w:val="0"/>
        <w:keepLines w:val="0"/>
        <w:pageBreakBefore w:val="0"/>
        <w:widowControl/>
        <w:kinsoku/>
        <w:wordWrap/>
        <w:overflowPunct/>
        <w:topLinePunct w:val="0"/>
        <w:autoSpaceDE w:val="0"/>
        <w:autoSpaceDN/>
        <w:bidi w:val="0"/>
        <w:adjustRightInd/>
        <w:snapToGrid/>
        <w:spacing w:line="596"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bidi="ar"/>
        </w:rPr>
      </w:pPr>
      <w:r>
        <w:rPr>
          <w:rFonts w:hint="default" w:ascii="Times New Roman" w:hAnsi="Times New Roman" w:eastAsia="方正仿宋_GBK" w:cs="Times New Roman"/>
          <w:sz w:val="32"/>
          <w:szCs w:val="32"/>
          <w:shd w:val="clear" w:color="auto" w:fill="FFFFFF"/>
          <w:lang w:val="en-US" w:eastAsia="zh-CN" w:bidi="ar-SA"/>
        </w:rPr>
        <w:t>区财政局未委托第三方对我单位开展绩效评价。</w:t>
      </w:r>
    </w:p>
    <w:p>
      <w:pPr>
        <w:pStyle w:val="6"/>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黑体_GBK" w:hAnsi="方正黑体_GBK" w:eastAsia="方正黑体_GBK" w:cs="方正黑体_GBK"/>
          <w:b w:val="0"/>
          <w:bCs/>
          <w:sz w:val="32"/>
          <w:szCs w:val="32"/>
          <w:lang w:eastAsia="zh-CN"/>
        </w:rPr>
      </w:pPr>
      <w:r>
        <w:rPr>
          <w:rStyle w:val="10"/>
          <w:rFonts w:hint="eastAsia" w:ascii="方正黑体_GBK" w:hAnsi="方正黑体_GBK" w:eastAsia="方正黑体_GBK" w:cs="方正黑体_GBK"/>
          <w:b w:val="0"/>
          <w:bCs/>
          <w:sz w:val="32"/>
          <w:szCs w:val="32"/>
          <w:shd w:val="clear" w:color="auto" w:fill="FFFFFF"/>
          <w:lang w:eastAsia="zh-CN"/>
        </w:rPr>
        <w:t>六</w:t>
      </w:r>
      <w:r>
        <w:rPr>
          <w:rStyle w:val="10"/>
          <w:rFonts w:hint="eastAsia" w:ascii="方正黑体_GBK" w:hAnsi="方正黑体_GBK" w:eastAsia="方正黑体_GBK" w:cs="方正黑体_GBK"/>
          <w:b w:val="0"/>
          <w:bCs/>
          <w:sz w:val="32"/>
          <w:szCs w:val="32"/>
          <w:shd w:val="clear" w:color="auto" w:fill="FFFFFF"/>
        </w:rPr>
        <w:t>、专业名词解释</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eastAsia" w:ascii="方正楷体_GBK" w:hAnsi="方正楷体_GBK" w:eastAsia="方正楷体_GBK" w:cs="方正楷体_GBK"/>
          <w:b w:val="0"/>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（二）事业收入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（三）经营收入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（四）其他收入</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（五）使用非财政拨款结余</w:t>
      </w:r>
      <w:r>
        <w:rPr>
          <w:rStyle w:val="10"/>
          <w:rFonts w:hint="eastAsia" w:ascii="方正楷体_GBK" w:hAnsi="方正楷体_GBK" w:eastAsia="方正楷体_GBK" w:cs="方正楷体_GBK"/>
          <w:b w:val="0"/>
          <w:bCs/>
          <w:sz w:val="32"/>
          <w:szCs w:val="32"/>
          <w:shd w:val="clear" w:color="auto" w:fill="FFFFFF"/>
          <w:lang w:eastAsia="zh-CN"/>
        </w:rPr>
        <w:t>（含专用结余）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事业单位按照预算管理要求使用非财政拨款结余弥补收支差额的金额，以及使用专用结余安排支出的金额。</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（六）年初结转和结余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（七）结余分配</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（八）年末结转和结余</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（九）基本支出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（十）项目支出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（十一）经营支出</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（十二）“三公”经费</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（十三）机关运行经费</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Style w:val="10"/>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Style w:val="10"/>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楷体_GBK" w:hAnsi="方正楷体_GBK" w:eastAsia="方正楷体_GBK" w:cs="方正楷体_GBK"/>
          <w:b w:val="0"/>
          <w:bCs/>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lang w:eastAsia="zh-CN"/>
        </w:rPr>
        <w:t>七</w:t>
      </w:r>
      <w:r>
        <w:rPr>
          <w:rStyle w:val="10"/>
          <w:rFonts w:hint="eastAsia" w:ascii="方正黑体_GBK" w:hAnsi="方正黑体_GBK" w:eastAsia="方正黑体_GBK" w:cs="方正黑体_GBK"/>
          <w:b w:val="0"/>
          <w:bCs/>
          <w:sz w:val="32"/>
          <w:szCs w:val="32"/>
          <w:shd w:val="clear" w:color="auto" w:fill="FFFFFF"/>
        </w:rPr>
        <w:t>、决算公开联系方式及信息反馈渠道</w:t>
      </w:r>
    </w:p>
    <w:p>
      <w:pPr>
        <w:pStyle w:val="11"/>
        <w:keepNext w:val="0"/>
        <w:keepLines w:val="0"/>
        <w:pageBreakBefore w:val="0"/>
        <w:widowControl/>
        <w:kinsoku/>
        <w:wordWrap/>
        <w:overflowPunct/>
        <w:topLinePunct w:val="0"/>
        <w:autoSpaceDE w:val="0"/>
        <w:autoSpaceDN/>
        <w:bidi w:val="0"/>
        <w:adjustRightInd/>
        <w:spacing w:beforeAutospacing="0" w:afterAutospacing="0" w:line="596" w:lineRule="exact"/>
        <w:ind w:firstLine="640"/>
        <w:jc w:val="both"/>
        <w:textAlignment w:val="auto"/>
        <w:rPr>
          <w:rStyle w:val="10"/>
          <w:rFonts w:hint="default" w:ascii="Times New Roman" w:hAnsi="Times New Roman" w:eastAsia="方正仿宋_GBK" w:cs="Times New Roman"/>
          <w:color w:val="auto"/>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决算公开信息反馈和联系方式：</w:t>
      </w:r>
      <w:r>
        <w:rPr>
          <w:rFonts w:hint="default" w:ascii="Times New Roman" w:hAnsi="Times New Roman" w:eastAsia="方正仿宋_GBK" w:cs="Times New Roman"/>
          <w:color w:val="auto"/>
          <w:sz w:val="32"/>
          <w:szCs w:val="32"/>
          <w:shd w:val="clear" w:color="auto" w:fill="FFFFFF"/>
          <w:lang w:val="en-US" w:eastAsia="zh-CN"/>
        </w:rPr>
        <w:t>023-810696</w:t>
      </w:r>
      <w:r>
        <w:rPr>
          <w:rFonts w:hint="eastAsia" w:ascii="Times New Roman" w:hAnsi="Times New Roman" w:eastAsia="方正仿宋_GBK" w:cs="Times New Roman"/>
          <w:color w:val="auto"/>
          <w:sz w:val="32"/>
          <w:szCs w:val="32"/>
          <w:shd w:val="clear" w:color="auto" w:fill="FFFFFF"/>
          <w:lang w:val="en-US" w:eastAsia="zh-CN"/>
        </w:rPr>
        <w:t>1</w:t>
      </w:r>
      <w:bookmarkStart w:id="0" w:name="_GoBack"/>
      <w:bookmarkEnd w:id="0"/>
      <w:r>
        <w:rPr>
          <w:rFonts w:hint="default" w:ascii="Times New Roman" w:hAnsi="Times New Roman" w:eastAsia="方正仿宋_GBK" w:cs="Times New Roman"/>
          <w:color w:val="auto"/>
          <w:sz w:val="32"/>
          <w:szCs w:val="32"/>
          <w:shd w:val="clear" w:color="auto" w:fill="FFFFFF"/>
          <w:lang w:val="en-US" w:eastAsia="zh-CN"/>
        </w:rPr>
        <w:t>8</w:t>
      </w: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重庆市荣昌区清升镇建设环保服务中心</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68.85</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8.71</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2.37</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54.67</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3.09</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68.85</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68.85</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68.85</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68.85</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重庆市荣昌区清升镇建设环保服务中心</w:t>
            </w: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6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2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25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392"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3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07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3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68.85</w:t>
            </w:r>
            <w:r>
              <w:rPr>
                <w:rFonts w:hint="default" w:ascii="Times New Roman" w:hAnsi="Times New Roman" w:cs="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68.85</w:t>
            </w:r>
            <w:r>
              <w:rPr>
                <w:rFonts w:hint="default" w:ascii="Times New Roman" w:hAnsi="Times New Roman" w:cs="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8.71</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8.71</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8.71</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8.71</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5.81</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5.81</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2.90</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0.69</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0.69</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54.67</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54.67</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54.67</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54.67</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54.67</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54.67</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3.09</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3.09</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3.09</w:t>
            </w:r>
            <w:r>
              <w:rPr>
                <w:rFonts w:hint="default" w:ascii="Times New Roman" w:hAnsi="Times New Roman" w:cs="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3.09</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0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3.09</w:t>
            </w:r>
            <w:r>
              <w:rPr>
                <w:rFonts w:hint="default" w:ascii="Times New Roman" w:hAnsi="Times New Roman" w:cs="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3.09</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重庆市荣昌区清升镇建设环保服务中心 </w:t>
            </w: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27"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559"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936"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64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68.85</w:t>
            </w:r>
            <w:r>
              <w:rPr>
                <w:rFonts w:hint="default" w:ascii="Times New Roman" w:hAnsi="Times New Roman" w:cs="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68.85</w:t>
            </w:r>
            <w:r>
              <w:rPr>
                <w:rFonts w:hint="default" w:ascii="Times New Roman" w:hAnsi="Times New Roman" w:cs="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8.71</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8.71</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8.71</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8.71</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5.81</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5.81</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2.90</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1.68</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0.69</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0.69</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54.67</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54.67</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54.67</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54.67</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54.67</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54.67</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3.09</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3.09</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3.09</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3.09</w:t>
            </w:r>
            <w:r>
              <w:rPr>
                <w:rFonts w:hint="default" w:ascii="Times New Roman" w:hAnsi="Times New Roman" w:cs="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5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3.09</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3.09</w:t>
            </w:r>
            <w:r>
              <w:rPr>
                <w:rFonts w:hint="default" w:ascii="Times New Roman" w:hAnsi="Times New Roman" w:cs="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重庆市荣昌区清升镇建设环保服务中心</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68.85</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8.71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54.67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54.67</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68.85</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68.85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68.85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68.85</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68.85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68.85</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重庆市荣昌区清升镇建设环保服务中心</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68.85</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68.85</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8.71</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8.71</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8.71</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8.71</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5.81</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5.81</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2.90</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2.90</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2.37</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1.68</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1.68</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0.69</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0.69</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54.67</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54.67</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54.67</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54.67</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其他城乡社区管理事务支出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54.67</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54.67</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3.09</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3.09</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3.09</w:t>
            </w:r>
            <w:r>
              <w:rPr>
                <w:rFonts w:hint="default" w:ascii="Times New Roman" w:hAnsi="Times New Roman" w:cs="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3.09</w:t>
            </w:r>
            <w:r>
              <w:rPr>
                <w:rFonts w:hint="default" w:ascii="Times New Roman" w:hAnsi="Times New Roman" w:cs="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3.09</w:t>
            </w:r>
            <w:r>
              <w:rPr>
                <w:rFonts w:hint="default" w:ascii="Times New Roman" w:hAnsi="Times New Roman" w:cs="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3.09</w:t>
            </w:r>
            <w:r>
              <w:rPr>
                <w:rFonts w:hint="default" w:ascii="Times New Roman" w:hAnsi="Times New Roman" w:cs="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重庆市荣昌区清升镇建设环保服务中心</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58.25</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10.60</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13.61</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8.81</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1.93</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27.87</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5.81</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2.90</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1.68</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0.39</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3.09</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0.49</w:t>
            </w: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0.03</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0.12</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0.96</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0.68</w:t>
            </w: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ascii="Times New Roman" w:hAnsi="Times New Roman" w:cs="Times New Roman"/>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58.25</w:t>
            </w:r>
            <w:r>
              <w:rPr>
                <w:rFonts w:hint="default" w:ascii="Times New Roman" w:hAnsi="Times New Roman" w:cs="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10.60</w:t>
            </w:r>
            <w:r>
              <w:rPr>
                <w:rFonts w:hint="default" w:ascii="Times New Roman" w:hAnsi="Times New Roman" w:cs="Times New Roman"/>
                <w:color w:val="000000"/>
                <w:sz w:val="18"/>
                <w:u w:color="auto"/>
              </w:rPr>
              <w:t xml:space="preserve"> </w:t>
            </w:r>
          </w:p>
        </w:tc>
      </w:tr>
    </w:tbl>
    <w:p>
      <w:pPr>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重庆市荣昌区清升镇建设环保服务中心</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重庆市荣昌区清升镇建设环保服务中心</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重庆市荣昌区清升镇建设环保服务中心</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0.96</w:t>
            </w: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0.96</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0.96</w:t>
            </w: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0.96</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0.96</w:t>
            </w: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0.96</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w:t>
            </w: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p>
    <w:tbl>
      <w:tblPr>
        <w:tblStyle w:val="7"/>
        <w:tblW w:w="15336" w:type="dxa"/>
        <w:tblInd w:w="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
        <w:gridCol w:w="2073"/>
        <w:gridCol w:w="1518"/>
        <w:gridCol w:w="362"/>
        <w:gridCol w:w="1125"/>
        <w:gridCol w:w="1490"/>
        <w:gridCol w:w="1431"/>
        <w:gridCol w:w="614"/>
        <w:gridCol w:w="735"/>
        <w:gridCol w:w="1047"/>
        <w:gridCol w:w="230"/>
        <w:gridCol w:w="1404"/>
        <w:gridCol w:w="247"/>
        <w:gridCol w:w="728"/>
        <w:gridCol w:w="357"/>
        <w:gridCol w:w="693"/>
        <w:gridCol w:w="1268"/>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trPr>
        <w:tc>
          <w:tcPr>
            <w:tcW w:w="15336" w:type="dxa"/>
            <w:gridSpan w:val="1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微软雅黑" w:cs="Times New Roman"/>
                <w:b/>
                <w:bCs/>
                <w:i w:val="0"/>
                <w:iCs w:val="0"/>
                <w:color w:val="000000"/>
                <w:sz w:val="40"/>
                <w:szCs w:val="40"/>
                <w:u w:val="none"/>
              </w:rPr>
            </w:pPr>
            <w:r>
              <w:rPr>
                <w:rFonts w:hint="default" w:ascii="Times New Roman" w:hAnsi="Times New Roman" w:cs="Times New Roman"/>
                <w:b/>
                <w:color w:val="000000"/>
                <w:kern w:val="2"/>
                <w:sz w:val="32"/>
                <w:szCs w:val="32"/>
                <w:lang w:val="en-US" w:eastAsia="zh-CN"/>
              </w:rPr>
              <w:t>2024年度单位整体绩效自评表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15336" w:type="dxa"/>
            <w:gridSpan w:val="18"/>
            <w:tcBorders>
              <w:top w:val="nil"/>
              <w:left w:val="nil"/>
              <w:bottom w:val="nil"/>
              <w:right w:val="nil"/>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3962" w:type="dxa"/>
            <w:gridSpan w:val="4"/>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lang w:eastAsia="zh-CN"/>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重庆市荣昌区</w:t>
            </w:r>
            <w:r>
              <w:rPr>
                <w:rFonts w:hint="default" w:ascii="Times New Roman" w:hAnsi="Times New Roman" w:cs="Times New Roman"/>
                <w:color w:val="000000"/>
                <w:sz w:val="20"/>
                <w:u w:color="auto"/>
                <w:lang w:eastAsia="zh-CN"/>
              </w:rPr>
              <w:t>清升</w:t>
            </w:r>
            <w:r>
              <w:rPr>
                <w:rFonts w:hint="default" w:ascii="Times New Roman" w:hAnsi="Times New Roman" w:cs="Times New Roman"/>
                <w:color w:val="000000"/>
                <w:sz w:val="20"/>
                <w:u w:color="auto"/>
              </w:rPr>
              <w:t>镇重庆市荣昌区</w:t>
            </w:r>
            <w:r>
              <w:rPr>
                <w:rFonts w:hint="default" w:ascii="Times New Roman" w:hAnsi="Times New Roman" w:cs="Times New Roman"/>
                <w:color w:val="000000"/>
                <w:sz w:val="20"/>
                <w:u w:color="auto"/>
                <w:lang w:eastAsia="zh-CN"/>
              </w:rPr>
              <w:t>建设环保服务中心</w:t>
            </w:r>
          </w:p>
        </w:tc>
        <w:tc>
          <w:tcPr>
            <w:tcW w:w="1125" w:type="dxa"/>
            <w:tcBorders>
              <w:top w:val="nil"/>
              <w:left w:val="nil"/>
              <w:bottom w:val="nil"/>
              <w:right w:val="nil"/>
            </w:tcBorders>
            <w:shd w:val="clear" w:color="auto" w:fill="auto"/>
            <w:vAlign w:val="center"/>
          </w:tcPr>
          <w:p>
            <w:pPr>
              <w:rPr>
                <w:rFonts w:hint="default" w:ascii="Times New Roman" w:hAnsi="Times New Roman" w:eastAsia="宋体" w:cs="Times New Roman"/>
                <w:i w:val="0"/>
                <w:iCs w:val="0"/>
                <w:color w:val="000000"/>
                <w:sz w:val="22"/>
                <w:szCs w:val="22"/>
                <w:u w:val="none"/>
              </w:rPr>
            </w:pPr>
          </w:p>
        </w:tc>
        <w:tc>
          <w:tcPr>
            <w:tcW w:w="1490" w:type="dxa"/>
            <w:tcBorders>
              <w:top w:val="nil"/>
              <w:left w:val="nil"/>
              <w:bottom w:val="nil"/>
              <w:right w:val="nil"/>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c>
          <w:tcPr>
            <w:tcW w:w="1431" w:type="dxa"/>
            <w:tcBorders>
              <w:top w:val="nil"/>
              <w:left w:val="nil"/>
              <w:bottom w:val="nil"/>
              <w:right w:val="nil"/>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614" w:type="dxa"/>
            <w:tcBorders>
              <w:top w:val="nil"/>
              <w:left w:val="nil"/>
              <w:bottom w:val="nil"/>
              <w:right w:val="nil"/>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782" w:type="dxa"/>
            <w:gridSpan w:val="2"/>
            <w:tcBorders>
              <w:top w:val="nil"/>
              <w:left w:val="nil"/>
              <w:bottom w:val="nil"/>
              <w:right w:val="nil"/>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c>
          <w:tcPr>
            <w:tcW w:w="230" w:type="dxa"/>
            <w:tcBorders>
              <w:top w:val="nil"/>
              <w:left w:val="nil"/>
              <w:bottom w:val="nil"/>
              <w:right w:val="nil"/>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651" w:type="dxa"/>
            <w:gridSpan w:val="2"/>
            <w:tcBorders>
              <w:top w:val="nil"/>
              <w:left w:val="nil"/>
              <w:bottom w:val="nil"/>
              <w:right w:val="nil"/>
            </w:tcBorders>
            <w:shd w:val="clear" w:color="auto" w:fill="auto"/>
            <w:noWrap/>
            <w:vAlign w:val="center"/>
          </w:tcPr>
          <w:p>
            <w:pPr>
              <w:jc w:val="left"/>
              <w:rPr>
                <w:rFonts w:hint="default" w:ascii="Times New Roman" w:hAnsi="Times New Roman" w:eastAsia="宋体" w:cs="Times New Roman"/>
                <w:i w:val="0"/>
                <w:iCs w:val="0"/>
                <w:color w:val="000000"/>
                <w:sz w:val="22"/>
                <w:szCs w:val="22"/>
                <w:u w:val="none"/>
              </w:rPr>
            </w:pPr>
          </w:p>
        </w:tc>
        <w:tc>
          <w:tcPr>
            <w:tcW w:w="1085" w:type="dxa"/>
            <w:gridSpan w:val="2"/>
            <w:tcBorders>
              <w:top w:val="nil"/>
              <w:left w:val="nil"/>
              <w:bottom w:val="nil"/>
              <w:right w:val="nil"/>
            </w:tcBorders>
            <w:shd w:val="clear" w:color="auto" w:fill="auto"/>
            <w:noWrap/>
            <w:vAlign w:val="center"/>
          </w:tcPr>
          <w:p>
            <w:pPr>
              <w:jc w:val="right"/>
              <w:rPr>
                <w:rFonts w:hint="default" w:ascii="Times New Roman" w:hAnsi="Times New Roman" w:eastAsia="宋体" w:cs="Times New Roman"/>
                <w:b/>
                <w:bCs/>
                <w:i w:val="0"/>
                <w:iCs w:val="0"/>
                <w:color w:val="000000"/>
                <w:sz w:val="22"/>
                <w:szCs w:val="22"/>
                <w:u w:val="none"/>
              </w:rPr>
            </w:pPr>
          </w:p>
        </w:tc>
        <w:tc>
          <w:tcPr>
            <w:tcW w:w="1966" w:type="dxa"/>
            <w:gridSpan w:val="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cs="Times New Roman"/>
                <w:i w:val="0"/>
                <w:iCs w:val="0"/>
                <w:color w:val="000000"/>
                <w:kern w:val="0"/>
                <w:sz w:val="20"/>
                <w:szCs w:val="20"/>
                <w:u w:val="none"/>
                <w:lang w:val="en-US" w:eastAsia="zh-CN" w:bidi="ar"/>
              </w:rPr>
              <w:t xml:space="preserve">         </w:t>
            </w:r>
            <w:r>
              <w:rPr>
                <w:rFonts w:hint="default" w:ascii="Times New Roman" w:hAnsi="Times New Roman" w:eastAsia="宋体" w:cs="Times New Roman"/>
                <w:i w:val="0"/>
                <w:iCs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714"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项目名称：</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color w:val="000000"/>
                <w:sz w:val="20"/>
                <w:u w:color="auto"/>
              </w:rPr>
              <w:t>重庆市荣昌区</w:t>
            </w:r>
            <w:r>
              <w:rPr>
                <w:rFonts w:hint="default" w:ascii="Times New Roman" w:hAnsi="Times New Roman" w:cs="Times New Roman"/>
                <w:color w:val="000000"/>
                <w:sz w:val="20"/>
                <w:u w:color="auto"/>
                <w:lang w:eastAsia="zh-CN"/>
              </w:rPr>
              <w:t>建设环保服务中心</w:t>
            </w:r>
            <w:r>
              <w:rPr>
                <w:rFonts w:hint="default" w:ascii="Times New Roman" w:hAnsi="Times New Roman" w:eastAsia="宋体" w:cs="Times New Roman"/>
                <w:i w:val="0"/>
                <w:color w:val="000000"/>
                <w:kern w:val="0"/>
                <w:sz w:val="20"/>
                <w:szCs w:val="20"/>
                <w:u w:val="none"/>
                <w:lang w:val="en-US" w:eastAsia="zh-CN" w:bidi="ar"/>
              </w:rPr>
              <w:t>整体自评</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项目编码：</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自评总分：</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b/>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项目主管部门：</w:t>
            </w:r>
          </w:p>
        </w:tc>
        <w:tc>
          <w:tcPr>
            <w:tcW w:w="300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909-重庆市荣昌区清升镇人民政府</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财政归口处室：</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002-预算科</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cs="Times New Roman"/>
                <w:b/>
                <w:i w:val="0"/>
                <w:color w:val="000000"/>
                <w:kern w:val="0"/>
                <w:sz w:val="20"/>
                <w:szCs w:val="20"/>
                <w:u w:val="none"/>
                <w:lang w:val="en-US" w:eastAsia="zh-CN" w:bidi="ar"/>
              </w:rPr>
              <w:t>单位</w:t>
            </w:r>
            <w:r>
              <w:rPr>
                <w:rFonts w:hint="default" w:ascii="Times New Roman" w:hAnsi="Times New Roman" w:eastAsia="宋体" w:cs="Times New Roman"/>
                <w:b/>
                <w:i w:val="0"/>
                <w:color w:val="000000"/>
                <w:kern w:val="0"/>
                <w:sz w:val="20"/>
                <w:szCs w:val="20"/>
                <w:u w:val="none"/>
                <w:lang w:val="en-US" w:eastAsia="zh-CN" w:bidi="ar"/>
              </w:rPr>
              <w:t>联系人：</w:t>
            </w:r>
          </w:p>
        </w:tc>
        <w:tc>
          <w:tcPr>
            <w:tcW w:w="237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罗橙</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联系电话：</w:t>
            </w:r>
          </w:p>
        </w:tc>
        <w:tc>
          <w:tcPr>
            <w:tcW w:w="1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18423170446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20"/>
                <w:szCs w:val="20"/>
                <w:u w:val="none"/>
              </w:rPr>
            </w:pPr>
            <w:r>
              <w:rPr>
                <w:rFonts w:hint="default" w:ascii="Times New Roman" w:hAnsi="Times New Roman" w:eastAsia="微软雅黑" w:cs="Times New Roman"/>
                <w:b/>
                <w:i w:val="0"/>
                <w:color w:val="auto"/>
                <w:kern w:val="0"/>
                <w:sz w:val="20"/>
                <w:szCs w:val="20"/>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35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297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年初预算数</w:t>
            </w:r>
          </w:p>
        </w:tc>
        <w:tc>
          <w:tcPr>
            <w:tcW w:w="278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全年（调整）预算数</w:t>
            </w:r>
          </w:p>
        </w:tc>
        <w:tc>
          <w:tcPr>
            <w:tcW w:w="26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全年执行数</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执行率</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执行率权重</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年度总金额</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1718739.37</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688511.89</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688511.89</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其中：财政拨款</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1718739.37</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688511.89</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688511.89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10.00</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一般公共预算</w:t>
            </w:r>
          </w:p>
        </w:tc>
        <w:tc>
          <w:tcPr>
            <w:tcW w:w="15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8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90"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1718739.37 </w:t>
            </w:r>
          </w:p>
        </w:tc>
        <w:tc>
          <w:tcPr>
            <w:tcW w:w="143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349"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688511.89</w:t>
            </w:r>
          </w:p>
        </w:tc>
        <w:tc>
          <w:tcPr>
            <w:tcW w:w="12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404"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 xml:space="preserve">688511.89 </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20"/>
                <w:szCs w:val="20"/>
                <w:u w:val="none"/>
              </w:rPr>
            </w:pPr>
            <w:r>
              <w:rPr>
                <w:rFonts w:hint="default" w:ascii="Times New Roman" w:hAnsi="Times New Roman" w:eastAsia="微软雅黑" w:cs="Times New Roman"/>
                <w:b/>
                <w:i w:val="0"/>
                <w:color w:val="auto"/>
                <w:kern w:val="0"/>
                <w:sz w:val="20"/>
                <w:szCs w:val="20"/>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年初绩效目标</w:t>
            </w:r>
          </w:p>
        </w:tc>
        <w:tc>
          <w:tcPr>
            <w:tcW w:w="5461"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全年（调整）绩效目标</w:t>
            </w:r>
          </w:p>
        </w:tc>
        <w:tc>
          <w:tcPr>
            <w:tcW w:w="329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3108" w:hRule="atLeast"/>
        </w:trPr>
        <w:tc>
          <w:tcPr>
            <w:tcW w:w="656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1. 保障单位正常运转： 保障专业人员待遇，稳定技术管理队伍；保障办公场地、水电气网、车辆设备、技术软件等日常运行需求，确保技术服务与监管工作不断档。</w:t>
            </w:r>
            <w:r>
              <w:rPr>
                <w:rFonts w:hint="default" w:ascii="Times New Roman" w:hAnsi="Times New Roman" w:eastAsia="宋体" w:cs="Times New Roman"/>
                <w:i w:val="0"/>
                <w:color w:val="000000"/>
                <w:sz w:val="20"/>
                <w:szCs w:val="20"/>
                <w:u w:val="none"/>
                <w:lang w:val="en-US" w:eastAsia="zh-CN"/>
              </w:rPr>
              <w:br w:type="textWrapping"/>
            </w:r>
            <w:r>
              <w:rPr>
                <w:rFonts w:hint="default" w:ascii="Times New Roman" w:hAnsi="Times New Roman" w:eastAsia="宋体" w:cs="Times New Roman"/>
                <w:i w:val="0"/>
                <w:color w:val="000000"/>
                <w:sz w:val="20"/>
                <w:szCs w:val="20"/>
                <w:u w:val="none"/>
                <w:lang w:val="en-US" w:eastAsia="zh-CN"/>
              </w:rPr>
              <w:t>2. 高效履行建管与环保职能： 提升村镇建设管理水平，改善农村人居环境；加强环境监管，防治环境污染，推动绿色发展，助力乡村振兴和生态文明建设。</w:t>
            </w:r>
          </w:p>
        </w:tc>
        <w:tc>
          <w:tcPr>
            <w:tcW w:w="5461"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jc w:val="left"/>
              <w:rPr>
                <w:rFonts w:hint="default" w:ascii="Times New Roman" w:hAnsi="Times New Roman" w:eastAsia="宋体" w:cs="Times New Roman"/>
                <w:i w:val="0"/>
                <w:color w:val="000000"/>
                <w:sz w:val="20"/>
                <w:szCs w:val="20"/>
                <w:u w:val="none"/>
              </w:rPr>
            </w:pPr>
          </w:p>
        </w:tc>
        <w:tc>
          <w:tcPr>
            <w:tcW w:w="329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1. 保障单位正常运转： 保障专业人员待遇，稳定技术管理队伍；保障办公场地、水电气网、车辆设备、技术软件等日常运行需求，确保技术服务与监管工作不断档。</w:t>
            </w:r>
            <w:r>
              <w:rPr>
                <w:rFonts w:hint="default" w:ascii="Times New Roman" w:hAnsi="Times New Roman" w:eastAsia="宋体" w:cs="Times New Roman"/>
                <w:i w:val="0"/>
                <w:color w:val="000000"/>
                <w:sz w:val="20"/>
                <w:szCs w:val="20"/>
                <w:u w:val="none"/>
                <w:lang w:val="en-US" w:eastAsia="zh-CN"/>
              </w:rPr>
              <w:br w:type="textWrapping"/>
            </w:r>
            <w:r>
              <w:rPr>
                <w:rFonts w:hint="default" w:ascii="Times New Roman" w:hAnsi="Times New Roman" w:eastAsia="宋体" w:cs="Times New Roman"/>
                <w:i w:val="0"/>
                <w:color w:val="000000"/>
                <w:sz w:val="20"/>
                <w:szCs w:val="20"/>
                <w:u w:val="none"/>
                <w:lang w:val="en-US" w:eastAsia="zh-CN"/>
              </w:rPr>
              <w:t>2. 高效履行建管与环保职能： 提升村镇建设管理水平，改善农村人居环境；加强环境监管，防治环境污染，推动绿色发展，助力乡村振兴和生态文明建设。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600" w:hRule="atLeast"/>
        </w:trPr>
        <w:tc>
          <w:tcPr>
            <w:tcW w:w="15322" w:type="dxa"/>
            <w:gridSpan w:val="1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微软雅黑" w:cs="Times New Roman"/>
                <w:b/>
                <w:i w:val="0"/>
                <w:color w:val="808080"/>
                <w:sz w:val="20"/>
                <w:szCs w:val="20"/>
                <w:u w:val="none"/>
              </w:rPr>
            </w:pPr>
            <w:r>
              <w:rPr>
                <w:rFonts w:hint="default" w:ascii="Times New Roman" w:hAnsi="Times New Roman" w:eastAsia="微软雅黑" w:cs="Times New Roman"/>
                <w:b/>
                <w:i w:val="0"/>
                <w:color w:val="auto"/>
                <w:kern w:val="0"/>
                <w:sz w:val="20"/>
                <w:szCs w:val="20"/>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指标名称</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计量单位</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指标性质</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指标值</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全年完成值</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偏离度（%）</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得分系数（%）</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指标权重</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指标得分</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是否核心指标</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固定资产利用率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95</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95</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人员经费保障率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rPr>
              <w:t>公用经费保障率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lang w:val="en-US"/>
              </w:rPr>
            </w:pPr>
            <w:r>
              <w:rPr>
                <w:rFonts w:hint="default" w:ascii="Times New Roman" w:hAnsi="Times New Roman" w:eastAsia="宋体" w:cs="Times New Roman"/>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重点工作完成率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开展环保巡查检查次数</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次</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100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组织环保宣传次数</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次</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Times New Roman" w:hAnsi="Times New Roman" w:eastAsia="宋体" w:cs="Times New Roman"/>
                <w:i w:val="0"/>
                <w:color w:val="000000"/>
                <w:sz w:val="20"/>
                <w:szCs w:val="20"/>
                <w:u w:val="none"/>
                <w:lang w:val="en-US" w:eastAsia="zh-CN"/>
              </w:rPr>
            </w:pPr>
            <w:r>
              <w:rPr>
                <w:rFonts w:hint="default" w:ascii="Times New Roman" w:hAnsi="Times New Roman" w:eastAsia="宋体" w:cs="Times New Roman"/>
                <w:i w:val="0"/>
                <w:color w:val="000000"/>
                <w:sz w:val="20"/>
                <w:szCs w:val="20"/>
                <w:u w:val="none"/>
                <w:lang w:val="en-US" w:eastAsia="zh-CN"/>
              </w:rPr>
              <w:t>20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200"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sz w:val="20"/>
                <w:szCs w:val="20"/>
                <w:u w:val="none"/>
                <w:lang w:val="en-US" w:eastAsia="zh-CN"/>
              </w:rPr>
              <w:t>20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20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是</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Before w:val="1"/>
          <w:gridAfter w:val="1"/>
          <w:wBefore w:w="9" w:type="dxa"/>
          <w:wAfter w:w="5" w:type="dxa"/>
          <w:trHeight w:val="500" w:hRule="atLeast"/>
        </w:trPr>
        <w:tc>
          <w:tcPr>
            <w:tcW w:w="20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受益或服务对象满意度</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14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c>
          <w:tcPr>
            <w:tcW w:w="14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2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100</w:t>
            </w:r>
          </w:p>
        </w:tc>
        <w:tc>
          <w:tcPr>
            <w:tcW w:w="140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Chars="1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否</w:t>
            </w:r>
          </w:p>
        </w:tc>
        <w:tc>
          <w:tcPr>
            <w:tcW w:w="1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bl>
    <w:p>
      <w:pPr>
        <w:rPr>
          <w:rFonts w:hint="default"/>
          <w:sz w:val="18"/>
          <w:szCs w:val="18"/>
        </w:rPr>
      </w:pP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Eras Light ITC"/>
    <w:panose1 w:val="020F0502020204030204"/>
    <w:charset w:val="00"/>
    <w:family w:val="swiss"/>
    <w:pitch w:val="default"/>
    <w:sig w:usb0="00000000" w:usb1="00000000" w:usb2="00000001" w:usb3="00000000" w:csb0="0000019F" w:csb1="00000000"/>
  </w:font>
  <w:font w:name="Eras Light ITC">
    <w:panose1 w:val="020B0402030504020804"/>
    <w:charset w:val="00"/>
    <w:family w:val="auto"/>
    <w:pitch w:val="default"/>
    <w:sig w:usb0="00000003" w:usb1="00000000" w:usb2="00000000" w:usb3="00000000" w:csb0="20000001"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6E2DA9"/>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63A6CEE"/>
    <w:rsid w:val="171176B1"/>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6C1EA8"/>
    <w:rsid w:val="42736402"/>
    <w:rsid w:val="42E86A87"/>
    <w:rsid w:val="43307B09"/>
    <w:rsid w:val="436D44AF"/>
    <w:rsid w:val="439A3EB9"/>
    <w:rsid w:val="43A2191B"/>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8C06DE5"/>
    <w:rsid w:val="5A3B59D6"/>
    <w:rsid w:val="5AD134D8"/>
    <w:rsid w:val="5BF41F67"/>
    <w:rsid w:val="5C263CE4"/>
    <w:rsid w:val="5C5D2777"/>
    <w:rsid w:val="5CF66BF3"/>
    <w:rsid w:val="5D290C69"/>
    <w:rsid w:val="5DA80C2C"/>
    <w:rsid w:val="5F2D4A41"/>
    <w:rsid w:val="5FEE7DDF"/>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AF5D7C"/>
    <w:rsid w:val="66EE5541"/>
    <w:rsid w:val="67924660"/>
    <w:rsid w:val="68407834"/>
    <w:rsid w:val="6883293E"/>
    <w:rsid w:val="688412AD"/>
    <w:rsid w:val="68EB1B71"/>
    <w:rsid w:val="696C0310"/>
    <w:rsid w:val="6A6C7940"/>
    <w:rsid w:val="6A9F1565"/>
    <w:rsid w:val="6AAD2300"/>
    <w:rsid w:val="6B474EF5"/>
    <w:rsid w:val="6C0A5AC5"/>
    <w:rsid w:val="6C560CAE"/>
    <w:rsid w:val="6C576495"/>
    <w:rsid w:val="6D903FF5"/>
    <w:rsid w:val="6DA955B8"/>
    <w:rsid w:val="6DE346AB"/>
    <w:rsid w:val="6DE5391A"/>
    <w:rsid w:val="6EFD1324"/>
    <w:rsid w:val="6F47005E"/>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AF1782"/>
    <w:rsid w:val="7DE94331"/>
    <w:rsid w:val="7EFBE9E1"/>
    <w:rsid w:val="7F446A19"/>
    <w:rsid w:val="7F7452B9"/>
    <w:rsid w:val="9EF56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8</TotalTime>
  <ScaleCrop>false</ScaleCrop>
  <LinksUpToDate>false</LinksUpToDate>
  <CharactersWithSpaces>26313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admin2</cp:lastModifiedBy>
  <dcterms:modified xsi:type="dcterms:W3CDTF">2025-11-25T16:20:31Z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BB46EABDBB2749749395447164B066B3_12</vt:lpwstr>
  </property>
</Properties>
</file>