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重庆市荣昌区清升镇农业服务中心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为镇政府管理的正科级全额拨款事业单位(公益一类)。宗旨:推广先进农业技术，促进农村发展。主要职责:负责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从预算单位构成看，纳入本单位2024年度预算编制的二级预算单位主要包括重庆市荣昌区清升镇人民政府农业服务中心。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265.62万元。收、支与2023年度相比，增加16.29万元，增长6.5%，主要原因是年初公用经费安排方面有所变化、由上年度在政府本级列支转变为本单位自行列支、故本年财政收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高于上年水平</w:t>
      </w:r>
      <w:r>
        <w:rPr>
          <w:rFonts w:hint="default" w:ascii="Times New Roman" w:hAnsi="Times New Roman" w:eastAsia="方正仿宋_GBK" w:cs="Times New Roman"/>
          <w:sz w:val="32"/>
          <w:szCs w:val="32"/>
          <w:shd w:val="clear" w:color="auto" w:fill="FFFFFF"/>
          <w:lang w:eastAsia="zh-CN"/>
        </w:rPr>
        <w:t>。</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1</w:t>
      </w:r>
      <w:r>
        <w:rPr>
          <w:rStyle w:val="10"/>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2024年度收入合计265.62万元，与2023年度相比，增加16.29万元，增长6.5%，主要原因是年初公用经费安排方面有所变化、由上年度在政府本级列支转变为本单位自行列支、故本年财政收入高于上年水平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其中：财政拨款收入265.62万元，占100.0%；事业收入0.00万元，占0.0%；经营收入0.00万元，占0.0%；其他收入0.00万元，占0.0%。此外，使用非财政拨款结余（含专用结余）0.00万元，年初结转和结余0.00万元。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2</w:t>
      </w:r>
      <w:r>
        <w:rPr>
          <w:rStyle w:val="10"/>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2024年度支出合计265.62万元，与2023年度相比，增加16.29万元，增长6.5%，主要原因是年初公用经费安排方面有所变化、由上年度在政府本级列支转变为本单位自行列支</w:t>
      </w:r>
      <w:r>
        <w:rPr>
          <w:rFonts w:hint="default" w:ascii="Times New Roman" w:hAnsi="Times New Roman" w:eastAsia="方正仿宋_GBK" w:cs="Times New Roman"/>
          <w:sz w:val="32"/>
          <w:szCs w:val="32"/>
          <w:shd w:val="clear" w:color="auto" w:fill="FFFFFF"/>
          <w:lang w:eastAsia="zh-CN"/>
        </w:rPr>
        <w:t>，公用经费</w:t>
      </w:r>
      <w:r>
        <w:rPr>
          <w:rFonts w:hint="default" w:ascii="Times New Roman" w:hAnsi="Times New Roman" w:eastAsia="方正仿宋_GBK" w:cs="Times New Roman"/>
          <w:sz w:val="32"/>
          <w:szCs w:val="32"/>
          <w:shd w:val="clear" w:color="auto" w:fill="FFFFFF"/>
        </w:rPr>
        <w:t>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其中：基本支出265.62万元，占100.0%；项目支出0.00万元，占0.0%；经营支出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lang w:val="en-US" w:eastAsia="zh-CN"/>
        </w:rPr>
        <w:t>3</w:t>
      </w:r>
      <w:r>
        <w:rPr>
          <w:rStyle w:val="10"/>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2024年度财政拨款收、支总计均为265.62万元。与2023年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相比，财政拨款收、支总计各增加16.29万元，增长6.5%。主要原因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是年初公用经费安排方面有所变化、由上年度在政府本级列支转变为本单位自行列支</w:t>
      </w:r>
      <w:r>
        <w:rPr>
          <w:rFonts w:hint="default" w:ascii="Times New Roman" w:hAnsi="Times New Roman" w:eastAsia="方正仿宋_GBK" w:cs="Times New Roman"/>
          <w:sz w:val="32"/>
          <w:szCs w:val="32"/>
          <w:shd w:val="clear" w:color="auto" w:fill="FFFFFF"/>
          <w:lang w:eastAsia="zh-CN"/>
        </w:rPr>
        <w:t>，故本年财政收、支高于上年水平。</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265.62万元，与2023年度相比，增加16.29万元，增长6.5%。主要原因是年初公用经费安排方面有所变化、由上年度在政府本级列支转变为本单位自行列支、故本年财政收入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较年初预算数增加7.91万元，增长3.1%。主要原因</w:t>
      </w:r>
      <w:r>
        <w:rPr>
          <w:rFonts w:hint="default" w:ascii="Times New Roman" w:hAnsi="Times New Roman" w:eastAsia="方正仿宋_GBK" w:cs="Times New Roman"/>
          <w:sz w:val="32"/>
          <w:szCs w:val="32"/>
          <w:shd w:val="clear" w:color="auto" w:fill="FFFFFF"/>
          <w:lang w:eastAsia="zh-CN"/>
        </w:rPr>
        <w:t>：一是年中追加退休人员的一次性退休补贴；二是补发</w:t>
      </w:r>
      <w:r>
        <w:rPr>
          <w:rFonts w:hint="default" w:ascii="Times New Roman" w:hAnsi="Times New Roman" w:eastAsia="方正仿宋_GBK" w:cs="Times New Roman"/>
          <w:sz w:val="32"/>
          <w:szCs w:val="32"/>
          <w:shd w:val="clear" w:color="auto" w:fill="FFFFFF"/>
          <w:lang w:val="en-US" w:eastAsia="zh-CN"/>
        </w:rPr>
        <w:t>2023年第四季度的</w:t>
      </w:r>
      <w:r>
        <w:rPr>
          <w:rFonts w:hint="default" w:ascii="Times New Roman" w:hAnsi="Times New Roman" w:eastAsia="方正仿宋_GBK" w:cs="Times New Roman"/>
          <w:sz w:val="32"/>
          <w:szCs w:val="32"/>
          <w:shd w:val="clear" w:color="auto" w:fill="FFFFFF"/>
          <w:lang w:eastAsia="zh-CN"/>
        </w:rPr>
        <w:t>超额绩效，且超额绩效由季度发放调整为按月发放，发放金额做了相应的调整，故较年初预算数增加。</w:t>
      </w:r>
      <w:r>
        <w:rPr>
          <w:rFonts w:hint="default" w:ascii="Times New Roman" w:hAnsi="Times New Roman" w:eastAsia="方正仿宋_GBK" w:cs="Times New Roman"/>
          <w:color w:val="FF0000"/>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此外，年初财政拨款结转和结余0.00万元。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2024年度一般公共预算财政拨款支出265.62万元，与2023年度相比，增加16.29万元，增长6.5%。主要原因是年初公用经费安排方面有所变化、由上年度在政府本级列支转变为本单位自行列支</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较年初预算数增加7.91万元，增长3.1%。主要原因是</w:t>
      </w:r>
      <w:r>
        <w:rPr>
          <w:rFonts w:hint="default" w:ascii="Times New Roman" w:hAnsi="Times New Roman" w:eastAsia="方正仿宋_GBK" w:cs="Times New Roman"/>
          <w:sz w:val="32"/>
          <w:szCs w:val="32"/>
          <w:shd w:val="clear" w:color="auto" w:fill="FFFFFF"/>
          <w:lang w:eastAsia="zh-CN"/>
        </w:rPr>
        <w:t>一是年中追加退休人员的一次性退休补贴；二是补发</w:t>
      </w:r>
      <w:r>
        <w:rPr>
          <w:rFonts w:hint="default" w:ascii="Times New Roman" w:hAnsi="Times New Roman" w:eastAsia="方正仿宋_GBK" w:cs="Times New Roman"/>
          <w:sz w:val="32"/>
          <w:szCs w:val="32"/>
          <w:shd w:val="clear" w:color="auto" w:fill="FFFFFF"/>
          <w:lang w:val="en-US" w:eastAsia="zh-CN"/>
        </w:rPr>
        <w:t>2023年第四季度的</w:t>
      </w:r>
      <w:r>
        <w:rPr>
          <w:rFonts w:hint="default" w:ascii="Times New Roman" w:hAnsi="Times New Roman" w:eastAsia="方正仿宋_GBK" w:cs="Times New Roman"/>
          <w:sz w:val="32"/>
          <w:szCs w:val="32"/>
          <w:shd w:val="clear" w:color="auto" w:fill="FFFFFF"/>
          <w:lang w:eastAsia="zh-CN"/>
        </w:rPr>
        <w:t>超额绩效，且超额绩效由季度发放调整为按月发放，发放金额做了相应的调整，故较年初预算数增加。</w:t>
      </w:r>
      <w:r>
        <w:rPr>
          <w:rFonts w:hint="default" w:ascii="Times New Roman" w:hAnsi="Times New Roman" w:eastAsia="方正仿宋_GBK" w:cs="Times New Roman"/>
          <w:color w:val="FF0000"/>
          <w:sz w:val="32"/>
          <w:szCs w:val="32"/>
          <w:shd w:val="clear" w:color="auto" w:fill="FFFFFF"/>
          <w:lang w:val="en-US" w:eastAsia="zh-CN"/>
        </w:rPr>
        <w:t xml:space="preserve"> </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）教育支出0.00万元，占0.0%，较年初预算数减少1.46万元，下降100.0%，主要原因是</w:t>
      </w:r>
      <w:r>
        <w:rPr>
          <w:rFonts w:hint="default" w:ascii="Times New Roman" w:hAnsi="Times New Roman" w:eastAsia="方正仿宋_GBK" w:cs="Times New Roman"/>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就业支出46.64万元，占17.6%，较年初预算数增加16.83万元，增长56.5%，主要原因是</w:t>
      </w:r>
      <w:r>
        <w:rPr>
          <w:rFonts w:hint="default" w:ascii="Times New Roman" w:hAnsi="Times New Roman" w:eastAsia="方正仿宋_GBK" w:cs="Times New Roman"/>
          <w:sz w:val="32"/>
          <w:szCs w:val="32"/>
          <w:shd w:val="clear" w:color="auto" w:fill="FFFFFF"/>
          <w:lang w:eastAsia="zh-CN"/>
        </w:rPr>
        <w:t>本年度补缴了在职人员的职业年金和养老保险。</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）卫生健康支出10.62万元，占4.0%，较年初预算数减少0.85万元，下降7.4%，主要原因是</w:t>
      </w:r>
      <w:r>
        <w:rPr>
          <w:rFonts w:hint="default" w:ascii="Times New Roman" w:hAnsi="Times New Roman" w:eastAsia="方正仿宋_GBK" w:cs="Times New Roman"/>
          <w:sz w:val="32"/>
          <w:szCs w:val="32"/>
          <w:shd w:val="clear" w:color="auto" w:fill="FFFFFF"/>
          <w:lang w:eastAsia="zh-CN"/>
        </w:rPr>
        <w:t>本年</w:t>
      </w:r>
      <w:r>
        <w:rPr>
          <w:rFonts w:hint="default" w:ascii="Times New Roman" w:hAnsi="Times New Roman" w:eastAsia="方正仿宋_GBK" w:cs="Times New Roman"/>
          <w:sz w:val="32"/>
          <w:szCs w:val="32"/>
          <w:shd w:val="clear" w:color="auto" w:fill="FFFFFF"/>
          <w:lang w:val="en-US" w:eastAsia="zh-CN"/>
        </w:rPr>
        <w:t>3月份有1名人员退休，新进人员进入单位较晚，医疗保险缴费较年初预算减少。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）农林水支出196.87万元，占74.1%，较年初预算数减少6.45万元，下降3.2%，主要原因是</w:t>
      </w:r>
      <w:r>
        <w:rPr>
          <w:rFonts w:hint="default" w:ascii="Times New Roman" w:hAnsi="Times New Roman" w:eastAsia="方正仿宋_GBK" w:cs="Times New Roman"/>
          <w:sz w:val="32"/>
          <w:szCs w:val="32"/>
          <w:shd w:val="clear" w:color="auto" w:fill="FFFFFF"/>
          <w:lang w:eastAsia="zh-CN"/>
        </w:rPr>
        <w:t>本年度厉行节约，年度中期压减公用经费开支。</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11.48万元，占4.3%，较年初预算数减少0.17万元，下降1.5%，主要原因是</w:t>
      </w:r>
      <w:bookmarkStart w:id="0" w:name="_GoBack"/>
      <w:bookmarkEnd w:id="0"/>
      <w:r>
        <w:rPr>
          <w:rFonts w:hint="default" w:ascii="Times New Roman" w:hAnsi="Times New Roman" w:eastAsia="方正仿宋_GBK" w:cs="Times New Roman"/>
          <w:sz w:val="32"/>
          <w:szCs w:val="32"/>
          <w:shd w:val="clear" w:color="auto" w:fill="FFFFFF"/>
          <w:lang w:eastAsia="zh-CN"/>
        </w:rPr>
        <w:t>本年</w:t>
      </w:r>
      <w:r>
        <w:rPr>
          <w:rFonts w:hint="default" w:ascii="Times New Roman" w:hAnsi="Times New Roman" w:eastAsia="方正仿宋_GBK" w:cs="Times New Roman"/>
          <w:sz w:val="32"/>
          <w:szCs w:val="32"/>
          <w:shd w:val="clear" w:color="auto" w:fill="FFFFFF"/>
          <w:lang w:val="en-US" w:eastAsia="zh-CN"/>
        </w:rPr>
        <w:t>3月份有1名人员退休，新进人员进入单位较晚，住房公积金缴费较年初预算减少。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2024年度一般公共财政拨款基本支出265.62万元。其中：人员经费230.15万元，与2023年度相比，减少11.49万元，下降4.8%，主要原因是</w:t>
      </w:r>
      <w:r>
        <w:rPr>
          <w:rFonts w:hint="default" w:ascii="Times New Roman" w:hAnsi="Times New Roman" w:eastAsia="方正仿宋_GBK" w:cs="Times New Roman"/>
          <w:sz w:val="32"/>
          <w:szCs w:val="32"/>
          <w:shd w:val="clear" w:color="auto" w:fill="FFFFFF"/>
          <w:lang w:eastAsia="zh-CN"/>
        </w:rPr>
        <w:t>本年</w:t>
      </w:r>
      <w:r>
        <w:rPr>
          <w:rFonts w:hint="default" w:ascii="Times New Roman" w:hAnsi="Times New Roman" w:eastAsia="方正仿宋_GBK" w:cs="Times New Roman"/>
          <w:sz w:val="32"/>
          <w:szCs w:val="32"/>
          <w:shd w:val="clear" w:color="auto" w:fill="FFFFFF"/>
          <w:lang w:val="en-US" w:eastAsia="zh-CN"/>
        </w:rPr>
        <w:t>3月份有1名人员退休，新进人员进入单位较晚，五险一金基数相对较低，故人员经费较上年减少。</w:t>
      </w:r>
      <w:r>
        <w:rPr>
          <w:rFonts w:hint="default" w:ascii="Times New Roman" w:hAnsi="Times New Roman" w:eastAsia="方正仿宋_GBK" w:cs="Times New Roman"/>
          <w:sz w:val="32"/>
          <w:szCs w:val="32"/>
          <w:shd w:val="clear" w:color="auto" w:fill="FFFFFF"/>
        </w:rPr>
        <w:t>人员经费用途主要包括基本工资、绩效工资、津贴补贴、各项奖金、社会保障缴费以及部分离退休人员经费支出等</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公用经费35.46万元，与2023年度相比，增加27.77万元，增长361.1%，主要原因是年初公用经费安排方面有所变化、由上年度在政府本级列支转变为本单位自行列支</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2024年度“三公”经费支出共计0.00万元，较年初预算数减少1.00万元，下降100.0%，主要原因是</w:t>
      </w:r>
      <w:r>
        <w:rPr>
          <w:rFonts w:hint="default" w:ascii="Times New Roman" w:hAnsi="Times New Roman" w:eastAsia="方正仿宋_GBK" w:cs="Times New Roman"/>
          <w:color w:val="auto"/>
          <w:sz w:val="32"/>
          <w:szCs w:val="32"/>
          <w:shd w:val="clear" w:color="auto" w:fill="FFFFFF"/>
          <w:lang w:eastAsia="zh-CN"/>
        </w:rPr>
        <w:t>本单位本年度未发生公务用车维修费，</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上年支出数无增减，主要原因是</w:t>
      </w:r>
      <w:r>
        <w:rPr>
          <w:rFonts w:hint="default" w:ascii="Times New Roman" w:hAnsi="Times New Roman" w:eastAsia="方正仿宋_GBK" w:cs="Times New Roman"/>
          <w:color w:val="auto"/>
          <w:sz w:val="32"/>
          <w:szCs w:val="32"/>
          <w:shd w:val="clear" w:color="auto" w:fill="FFFFFF"/>
          <w:lang w:eastAsia="zh-CN"/>
        </w:rPr>
        <w:t>厉行节约，严控三公经费。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color w:val="auto"/>
          <w:sz w:val="32"/>
          <w:szCs w:val="32"/>
          <w:shd w:val="clear" w:color="auto" w:fill="FFFFFF"/>
        </w:rPr>
        <w:t>因</w:t>
      </w:r>
      <w:r>
        <w:rPr>
          <w:rFonts w:hint="default" w:ascii="Times New Roman" w:hAnsi="Times New Roman" w:eastAsia="方正仿宋_GBK" w:cs="Times New Roman"/>
          <w:sz w:val="32"/>
          <w:szCs w:val="32"/>
          <w:shd w:val="clear" w:color="auto" w:fill="FFFFFF"/>
        </w:rPr>
        <w:t>公出国（境）费用</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公务接待费0.00万元，费用支出较年初预算数减少1.00万元，下降100.0%，较上年支出数无增减，主要原因是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本年度会议费支出0.00万元，与2023年度相比，无增减，本年度培训费支出0.00万元，与2023年度相比，减少1.00万元，下降100.0%，主要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eastAsia="zh-CN"/>
        </w:rPr>
        <w:t>利用数字化平台，进行线上培训，减少线下支出。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与2023年度相比，减少6.09万元，下降100.0%，主要原因是</w:t>
      </w:r>
      <w:r>
        <w:rPr>
          <w:rFonts w:hint="default" w:ascii="Times New Roman" w:hAnsi="Times New Roman" w:eastAsia="方正仿宋_GBK" w:cs="Times New Roman"/>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黑体_GBK" w:hAnsi="方正黑体_GBK" w:eastAsia="方正黑体_GBK" w:cs="方正黑体_GBK"/>
          <w:sz w:val="32"/>
          <w:szCs w:val="32"/>
          <w:highlight w:val="yellow"/>
          <w:shd w:val="clear" w:color="auto" w:fill="FFFFFF"/>
          <w:lang w:bidi="ar"/>
        </w:rPr>
      </w:pPr>
      <w:r>
        <w:rPr>
          <w:rStyle w:val="10"/>
          <w:rFonts w:hint="eastAsia" w:ascii="方正黑体_GBK" w:hAnsi="方正黑体_GBK" w:eastAsia="方正黑体_GBK" w:cs="方正黑体_GBK"/>
          <w:b w:val="0"/>
          <w:bCs w:val="0"/>
          <w:sz w:val="32"/>
          <w:szCs w:val="32"/>
          <w:shd w:val="clear" w:color="auto" w:fill="FFFFFF"/>
        </w:rPr>
        <w:t>五、</w:t>
      </w:r>
      <w:r>
        <w:rPr>
          <w:rStyle w:val="10"/>
          <w:rFonts w:hint="eastAsia" w:ascii="方正黑体_GBK" w:hAnsi="方正黑体_GBK" w:eastAsia="方正黑体_GBK" w:cs="方正黑体_GBK"/>
          <w:b w:val="0"/>
          <w:bCs w:val="0"/>
          <w:sz w:val="32"/>
          <w:szCs w:val="32"/>
          <w:shd w:val="clear" w:color="auto" w:fill="FFFFFF"/>
          <w:lang w:eastAsia="zh-CN"/>
        </w:rPr>
        <w:t>预算</w:t>
      </w:r>
      <w:r>
        <w:rPr>
          <w:rStyle w:val="10"/>
          <w:rFonts w:hint="eastAsia" w:ascii="方正黑体_GBK" w:hAnsi="方正黑体_GBK" w:eastAsia="方正黑体_GBK" w:cs="方正黑体_GBK"/>
          <w:b w:val="0"/>
          <w:bCs w:val="0"/>
          <w:sz w:val="32"/>
          <w:szCs w:val="32"/>
          <w:shd w:val="clear" w:color="auto" w:fill="FFFFFF"/>
          <w:lang w:val="en-US" w:eastAsia="zh-CN" w:bidi="ar-SA"/>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（一）单位自评情况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根据预算绩效管理要求，我单位对</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lang w:eastAsia="zh-CN"/>
        </w:rPr>
        <w:t>个项目开展了绩效自评，涉及财政拨款资金</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lang w:eastAsia="zh-CN"/>
        </w:rPr>
        <w:t>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（二）单位绩效评价情况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我单位未组织开展绩效评价。</w:t>
      </w:r>
    </w:p>
    <w:p>
      <w:pPr>
        <w:pStyle w:val="11"/>
        <w:autoSpaceDE w:val="0"/>
        <w:rPr>
          <w:rFonts w:hint="eastAsia" w:ascii="方正楷体_GBK" w:hAnsi="方正楷体_GBK" w:eastAsia="方正楷体_GBK" w:cs="方正楷体_GBK"/>
          <w:b w:val="0"/>
          <w:bCs w:val="0"/>
          <w:sz w:val="32"/>
          <w:szCs w:val="32"/>
          <w:shd w:val="clear" w:color="auto" w:fill="FFFFFF"/>
          <w:lang w:val="en-US" w:eastAsia="zh-CN" w:bidi="ar"/>
        </w:rPr>
      </w:pPr>
      <w:r>
        <w:rPr>
          <w:rFonts w:hint="eastAsia" w:ascii="方正楷体_GBK" w:hAnsi="方正楷体_GBK" w:eastAsia="方正楷体_GBK" w:cs="方正楷体_GBK"/>
          <w:b w:val="0"/>
          <w:bCs w:val="0"/>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Style w:val="10"/>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重庆市荣昌区清升镇农业服务中心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265.62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265.62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265.62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265.62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265.62</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重庆市荣昌区清升镇农业服务中心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265.62</w:t>
            </w:r>
            <w:r>
              <w:rPr>
                <w:rFonts w:hint="default" w:ascii="Times New Roman" w:hAnsi="Times New Roman" w:cs="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265.62</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23.65</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23.65</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11.85</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11.85</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11.14</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11.14</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重庆市荣昌区清升镇农业服务中心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265.62</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265.62</w:t>
            </w:r>
            <w:r>
              <w:rPr>
                <w:rFonts w:hint="default" w:ascii="Times New Roman" w:hAnsi="Times New Roman" w:cs="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23.65</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23.65</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11.85</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11.85</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11.14</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11.14</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196.87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196.87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265.62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265.62</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46.64</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23.65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23.65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11.14</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11.14</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196.87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196.87</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219.61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107.16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7.32</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230.15</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35.46</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重庆市荣昌区清升镇农业服务中心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cs="Times New Roman"/>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w:t>
            </w:r>
            <w:r>
              <w:rPr>
                <w:rFonts w:hint="default" w:ascii="Times New Roman" w:hAnsi="Times New Roman" w:cs="Times New Roman"/>
                <w:color w:val="000000"/>
                <w:sz w:val="20"/>
                <w:u w:color="auto"/>
                <w:lang w:eastAsia="zh-CN"/>
              </w:rPr>
              <w:t>清升</w:t>
            </w:r>
            <w:r>
              <w:rPr>
                <w:rFonts w:hint="default" w:ascii="Times New Roman" w:hAnsi="Times New Roman" w:cs="Times New Roman"/>
                <w:color w:val="000000"/>
                <w:sz w:val="20"/>
                <w:u w:color="auto"/>
              </w:rPr>
              <w:t>镇农业服务中心</w:t>
            </w:r>
          </w:p>
        </w:tc>
        <w:tc>
          <w:tcPr>
            <w:tcW w:w="112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重庆市荣昌区清升镇农业服务中心整体自评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kern w:val="0"/>
                <w:sz w:val="20"/>
                <w:szCs w:val="20"/>
                <w:u w:val="none"/>
                <w:lang w:val="en-US" w:eastAsia="zh-CN" w:bidi="ar"/>
              </w:rPr>
              <w:t>单位</w:t>
            </w:r>
            <w:r>
              <w:rPr>
                <w:rFonts w:hint="default" w:ascii="Times New Roman" w:hAnsi="Times New Roman" w:eastAsia="宋体" w:cs="Times New Roman"/>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2577066.52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2656158.93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2656158.93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2577066.52</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2656158.93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2656158.93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2577066.52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2656158.93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2656158.93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1. 保障单位正常运转： 确保在职及离退休人员工资、社保、公积金等按时足额发放与缴纳，保障单位水、电、网络、办公耗材、伙食等日常必需开支，维持单位基本办公秩序。</w:t>
            </w:r>
          </w:p>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2. 履行核心服务职能： 在保障运转的基础上，有效履行各项农业公共服务职责，提升服务效能，助力乡村振兴。</w:t>
            </w:r>
          </w:p>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3.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1. 保障单位正常运转： 确保在职及离退休人员工资、社保、公积金等按时足额发放与缴纳，保障单位水、电、网络、办公耗材、伙食等日常必需开支，维持单位基本办公秩序。</w:t>
            </w:r>
          </w:p>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2. 履行核心服务职能： 在保障运转的基础上，有效履行各项农业公共服务职责，提升服务效能，助力乡村振兴。</w:t>
            </w:r>
          </w:p>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3.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资金使用合规性</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完全合规</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完全合规</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惠农惠民政策知晓率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职工队伍稳定性</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稳定</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稳定</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AD0CB7"/>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042A0A"/>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B3059C"/>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037B5F"/>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BF21E8"/>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87A79"/>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D862F4"/>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B5511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C7438A"/>
    <w:rsid w:val="764F62AB"/>
    <w:rsid w:val="765C45EC"/>
    <w:rsid w:val="768A7619"/>
    <w:rsid w:val="772E1EBA"/>
    <w:rsid w:val="77EBD91B"/>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 w:val="DFF9E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22</TotalTime>
  <ScaleCrop>false</ScaleCrop>
  <LinksUpToDate>false</LinksUpToDate>
  <CharactersWithSpaces>26313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admin2</cp:lastModifiedBy>
  <dcterms:modified xsi:type="dcterms:W3CDTF">2025-11-12T10:01:37Z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