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ind w:right="75"/>
        <w:jc w:val="center"/>
        <w:rPr>
          <w:rFonts w:hint="default" w:ascii="Times New Roman" w:hAnsi="Times New Roman" w:eastAsia="方正小标宋_GBK" w:cs="Times New Roman"/>
          <w:sz w:val="44"/>
          <w:szCs w:val="44"/>
        </w:rPr>
      </w:pPr>
      <w:r>
        <w:rPr>
          <w:rStyle w:val="5"/>
          <w:rFonts w:hint="default" w:ascii="Times New Roman" w:hAnsi="Times New Roman" w:eastAsia="方正小标宋_GBK" w:cs="Times New Roman"/>
          <w:sz w:val="44"/>
          <w:szCs w:val="44"/>
        </w:rPr>
        <w:t>重庆市荣昌区荣隆镇人民政府</w:t>
      </w:r>
    </w:p>
    <w:p>
      <w:pPr>
        <w:pStyle w:val="3"/>
        <w:keepNext w:val="0"/>
        <w:keepLines w:val="0"/>
        <w:widowControl/>
        <w:suppressLineNumbers w:val="0"/>
        <w:ind w:right="75"/>
        <w:jc w:val="center"/>
        <w:rPr>
          <w:rFonts w:hint="default" w:ascii="Times New Roman" w:hAnsi="Times New Roman" w:eastAsia="方正小标宋_GBK" w:cs="Times New Roman"/>
          <w:sz w:val="44"/>
          <w:szCs w:val="44"/>
        </w:rPr>
      </w:pPr>
      <w:r>
        <w:rPr>
          <w:rStyle w:val="5"/>
          <w:rFonts w:hint="default" w:ascii="Times New Roman" w:hAnsi="Times New Roman" w:eastAsia="方正小标宋_GBK" w:cs="Times New Roman"/>
          <w:sz w:val="44"/>
          <w:szCs w:val="44"/>
        </w:rPr>
        <w:t>2022年度部门决算情况说明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640" w:firstLineChars="200"/>
        <w:textAlignment w:val="auto"/>
        <w:rPr>
          <w:rFonts w:hint="default" w:ascii="Times New Roman" w:hAnsi="Times New Roman" w:cs="Times New Roman"/>
        </w:rPr>
      </w:pPr>
      <w:r>
        <w:rPr>
          <w:rStyle w:val="5"/>
          <w:rFonts w:hint="default" w:ascii="Times New Roman" w:hAnsi="Times New Roman" w:eastAsia="方正黑体_GBK" w:cs="Times New Roman"/>
          <w:sz w:val="32"/>
          <w:szCs w:val="32"/>
        </w:rPr>
        <w:t>一、部门基本情况</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cs="Times New Roman"/>
        </w:rPr>
      </w:pPr>
      <w:r>
        <w:rPr>
          <w:rStyle w:val="5"/>
          <w:rFonts w:hint="default" w:ascii="Times New Roman" w:hAnsi="Times New Roman" w:eastAsia="方正楷体_GBK" w:cs="Times New Roman"/>
          <w:sz w:val="28"/>
          <w:szCs w:val="28"/>
        </w:rPr>
        <w:t>（一）职能职责</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rightChars="0" w:firstLine="560" w:firstLineChars="200"/>
        <w:jc w:val="left"/>
        <w:textAlignment w:val="auto"/>
        <w:rPr>
          <w:rFonts w:hint="default" w:ascii="Times New Roman" w:hAnsi="Times New Roman" w:eastAsia="方正仿宋_GBK" w:cs="Times New Roman"/>
          <w:kern w:val="0"/>
          <w:sz w:val="28"/>
          <w:szCs w:val="28"/>
          <w:shd w:val="clear" w:fill="FFFFFF"/>
        </w:rPr>
      </w:pPr>
      <w:r>
        <w:rPr>
          <w:rFonts w:hint="default" w:ascii="Times New Roman" w:hAnsi="Times New Roman" w:eastAsia="方正仿宋_GBK" w:cs="Times New Roman"/>
          <w:kern w:val="0"/>
          <w:sz w:val="28"/>
          <w:szCs w:val="28"/>
          <w:shd w:val="clear" w:fill="FFFFFF"/>
        </w:rPr>
        <w:t xml:space="preserve"> </w:t>
      </w:r>
      <w:r>
        <w:rPr>
          <w:rFonts w:hint="default" w:ascii="Times New Roman" w:hAnsi="Times New Roman" w:eastAsia="方正仿宋_GBK" w:cs="Times New Roman"/>
          <w:kern w:val="0"/>
          <w:sz w:val="28"/>
          <w:szCs w:val="28"/>
          <w:shd w:val="clear" w:fill="FFFFFF"/>
          <w:lang w:eastAsia="zh-CN"/>
        </w:rPr>
        <w:t>重庆市荣昌区荣隆镇人民政府的主要职能职责是：</w:t>
      </w:r>
      <w:r>
        <w:rPr>
          <w:rFonts w:hint="default" w:ascii="Times New Roman" w:hAnsi="Times New Roman" w:eastAsia="方正仿宋_GBK" w:cs="Times New Roman"/>
          <w:kern w:val="0"/>
          <w:sz w:val="28"/>
          <w:szCs w:val="28"/>
          <w:shd w:val="clear" w:fill="FFFFFF"/>
        </w:rPr>
        <w:t>制定和组织实施经济、科技和社会发展计划，组织指导各行生产，协调本镇与外地区经济交流与合作，抓好招商引资</w:t>
      </w:r>
      <w:r>
        <w:rPr>
          <w:rFonts w:hint="default" w:ascii="Times New Roman" w:hAnsi="Times New Roman" w:eastAsia="方正仿宋_GBK" w:cs="Times New Roman"/>
          <w:kern w:val="0"/>
          <w:sz w:val="28"/>
          <w:szCs w:val="28"/>
          <w:shd w:val="clear" w:fill="FFFFFF"/>
          <w:lang w:eastAsia="zh-CN"/>
        </w:rPr>
        <w:t>；</w:t>
      </w:r>
      <w:r>
        <w:rPr>
          <w:rFonts w:hint="default" w:ascii="Times New Roman" w:hAnsi="Times New Roman" w:eastAsia="方正仿宋_GBK" w:cs="Times New Roman"/>
          <w:kern w:val="0"/>
          <w:sz w:val="28"/>
          <w:szCs w:val="28"/>
          <w:shd w:val="clear" w:fill="FFFFFF"/>
        </w:rPr>
        <w:t>制定组织村镇规划，部署重点工程建设，地方道路，公共设施、水利设施，负债土地、林木等</w:t>
      </w:r>
      <w:r>
        <w:rPr>
          <w:rFonts w:hint="default" w:ascii="Times New Roman" w:hAnsi="Times New Roman" w:eastAsia="方正仿宋_GBK" w:cs="Times New Roman"/>
          <w:kern w:val="0"/>
          <w:sz w:val="28"/>
          <w:szCs w:val="28"/>
          <w:shd w:val="clear" w:fill="FFFFFF"/>
          <w:lang w:eastAsia="zh-CN"/>
        </w:rPr>
        <w:t>；</w:t>
      </w:r>
      <w:r>
        <w:rPr>
          <w:rFonts w:hint="default" w:ascii="Times New Roman" w:hAnsi="Times New Roman" w:eastAsia="方正仿宋_GBK" w:cs="Times New Roman"/>
          <w:kern w:val="0"/>
          <w:sz w:val="28"/>
          <w:szCs w:val="28"/>
          <w:shd w:val="clear" w:fill="FFFFFF"/>
        </w:rPr>
        <w:t>负责本区域类民政、计划生育、文化教育、卫生体育等社会公益事业的综合性工作</w:t>
      </w:r>
      <w:r>
        <w:rPr>
          <w:rFonts w:hint="default" w:ascii="Times New Roman" w:hAnsi="Times New Roman" w:eastAsia="方正仿宋_GBK" w:cs="Times New Roman"/>
          <w:kern w:val="0"/>
          <w:sz w:val="28"/>
          <w:szCs w:val="28"/>
          <w:shd w:val="clear" w:fill="FFFFFF"/>
          <w:lang w:eastAsia="zh-CN"/>
        </w:rPr>
        <w:t>；</w:t>
      </w:r>
      <w:r>
        <w:rPr>
          <w:rFonts w:hint="default" w:ascii="Times New Roman" w:hAnsi="Times New Roman" w:eastAsia="方正仿宋_GBK" w:cs="Times New Roman"/>
          <w:kern w:val="0"/>
          <w:sz w:val="28"/>
          <w:szCs w:val="28"/>
          <w:shd w:val="clear" w:fill="FFFFFF"/>
        </w:rPr>
        <w:t>组织本级财政税收和财政收入，完成国家计划，增强财政实力</w:t>
      </w:r>
      <w:r>
        <w:rPr>
          <w:rFonts w:hint="default" w:ascii="Times New Roman" w:hAnsi="Times New Roman" w:eastAsia="方正仿宋_GBK" w:cs="Times New Roman"/>
          <w:kern w:val="0"/>
          <w:sz w:val="28"/>
          <w:szCs w:val="28"/>
          <w:shd w:val="clear" w:fill="FFFFFF"/>
          <w:lang w:eastAsia="zh-CN"/>
        </w:rPr>
        <w:t>；</w:t>
      </w:r>
      <w:r>
        <w:rPr>
          <w:rFonts w:hint="default" w:ascii="Times New Roman" w:hAnsi="Times New Roman" w:eastAsia="方正仿宋_GBK" w:cs="Times New Roman"/>
          <w:kern w:val="0"/>
          <w:sz w:val="28"/>
          <w:szCs w:val="28"/>
          <w:shd w:val="clear" w:fill="FFFFFF"/>
        </w:rPr>
        <w:t>完成上级政府交办其他事项。</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Style w:val="5"/>
          <w:rFonts w:hint="default" w:ascii="Times New Roman" w:hAnsi="Times New Roman" w:eastAsia="方正楷体_GBK" w:cs="Times New Roman"/>
          <w:sz w:val="28"/>
          <w:szCs w:val="28"/>
        </w:rPr>
      </w:pPr>
      <w:r>
        <w:rPr>
          <w:rStyle w:val="5"/>
          <w:rFonts w:hint="default" w:ascii="Times New Roman" w:hAnsi="Times New Roman" w:eastAsia="方正楷体_GBK" w:cs="Times New Roman"/>
          <w:sz w:val="28"/>
          <w:szCs w:val="28"/>
        </w:rPr>
        <w:t>（二）机构设置</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rightChars="0" w:firstLine="560" w:firstLineChars="200"/>
        <w:jc w:val="left"/>
        <w:textAlignment w:val="auto"/>
        <w:rPr>
          <w:rFonts w:hint="default" w:ascii="Times New Roman" w:hAnsi="Times New Roman" w:eastAsia="方正仿宋_GBK" w:cs="Times New Roman"/>
          <w:kern w:val="0"/>
          <w:sz w:val="28"/>
          <w:szCs w:val="28"/>
          <w:shd w:val="clear" w:fill="FFFFFF"/>
          <w:lang w:val="en-US" w:eastAsia="zh-CN"/>
        </w:rPr>
      </w:pPr>
      <w:r>
        <w:rPr>
          <w:rFonts w:hint="default" w:ascii="Times New Roman" w:hAnsi="Times New Roman" w:eastAsia="方正仿宋_GBK" w:cs="Times New Roman"/>
          <w:kern w:val="0"/>
          <w:sz w:val="28"/>
          <w:szCs w:val="28"/>
          <w:shd w:val="clear" w:fill="FFFFFF"/>
          <w:lang w:val="en-US" w:eastAsia="zh-CN"/>
        </w:rPr>
        <w:t>本单位内设机构10个：党政办公室、党群工作办公室、经济发展办公室、民政和社区事务办公室、平安建设办公室、规划建设管理环保办公室、财政办公室、应急管理办公室、人大办公室、综合行政执法办公室。</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Style w:val="5"/>
          <w:rFonts w:hint="default" w:ascii="Times New Roman" w:hAnsi="Times New Roman" w:eastAsia="方正楷体_GBK" w:cs="Times New Roman"/>
          <w:sz w:val="28"/>
          <w:szCs w:val="28"/>
        </w:rPr>
      </w:pPr>
      <w:r>
        <w:rPr>
          <w:rStyle w:val="5"/>
          <w:rFonts w:hint="default" w:ascii="Times New Roman" w:hAnsi="Times New Roman" w:eastAsia="方正楷体_GBK" w:cs="Times New Roman"/>
          <w:sz w:val="28"/>
          <w:szCs w:val="28"/>
        </w:rPr>
        <w:t>（三）单位构成</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rightChars="0" w:firstLine="560" w:firstLineChars="200"/>
        <w:jc w:val="left"/>
        <w:textAlignment w:val="auto"/>
        <w:rPr>
          <w:rFonts w:hint="default" w:ascii="Times New Roman" w:hAnsi="Times New Roman" w:eastAsia="方正仿宋_GBK" w:cs="Times New Roman"/>
          <w:kern w:val="0"/>
          <w:sz w:val="28"/>
          <w:szCs w:val="28"/>
          <w:shd w:val="clear" w:fill="FFFFFF"/>
          <w:lang w:val="en-US" w:eastAsia="zh-CN"/>
        </w:rPr>
      </w:pPr>
      <w:r>
        <w:rPr>
          <w:rFonts w:hint="default" w:ascii="Times New Roman" w:hAnsi="Times New Roman" w:eastAsia="方正仿宋_GBK" w:cs="Times New Roman"/>
          <w:kern w:val="0"/>
          <w:sz w:val="28"/>
          <w:szCs w:val="28"/>
          <w:shd w:val="clear" w:fill="FFFFFF"/>
          <w:lang w:val="en-US" w:eastAsia="zh-CN"/>
        </w:rPr>
        <w:t>从预算单位构成看，纳入本部门2022年度决算编制的二级预算单位主要包括重庆市荣昌区荣隆镇人民政府（本级）、重庆市荣昌区荣隆镇文化服务中心、重庆市荣昌区荣隆镇农业服务中心、重庆市荣昌区荣隆镇劳动就业和社会保障服务所、重庆市荣昌区荣隆镇退役军人服务站、重庆市荣昌区荣隆镇综合行政执法大队、重庆市荣昌区荣隆镇建设环保服务中心、重庆市荣昌区荣隆镇畜牧服务中心。</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640" w:firstLineChars="200"/>
        <w:textAlignment w:val="auto"/>
        <w:rPr>
          <w:rStyle w:val="5"/>
          <w:rFonts w:hint="default" w:ascii="Times New Roman" w:hAnsi="Times New Roman" w:eastAsia="方正黑体_GBK" w:cs="Times New Roman"/>
          <w:sz w:val="32"/>
          <w:szCs w:val="32"/>
        </w:rPr>
      </w:pPr>
      <w:r>
        <w:rPr>
          <w:rStyle w:val="5"/>
          <w:rFonts w:hint="default" w:ascii="Times New Roman" w:hAnsi="Times New Roman" w:eastAsia="方正黑体_GBK" w:cs="Times New Roman"/>
          <w:sz w:val="32"/>
          <w:szCs w:val="32"/>
        </w:rPr>
        <w:t>二、部门决算情况说明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Style w:val="5"/>
          <w:rFonts w:hint="default" w:ascii="Times New Roman" w:hAnsi="Times New Roman" w:eastAsia="方正楷体_GBK" w:cs="Times New Roman"/>
          <w:sz w:val="28"/>
          <w:szCs w:val="28"/>
        </w:rPr>
      </w:pPr>
      <w:r>
        <w:rPr>
          <w:rStyle w:val="5"/>
          <w:rFonts w:hint="default" w:ascii="Times New Roman" w:hAnsi="Times New Roman" w:eastAsia="方正楷体_GBK" w:cs="Times New Roman"/>
          <w:sz w:val="28"/>
          <w:szCs w:val="28"/>
        </w:rPr>
        <w:t>（一）收入支出决算总体情况说明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482"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Style w:val="5"/>
          <w:rFonts w:hint="default" w:ascii="Times New Roman" w:hAnsi="Times New Roman" w:cs="Times New Roman"/>
        </w:rPr>
        <w:t>1.总体情况。</w:t>
      </w:r>
      <w:r>
        <w:rPr>
          <w:rFonts w:hint="default" w:ascii="Times New Roman" w:hAnsi="Times New Roman" w:eastAsia="方正仿宋_GBK" w:cs="Times New Roman"/>
          <w:kern w:val="0"/>
          <w:sz w:val="28"/>
          <w:szCs w:val="28"/>
          <w:shd w:val="clear" w:fill="FFFFFF"/>
          <w:lang w:val="en-US" w:eastAsia="zh-CN" w:bidi="ar"/>
        </w:rPr>
        <w:t>2022年度收入总计6,664.25万元，支出总计6,664.25万元。收支较上年决算数增加852.14万元,增长14.7%，主要原因是新增老旧小区改造、城镇品质提升、厕所革命等项目。</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482" w:firstLineChars="200"/>
        <w:jc w:val="left"/>
        <w:textAlignment w:val="auto"/>
        <w:rPr>
          <w:rFonts w:hint="default" w:ascii="Times New Roman" w:hAnsi="Times New Roman" w:cs="Times New Roman"/>
        </w:rPr>
      </w:pPr>
      <w:r>
        <w:rPr>
          <w:rStyle w:val="5"/>
          <w:rFonts w:hint="default" w:ascii="Times New Roman" w:hAnsi="Times New Roman" w:cs="Times New Roman"/>
        </w:rPr>
        <w:t>2.收入情况。</w:t>
      </w:r>
      <w:r>
        <w:rPr>
          <w:rFonts w:hint="default" w:ascii="Times New Roman" w:hAnsi="Times New Roman" w:eastAsia="方正仿宋_GBK" w:cs="Times New Roman"/>
          <w:kern w:val="0"/>
          <w:sz w:val="28"/>
          <w:szCs w:val="28"/>
          <w:shd w:val="clear" w:fill="FFFFFF"/>
          <w:lang w:val="en-US" w:eastAsia="zh-CN" w:bidi="ar"/>
        </w:rPr>
        <w:t>2022年度收入合计6,569.70万元，较上年决算数增加1187.53万元，增长22.1%，主要原因是新增老旧小区改造、城镇品质提升、厕所革命等项目。其中：财政拨款收入6,501.20万元，占99%；其他收入68.50万元，占1%。此外，年初结转和结余94.55万元。</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482"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Style w:val="5"/>
          <w:rFonts w:hint="default" w:ascii="Times New Roman" w:hAnsi="Times New Roman" w:cs="Times New Roman"/>
        </w:rPr>
        <w:t>3.支出情况。</w:t>
      </w:r>
      <w:r>
        <w:rPr>
          <w:rFonts w:hint="default" w:ascii="Times New Roman" w:hAnsi="Times New Roman" w:eastAsia="方正仿宋_GBK" w:cs="Times New Roman"/>
          <w:kern w:val="0"/>
          <w:sz w:val="28"/>
          <w:szCs w:val="28"/>
          <w:shd w:val="clear" w:fill="FFFFFF"/>
          <w:lang w:val="en-US" w:eastAsia="zh-CN" w:bidi="ar"/>
        </w:rPr>
        <w:t>2022年度支出合计6,664.25万元，较上年决算增加890.30万元，增长15.4%，主要原因是新增老旧小区改造、城镇品质提升、厕所革命等项目。其中：基本支出2,865.46万元，占43%；项目支出3,798.79万元，占57%。</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482"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Style w:val="5"/>
          <w:rFonts w:hint="default" w:ascii="Times New Roman" w:hAnsi="Times New Roman" w:cs="Times New Roman"/>
        </w:rPr>
        <w:t>4.结转结余情况。</w:t>
      </w:r>
      <w:r>
        <w:rPr>
          <w:rFonts w:hint="default" w:ascii="Times New Roman" w:hAnsi="Times New Roman" w:eastAsia="方正仿宋_GBK" w:cs="Times New Roman"/>
          <w:kern w:val="0"/>
          <w:sz w:val="28"/>
          <w:szCs w:val="28"/>
          <w:shd w:val="clear" w:fill="FFFFFF"/>
          <w:lang w:val="en-US" w:eastAsia="zh-CN" w:bidi="ar"/>
        </w:rPr>
        <w:t>2022年度年末结转和结余0.00万元，较上年决算数减少38.16万元，减少100%，主要原因是项目资金已及时支付，年末结转结余减少。</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cs="Times New Roman"/>
        </w:rPr>
      </w:pPr>
      <w:r>
        <w:rPr>
          <w:rStyle w:val="5"/>
          <w:rFonts w:hint="default" w:ascii="Times New Roman" w:hAnsi="Times New Roman" w:eastAsia="方正楷体_GBK" w:cs="Times New Roman"/>
          <w:sz w:val="28"/>
          <w:szCs w:val="28"/>
        </w:rPr>
        <w:t>（二）财政拨款收入支出决算总体情况说明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2022年度财政拨款收、支总计6,595.75万元。与2021年相比，财政拨款收、支总计各增加851.94万元，增加14.8%。主要原因是新增老旧小区改造、城镇品质提升、厕所革命等项目。</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cs="Times New Roman"/>
        </w:rPr>
      </w:pPr>
      <w:r>
        <w:rPr>
          <w:rStyle w:val="5"/>
          <w:rFonts w:hint="default" w:ascii="Times New Roman" w:hAnsi="Times New Roman" w:eastAsia="方正楷体_GBK" w:cs="Times New Roman"/>
          <w:sz w:val="28"/>
          <w:szCs w:val="28"/>
        </w:rPr>
        <w:t>（三）一般公共预算财政拨款收入支出决算情况说明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482"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Style w:val="5"/>
          <w:rFonts w:hint="default" w:ascii="Times New Roman" w:hAnsi="Times New Roman" w:cs="Times New Roman"/>
        </w:rPr>
        <w:t>1.收入情况。</w:t>
      </w:r>
      <w:r>
        <w:rPr>
          <w:rFonts w:hint="default" w:ascii="Times New Roman" w:hAnsi="Times New Roman" w:eastAsia="方正仿宋_GBK" w:cs="Times New Roman"/>
          <w:kern w:val="0"/>
          <w:sz w:val="28"/>
          <w:szCs w:val="28"/>
          <w:shd w:val="clear" w:fill="FFFFFF"/>
          <w:lang w:val="en-US" w:eastAsia="zh-CN" w:bidi="ar"/>
        </w:rPr>
        <w:t>2022年度一般公共预算财政拨款收入5,859.51万元，较上年决算数增加748.81万元，增长14.7%。主要原因是新增老旧小区改造、城镇品质提升、厕所革命等项目。较年初预算数增加432.44万元，增加8%。主要原因是新增老旧小区改造、城镇品质提升、厕所革命等项目。此外，年初财政拨款结转和结余94.55万元。</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482" w:firstLineChars="200"/>
        <w:jc w:val="both"/>
        <w:textAlignment w:val="auto"/>
        <w:rPr>
          <w:rFonts w:hint="default" w:ascii="Times New Roman" w:hAnsi="Times New Roman" w:eastAsia="方正仿宋_GBK" w:cs="Times New Roman"/>
          <w:kern w:val="0"/>
          <w:sz w:val="28"/>
          <w:szCs w:val="28"/>
          <w:shd w:val="clear" w:fill="FFFFFF"/>
          <w:lang w:val="en-US" w:eastAsia="zh-CN" w:bidi="ar"/>
        </w:rPr>
      </w:pPr>
      <w:r>
        <w:rPr>
          <w:rStyle w:val="5"/>
          <w:rFonts w:hint="default" w:ascii="Times New Roman" w:hAnsi="Times New Roman" w:cs="Times New Roman"/>
        </w:rPr>
        <w:t>2.支出情况。</w:t>
      </w:r>
      <w:r>
        <w:rPr>
          <w:rFonts w:hint="default" w:ascii="Times New Roman" w:hAnsi="Times New Roman" w:eastAsia="方正仿宋_GBK" w:cs="Times New Roman"/>
          <w:kern w:val="0"/>
          <w:sz w:val="28"/>
          <w:szCs w:val="28"/>
          <w:shd w:val="clear" w:fill="FFFFFF"/>
          <w:lang w:val="en-US" w:eastAsia="zh-CN" w:bidi="ar"/>
        </w:rPr>
        <w:t>2022年度一般公共预算财政拨款支出5,954.06万元，较上年决算数增加455.93万元，增长8.3%。主要原因是新增老旧小区改造、城镇品质提升、厕所革命等项目。较年初预算数增加526.99万元，增加9.7%。主要原因是老旧小区改造、城镇品质提升、厕所革命等项目</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482"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Style w:val="5"/>
          <w:rFonts w:hint="default" w:ascii="Times New Roman" w:hAnsi="Times New Roman" w:cs="Times New Roman"/>
        </w:rPr>
        <w:t>3.结转结余情况。</w:t>
      </w:r>
      <w:r>
        <w:rPr>
          <w:rFonts w:hint="default" w:ascii="Times New Roman" w:hAnsi="Times New Roman" w:eastAsia="方正仿宋_GBK" w:cs="Times New Roman"/>
          <w:kern w:val="0"/>
          <w:sz w:val="28"/>
          <w:szCs w:val="28"/>
          <w:shd w:val="clear" w:fill="FFFFFF"/>
          <w:lang w:val="en-US" w:eastAsia="zh-CN" w:bidi="ar"/>
        </w:rPr>
        <w:t>2022年度年末一般公共预算财政拨款结转和结余0.00万元，较上年决算数减少94.55万元，减少100%，主要原因是工程款支付及时，年末结转结余减少。</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482"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Style w:val="5"/>
          <w:rFonts w:hint="default" w:ascii="Times New Roman" w:hAnsi="Times New Roman" w:cs="Times New Roman"/>
        </w:rPr>
        <w:t>4.比较情况。</w:t>
      </w:r>
      <w:r>
        <w:rPr>
          <w:rFonts w:hint="default" w:ascii="Times New Roman" w:hAnsi="Times New Roman" w:eastAsia="方正仿宋_GBK" w:cs="Times New Roman"/>
          <w:kern w:val="0"/>
          <w:sz w:val="28"/>
          <w:szCs w:val="28"/>
          <w:shd w:val="clear" w:fill="FFFFFF"/>
          <w:lang w:val="en-US" w:eastAsia="zh-CN" w:bidi="ar"/>
        </w:rPr>
        <w:t>本部门2022年度一般公共预算财政拨款支出主要用于以下几个方面：</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（1）一般公共服务支出1,355.40万元，占22.8%，较年初预算数增加179.75万元，增加15.3%，主要原因是人员增加，经费相应增加。</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（2）教育支出4.47万元，占0.1%，较年初预算数增加4.47万元，增长100%，主要原因是重视科教文卫事业发展，加大教育事业支持力度。</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（3）文化旅游体育与传媒支出68.49万元，占1.2%，较年初预算数增加9.04万元，增加15.2%，主要原因是重视文化体育事业发展，加大对文化旅游事业的支出力度。</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（4）社会保障与就业支出766.53万元，占12.9%，较年初预算数增加20.02万元，增加2.7%，主要原因是新招录人员，保险等支出相应增加</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（5）卫生健康支出140.15万元，占2.4%，较年初预算数增加28.53万元，增加25.6%，主要原因是增加突发公共事件支出。</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（6）节能环保支出59.44万元，占1%，较年初预算数增加57.04万元，增长2300.7%，主要原因是加大了葛桥污水处理站技术升级和河道污水治理支出</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（7）城乡社区支出452.18万元，占7.6%，较年初预算数减少705.26万元，下降60.9%，主要原因是减少了镇街品质提升项目资金</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（8）农林水支出2,213.45万元，占37.2%，较年初预算数增加545.63万元，增加32.7%，主要原因是增加了高标准农田建设、抗旱基地建设、厕所革命等项目资金。</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（9）交通运输支出484.65万元，占8.1%，较年初预算数增加163.93万元，增加51.1%，主要原因是新增农村道路建设补助资金</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（10）住房保障支出399.31万元，占6.7%，较年初预算数增加214.16万元，增加115.7%，主要原因是增加老旧小区及危房改造项目</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cs="Times New Roman"/>
          <w:lang w:eastAsia="zh-CN"/>
        </w:rPr>
      </w:pPr>
      <w:r>
        <w:rPr>
          <w:rFonts w:hint="default" w:ascii="Times New Roman" w:hAnsi="Times New Roman" w:eastAsia="方正仿宋_GBK" w:cs="Times New Roman"/>
          <w:kern w:val="0"/>
          <w:sz w:val="28"/>
          <w:szCs w:val="28"/>
          <w:shd w:val="clear" w:fill="FFFFFF"/>
          <w:lang w:val="en-US" w:eastAsia="zh-CN" w:bidi="ar"/>
        </w:rPr>
        <w:t>（11）灾害防治及应急管理支出10.00万元，占0.2%，较年初预算数增加10.00万元，增长100%，主要原因是增加自然灾害救助资金。</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Style w:val="5"/>
          <w:rFonts w:hint="default" w:ascii="Times New Roman" w:hAnsi="Times New Roman" w:eastAsia="方正楷体_GBK" w:cs="Times New Roman"/>
          <w:sz w:val="28"/>
          <w:szCs w:val="28"/>
        </w:rPr>
      </w:pPr>
      <w:r>
        <w:rPr>
          <w:rStyle w:val="5"/>
          <w:rFonts w:hint="default" w:ascii="Times New Roman" w:hAnsi="Times New Roman" w:eastAsia="方正楷体_GBK" w:cs="Times New Roman"/>
          <w:sz w:val="28"/>
          <w:szCs w:val="28"/>
        </w:rPr>
        <w:t>（四）一般公共预算财政拨款基本支出决算情况说明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2022年度一般公共预算财政拨款基本支出2,865.46万元。其中：人员经费2,341.99万元，较上年决算数增加212.09万元，增长10%，主要原因是财政供养人员增加，人员经费增加。人员经费用途主要包括包括基本工资、津贴补贴、奖金、其他工资福利（包括临聘人员工资、绩效考核、应休未休年休假补助、公务员平时考核奖励金）、住房公积金。公用经费523.47万元，较上年决算数增加70.45万元，增长15.6%，主要原因是财政供养人员增加，公用经费增加。公用经费用途主要包括办公费、印刷费、水费、电费、邮电费、差旅费、维修（护）费、会议费、培训费、公务接待费、专用材料费、劳务费、工会经费、公务车用车运行维护费、其他交通费用。</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cs="Times New Roman"/>
        </w:rPr>
      </w:pPr>
      <w:r>
        <w:rPr>
          <w:rStyle w:val="5"/>
          <w:rFonts w:hint="default" w:ascii="Times New Roman" w:hAnsi="Times New Roman" w:eastAsia="方正楷体_GBK" w:cs="Times New Roman"/>
          <w:sz w:val="28"/>
          <w:szCs w:val="28"/>
        </w:rPr>
        <w:t>（五）政府性基金预算收支决算情况说明。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2022年度政府性基金预算财政拨款年初结转结余0.00万元，年末结转结余0.00万元。本年收入641.69万元，较上年决算数增加438.52万元，增长215.8%，主要原因是增加园区解决历史遗留问题资金。本年支出641.69万元，较上年决算数增加641.69万元，增长438.52%，主要原因是增加园区解决历史遗留问题资金。</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Style w:val="5"/>
          <w:rFonts w:hint="default" w:ascii="Times New Roman" w:hAnsi="Times New Roman" w:eastAsia="方正楷体_GBK" w:cs="Times New Roman"/>
          <w:sz w:val="28"/>
          <w:szCs w:val="28"/>
        </w:rPr>
      </w:pPr>
      <w:r>
        <w:rPr>
          <w:rStyle w:val="5"/>
          <w:rFonts w:hint="default" w:ascii="Times New Roman" w:hAnsi="Times New Roman" w:eastAsia="方正楷体_GBK" w:cs="Times New Roman"/>
          <w:sz w:val="28"/>
          <w:szCs w:val="28"/>
        </w:rPr>
        <w:t>（六）国有资本经营预算财政拨款支出决算情况说明。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本部门2022年度无国有资本经营预算财政拨款支出。</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640" w:firstLineChars="200"/>
        <w:textAlignment w:val="auto"/>
        <w:rPr>
          <w:rStyle w:val="5"/>
          <w:rFonts w:hint="default" w:ascii="Times New Roman" w:hAnsi="Times New Roman" w:eastAsia="方正黑体_GBK" w:cs="Times New Roman"/>
          <w:sz w:val="32"/>
          <w:szCs w:val="32"/>
        </w:rPr>
      </w:pPr>
      <w:r>
        <w:rPr>
          <w:rStyle w:val="5"/>
          <w:rFonts w:hint="default" w:ascii="Times New Roman" w:hAnsi="Times New Roman" w:eastAsia="方正黑体_GBK" w:cs="Times New Roman"/>
          <w:sz w:val="32"/>
          <w:szCs w:val="32"/>
        </w:rPr>
        <w:t>三、“三公”经费情况说明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cs="Times New Roman"/>
        </w:rPr>
      </w:pPr>
      <w:r>
        <w:rPr>
          <w:rStyle w:val="5"/>
          <w:rFonts w:hint="default" w:ascii="Times New Roman" w:hAnsi="Times New Roman" w:eastAsia="方正楷体_GBK" w:cs="Times New Roman"/>
          <w:sz w:val="28"/>
          <w:szCs w:val="28"/>
        </w:rPr>
        <w:t>（一）“三公”经费支出总体情况说明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2022年度“三公”经费支出共计17.21万元，较年初预算数减少6.79万元，下降28.3%，主要原因是厉行节约，减少公车运行费和公务接待费。较上年支出数减少10.11万元，减少37%，主要原因是厉行节约，减少公车运行费和公务接待费。</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Style w:val="5"/>
          <w:rFonts w:hint="default" w:ascii="Times New Roman" w:hAnsi="Times New Roman" w:eastAsia="方正楷体_GBK" w:cs="Times New Roman"/>
          <w:sz w:val="28"/>
          <w:szCs w:val="28"/>
        </w:rPr>
      </w:pPr>
      <w:r>
        <w:rPr>
          <w:rStyle w:val="5"/>
          <w:rFonts w:hint="default" w:ascii="Times New Roman" w:hAnsi="Times New Roman" w:eastAsia="方正楷体_GBK" w:cs="Times New Roman"/>
          <w:sz w:val="28"/>
          <w:szCs w:val="28"/>
        </w:rPr>
        <w:t>（二）“三公”经费分项支出情况</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2022年度本部门因公出国（境）费用0.00万元，主要是本单位2022年度未发生因公出国（境）费用。费用支出较年初预算数持平，较上年支出数持平，较年初预算数和上年决算数持平的主要原因是一体化系统改革，本单位为新增单位，无年初数。</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公务车购置费0.00万元，主要是本单位2022年未发生公务车购置费。费用支出较年初预算数持平，较上年支出数持平，较年初预算数和上年决算数持平的主要原因是一体化系统改革，本单位为新增单位，无年初数。</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公务车运行维护费7.60万元，主要用于公务用车燃料费、维修费、过路过桥费、保险费等支出。费用支出较年初预算数减少4.40万元，下降36.7%，主要原因是厉行节约，减少公车运行费。较上年支出数减少4.89万元，增长减少39.2%，主要原因是厉行节约，减少公车运行费。</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公务接待费9.62万元，主要用于接待区各部门到镇街检查与指导工作接待费，招商引资接待费费用。支出较年初预算数减少2.38万元，下降19.8%，主要原因是认真贯彻落实中央八项规定精神，厉行节约，严控公务接待费支出。较上年支出数减少7.15万元，减少48.2%，主要原因是严格遵守公务接待开支范围和开支标准，严格控制陪餐人数，对应由接待对象承担的费用一律由接待对象自行支付，公务接待费用大幅下降。</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Style w:val="5"/>
          <w:rFonts w:hint="default" w:ascii="Times New Roman" w:hAnsi="Times New Roman" w:eastAsia="方正楷体_GBK" w:cs="Times New Roman"/>
          <w:sz w:val="28"/>
          <w:szCs w:val="28"/>
        </w:rPr>
      </w:pPr>
      <w:r>
        <w:rPr>
          <w:rStyle w:val="5"/>
          <w:rFonts w:hint="default" w:ascii="Times New Roman" w:hAnsi="Times New Roman" w:eastAsia="方正楷体_GBK" w:cs="Times New Roman"/>
          <w:sz w:val="28"/>
          <w:szCs w:val="28"/>
        </w:rPr>
        <w:t>（三）“三公”经费实物量情况</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2022年度本部门因公出国（境）共计0个团组，0人；公务用车购置0辆，公务车保有量为4辆；国内公务接待192批次 1,213人，其中：国内外事接待0批次，0人；国（境）外公务接待0批次，0人。2022年本部门人均接待费79.27元，车均购置费0.00万元，车 均维护费1.90万元。</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640" w:firstLineChars="200"/>
        <w:textAlignment w:val="auto"/>
        <w:rPr>
          <w:rStyle w:val="5"/>
          <w:rFonts w:hint="default" w:ascii="Times New Roman" w:hAnsi="Times New Roman" w:eastAsia="方正黑体_GBK" w:cs="Times New Roman"/>
          <w:sz w:val="32"/>
          <w:szCs w:val="32"/>
        </w:rPr>
      </w:pPr>
      <w:r>
        <w:rPr>
          <w:rStyle w:val="5"/>
          <w:rFonts w:hint="default" w:ascii="Times New Roman" w:hAnsi="Times New Roman" w:eastAsia="方正黑体_GBK" w:cs="Times New Roman"/>
          <w:sz w:val="32"/>
          <w:szCs w:val="32"/>
        </w:rPr>
        <w:t>四、其他需要说明的事项</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Style w:val="5"/>
          <w:rFonts w:hint="default" w:ascii="Times New Roman" w:hAnsi="Times New Roman" w:eastAsia="方正楷体_GBK" w:cs="Times New Roman"/>
          <w:sz w:val="28"/>
          <w:szCs w:val="28"/>
        </w:rPr>
      </w:pPr>
      <w:r>
        <w:rPr>
          <w:rStyle w:val="5"/>
          <w:rFonts w:hint="default" w:ascii="Times New Roman" w:hAnsi="Times New Roman" w:eastAsia="方正楷体_GBK" w:cs="Times New Roman"/>
          <w:sz w:val="28"/>
          <w:szCs w:val="28"/>
        </w:rPr>
        <w:t>（一）财政拨款会议费和培训费情况说明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本年度会议费支出4.63万元，较上年决算数减少13.92万元，减少75%，主要原因是未举办大型会议活动，同时精简会议事项，减少会议次数。本年度培训费支出16.79万元，较上年决算数减少3.01万元，减少15.2%，主要原因是减少了扶贫、乡村振兴、党员轮训等培训</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Style w:val="5"/>
          <w:rFonts w:hint="default" w:ascii="Times New Roman" w:hAnsi="Times New Roman" w:eastAsia="方正楷体_GBK" w:cs="Times New Roman"/>
          <w:sz w:val="28"/>
          <w:szCs w:val="28"/>
        </w:rPr>
      </w:pPr>
      <w:r>
        <w:rPr>
          <w:rStyle w:val="5"/>
          <w:rFonts w:hint="default" w:ascii="Times New Roman" w:hAnsi="Times New Roman" w:eastAsia="方正楷体_GBK" w:cs="Times New Roman"/>
          <w:sz w:val="28"/>
          <w:szCs w:val="28"/>
        </w:rPr>
        <w:t>（二）机关运行经费支出情况说明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2022年度本部门机关运行经费支出298.41万元，主要用于开支机关运行经费主要用于办公费、公务车运行维护费、差旅费、劳务费、公务接待费、工会经费及其他交通费用。机关运行经费较上年决算数减少149.69万元，减少33.4%，主要原因是政府厉行节约，控制公用经费。</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Style w:val="5"/>
          <w:rFonts w:hint="default" w:ascii="Times New Roman" w:hAnsi="Times New Roman" w:eastAsia="方正楷体_GBK" w:cs="Times New Roman"/>
          <w:sz w:val="28"/>
          <w:szCs w:val="28"/>
        </w:rPr>
      </w:pPr>
      <w:r>
        <w:rPr>
          <w:rStyle w:val="5"/>
          <w:rFonts w:hint="default" w:ascii="Times New Roman" w:hAnsi="Times New Roman" w:eastAsia="方正楷体_GBK" w:cs="Times New Roman"/>
          <w:sz w:val="28"/>
          <w:szCs w:val="28"/>
        </w:rPr>
        <w:t>（三）国有资产占用情况说明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截至2022年12月31日，本部门共有车辆7辆，其中，副部（省）级及以上领导用车0辆、主要领导干部用车0辆、机要通信用车0辆、应急保障用车4辆、执法执勤用车0辆，特种专业技术用车3辆，离退休干部用车0辆，其他用车0辆，。单价100万元（含）以上设备（不含车辆）0台（套）。</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Style w:val="5"/>
          <w:rFonts w:hint="default" w:ascii="Times New Roman" w:hAnsi="Times New Roman" w:eastAsia="方正楷体_GBK" w:cs="Times New Roman"/>
          <w:sz w:val="28"/>
          <w:szCs w:val="28"/>
        </w:rPr>
      </w:pPr>
      <w:r>
        <w:rPr>
          <w:rStyle w:val="5"/>
          <w:rFonts w:hint="default" w:ascii="Times New Roman" w:hAnsi="Times New Roman" w:eastAsia="方正楷体_GBK" w:cs="Times New Roman"/>
          <w:sz w:val="28"/>
          <w:szCs w:val="28"/>
        </w:rPr>
        <w:t>（四）政府采购支出说明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2022年度本部门政府采购支出总额3.42万元，其中：政府采购货物支出3.42万元、政府采购工程支出0.00万 元、政府采购服务支出0.00万元。授予中小企业合同金额3.42万元，占政府采购支出总额的100%，其中：授予小微企业合同金额3.42万元，占政府 采购支出总额的100%。主要用于采购办公设备，电脑、打印机、扫描仪、空调。</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640" w:firstLineChars="200"/>
        <w:textAlignment w:val="auto"/>
        <w:rPr>
          <w:rStyle w:val="5"/>
          <w:rFonts w:hint="default" w:ascii="Times New Roman" w:hAnsi="Times New Roman" w:eastAsia="方正黑体_GBK" w:cs="Times New Roman"/>
          <w:sz w:val="32"/>
          <w:szCs w:val="32"/>
        </w:rPr>
      </w:pPr>
      <w:r>
        <w:rPr>
          <w:rStyle w:val="5"/>
          <w:rFonts w:hint="default" w:ascii="Times New Roman" w:hAnsi="Times New Roman" w:eastAsia="方正黑体_GBK" w:cs="Times New Roman"/>
          <w:sz w:val="32"/>
          <w:szCs w:val="32"/>
        </w:rPr>
        <w:t>五、预算绩效管理情况说明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Style w:val="5"/>
          <w:rFonts w:hint="default" w:ascii="Times New Roman" w:hAnsi="Times New Roman" w:eastAsia="方正楷体_GBK" w:cs="Times New Roman"/>
          <w:sz w:val="28"/>
          <w:szCs w:val="28"/>
        </w:rPr>
      </w:pPr>
      <w:r>
        <w:rPr>
          <w:rStyle w:val="5"/>
          <w:rFonts w:hint="default" w:ascii="Times New Roman" w:hAnsi="Times New Roman" w:eastAsia="方正楷体_GBK" w:cs="Times New Roman"/>
          <w:sz w:val="28"/>
          <w:szCs w:val="28"/>
        </w:rPr>
        <w:t>（一）预算绩效管理工作开展情况</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根据预算绩效管理要求，我镇对101个项目开展了绩效自评，其中，以填报自评表形式开展自评101项，涉及资金3730.29万元。</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Style w:val="5"/>
          <w:rFonts w:hint="default" w:ascii="Times New Roman" w:hAnsi="Times New Roman" w:eastAsia="方正楷体_GBK" w:cs="Times New Roman"/>
          <w:sz w:val="28"/>
          <w:szCs w:val="28"/>
        </w:rPr>
      </w:pPr>
      <w:r>
        <w:rPr>
          <w:rStyle w:val="5"/>
          <w:rFonts w:hint="default" w:ascii="Times New Roman" w:hAnsi="Times New Roman" w:eastAsia="方正楷体_GBK" w:cs="Times New Roman"/>
          <w:sz w:val="28"/>
          <w:szCs w:val="28"/>
        </w:rPr>
        <w:t>（二）绩效自评结果。</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cs="Times New Roman"/>
        </w:rPr>
      </w:pPr>
      <w:r>
        <w:rPr>
          <w:rStyle w:val="5"/>
          <w:rFonts w:hint="default" w:ascii="Times New Roman" w:hAnsi="Times New Roman" w:eastAsia="方正楷体_GBK" w:cs="Times New Roman"/>
          <w:sz w:val="28"/>
          <w:szCs w:val="28"/>
        </w:rPr>
        <w:t>1.绩效目标自评表。</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（1）公开范围。</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本单位共自评 101个项目，公开 101个项目。</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（2）公开内容。</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详见附件二项目绩效自评表。</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Style w:val="5"/>
          <w:rFonts w:hint="default" w:ascii="Times New Roman" w:hAnsi="Times New Roman" w:eastAsia="方正楷体_GBK" w:cs="Times New Roman"/>
          <w:sz w:val="28"/>
          <w:szCs w:val="28"/>
        </w:rPr>
      </w:pPr>
      <w:r>
        <w:rPr>
          <w:rStyle w:val="5"/>
          <w:rFonts w:hint="default" w:ascii="Times New Roman" w:hAnsi="Times New Roman" w:eastAsia="方正楷体_GBK" w:cs="Times New Roman"/>
          <w:sz w:val="28"/>
          <w:szCs w:val="28"/>
        </w:rPr>
        <w:t>2.绩效自评报告或案例</w:t>
      </w:r>
      <w:r>
        <w:rPr>
          <w:rStyle w:val="5"/>
          <w:rFonts w:hint="default" w:ascii="Times New Roman" w:hAnsi="Times New Roman" w:eastAsia="方正楷体_GBK" w:cs="Times New Roman"/>
          <w:sz w:val="28"/>
          <w:szCs w:val="28"/>
          <w:lang w:eastAsia="zh-CN"/>
        </w:rPr>
        <w:t>。</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本单位未委托第三方开展绩效评价。</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Style w:val="5"/>
          <w:rFonts w:hint="default" w:ascii="Times New Roman" w:hAnsi="Times New Roman" w:eastAsia="方正楷体_GBK" w:cs="Times New Roman"/>
          <w:sz w:val="28"/>
          <w:szCs w:val="28"/>
        </w:rPr>
      </w:pPr>
      <w:r>
        <w:rPr>
          <w:rStyle w:val="5"/>
          <w:rFonts w:hint="default" w:ascii="Times New Roman" w:hAnsi="Times New Roman" w:eastAsia="方正楷体_GBK" w:cs="Times New Roman"/>
          <w:sz w:val="28"/>
          <w:szCs w:val="28"/>
        </w:rPr>
        <w:t>关于绩效自评结果的说明。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2022年度因疫情，荣隆镇镇街品质提升项目、荣隆镇零星D级危房改造、荣昌区荣隆新民社区老旧小区配套基础设施改造工程（第一批）、荣昌区荣隆镇新民社区老旧小区主体及场镇品质提升一体化改造项目，因疫情原因，工程进度缓慢；民政相关专项补助资金即新建沙坝子村便民服务中心，因拆迁问题，工程尚未动工；重庆市荣昌区荣隆镇先锋村蔬菜基地抗旱供水工程，未达到工程进度；低效林改造项目、美丽乡村建设奖补（玉久村），工程建设正在进行；动物防疫社会化服务、农业生产社会化服务项目、荣隆镇民政工作补助、荣隆镇彩票公益金区县分成，文件下达时间较晚，计划在2023年开展相应工作；农作物（玉米）秸秆青黄贮饲料生产加工、农村公路建设补助资金，正在进行中，尚未进行验收。</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Style w:val="5"/>
          <w:rFonts w:hint="default" w:ascii="Times New Roman" w:hAnsi="Times New Roman" w:eastAsia="方正楷体_GBK" w:cs="Times New Roman"/>
          <w:sz w:val="28"/>
          <w:szCs w:val="28"/>
        </w:rPr>
      </w:pPr>
      <w:r>
        <w:rPr>
          <w:rStyle w:val="5"/>
          <w:rFonts w:hint="default" w:ascii="Times New Roman" w:hAnsi="Times New Roman" w:eastAsia="方正楷体_GBK" w:cs="Times New Roman"/>
          <w:sz w:val="28"/>
          <w:szCs w:val="28"/>
        </w:rPr>
        <w:t>（三）重点绩效评价结果。</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本单位无区财政局委托第三方实施的重点绩效评价项目（政策）。</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640" w:firstLineChars="200"/>
        <w:textAlignment w:val="auto"/>
        <w:rPr>
          <w:rStyle w:val="5"/>
          <w:rFonts w:hint="default" w:ascii="Times New Roman" w:hAnsi="Times New Roman" w:eastAsia="方正黑体_GBK" w:cs="Times New Roman"/>
          <w:sz w:val="32"/>
          <w:szCs w:val="32"/>
        </w:rPr>
      </w:pPr>
      <w:r>
        <w:rPr>
          <w:rStyle w:val="5"/>
          <w:rFonts w:hint="default" w:ascii="Times New Roman" w:hAnsi="Times New Roman" w:eastAsia="方正黑体_GBK" w:cs="Times New Roman"/>
          <w:sz w:val="32"/>
          <w:szCs w:val="32"/>
        </w:rPr>
        <w:t>六、专业名词解释</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Style w:val="5"/>
          <w:rFonts w:hint="default" w:ascii="Times New Roman" w:hAnsi="Times New Roman" w:eastAsia="方正楷体_GBK" w:cs="Times New Roman"/>
          <w:sz w:val="28"/>
          <w:szCs w:val="28"/>
        </w:rPr>
        <w:t>（一）财政拨款收入</w:t>
      </w:r>
      <w:r>
        <w:rPr>
          <w:rFonts w:hint="default" w:ascii="Times New Roman" w:hAnsi="Times New Roman" w:cs="Times New Roman"/>
        </w:rPr>
        <w:t>：</w:t>
      </w:r>
      <w:r>
        <w:rPr>
          <w:rFonts w:hint="default" w:ascii="Times New Roman" w:hAnsi="Times New Roman" w:eastAsia="方正仿宋_GBK" w:cs="Times New Roman"/>
          <w:kern w:val="0"/>
          <w:sz w:val="28"/>
          <w:szCs w:val="28"/>
          <w:shd w:val="clear" w:fill="FFFFFF"/>
          <w:lang w:val="en-US" w:eastAsia="zh-CN" w:bidi="ar"/>
        </w:rPr>
        <w:t>指本年度从本级财政部门取得的财政拨款，包括一般公共预算财政拨款和政府性基金预算财政拨款。</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Style w:val="5"/>
          <w:rFonts w:hint="default" w:ascii="Times New Roman" w:hAnsi="Times New Roman" w:eastAsia="方正楷体_GBK" w:cs="Times New Roman"/>
          <w:sz w:val="28"/>
          <w:szCs w:val="28"/>
        </w:rPr>
        <w:t>（二）事业收入：</w:t>
      </w:r>
      <w:r>
        <w:rPr>
          <w:rFonts w:hint="default" w:ascii="Times New Roman" w:hAnsi="Times New Roman" w:eastAsia="方正仿宋_GBK" w:cs="Times New Roman"/>
          <w:kern w:val="0"/>
          <w:sz w:val="28"/>
          <w:szCs w:val="28"/>
          <w:shd w:val="clear" w:fill="FFFFFF"/>
          <w:lang w:val="en-US" w:eastAsia="zh-CN" w:bidi="ar"/>
        </w:rPr>
        <w:t>指事业单位开展专业业务活动及其辅助活动取得的现金流入；事业单位收到的财政专户实际核拨的教育收费等资金在此反映。</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Style w:val="5"/>
          <w:rFonts w:hint="default" w:ascii="Times New Roman" w:hAnsi="Times New Roman" w:eastAsia="方正楷体_GBK" w:cs="Times New Roman"/>
          <w:sz w:val="28"/>
          <w:szCs w:val="28"/>
        </w:rPr>
        <w:t>（三）其他收入：</w:t>
      </w:r>
      <w:r>
        <w:rPr>
          <w:rFonts w:hint="default" w:ascii="Times New Roman" w:hAnsi="Times New Roman" w:eastAsia="方正仿宋_GBK" w:cs="Times New Roman"/>
          <w:kern w:val="0"/>
          <w:sz w:val="28"/>
          <w:szCs w:val="28"/>
          <w:shd w:val="clear" w:fill="FFFFFF"/>
          <w:lang w:val="en-US" w:eastAsia="zh-CN" w:bidi="ar"/>
        </w:rPr>
        <w:t>指单位取得的除“财政拨款收入”、“事业收入”、“经营收入”等以 外的收入，包括未纳入财政预算或财政专户管理的投资收益、银行存款利息收入、租金收入、捐赠收入，现金盘盈收入、存货盘盈收入、收回已核销的应收及预付款 项、无法偿付的应付及预收款项等。各单位从本级财政部门以外的同级单位取得的经费、从非本级财政部门取得的经费，以及行政单位收到的财政专户管理资金反映 在本项内。</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cs="Times New Roman"/>
        </w:rPr>
      </w:pPr>
      <w:r>
        <w:rPr>
          <w:rStyle w:val="5"/>
          <w:rFonts w:hint="default" w:ascii="Times New Roman" w:hAnsi="Times New Roman" w:eastAsia="方正楷体_GBK" w:cs="Times New Roman"/>
          <w:sz w:val="28"/>
          <w:szCs w:val="28"/>
        </w:rPr>
        <w:t>（四）使用非财政拨款结余：</w:t>
      </w:r>
      <w:r>
        <w:rPr>
          <w:rFonts w:hint="default" w:ascii="Times New Roman" w:hAnsi="Times New Roman" w:eastAsia="方正仿宋_GBK" w:cs="Times New Roman"/>
          <w:kern w:val="0"/>
          <w:sz w:val="28"/>
          <w:szCs w:val="28"/>
          <w:shd w:val="clear" w:fill="FFFFFF"/>
          <w:lang w:val="en-US" w:eastAsia="zh-CN" w:bidi="ar"/>
        </w:rPr>
        <w:t>指单位在当年的“财政拨款收入”、“事业收入”、“经营收入”、“其他收入”等不足以安排当年支出的情况下，使用以前年度积累的非财政拨款结余弥补本年度收支缺口的资金。</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Style w:val="5"/>
          <w:rFonts w:hint="default" w:ascii="Times New Roman" w:hAnsi="Times New Roman" w:eastAsia="方正楷体_GBK" w:cs="Times New Roman"/>
          <w:sz w:val="28"/>
          <w:szCs w:val="28"/>
        </w:rPr>
        <w:t>（五）年初结转和结余：</w:t>
      </w:r>
      <w:r>
        <w:rPr>
          <w:rFonts w:hint="default" w:ascii="Times New Roman" w:hAnsi="Times New Roman" w:eastAsia="方正仿宋_GBK" w:cs="Times New Roman"/>
          <w:kern w:val="0"/>
          <w:sz w:val="28"/>
          <w:szCs w:val="28"/>
          <w:shd w:val="clear" w:fill="FFFFFF"/>
          <w:lang w:val="en-US" w:eastAsia="zh-CN" w:bidi="ar"/>
        </w:rPr>
        <w:t>指单位上年结转本年使用的基本支出结转、项目支出结转和结余、经营结余。</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Style w:val="5"/>
          <w:rFonts w:hint="default" w:ascii="Times New Roman" w:hAnsi="Times New Roman" w:eastAsia="方正楷体_GBK" w:cs="Times New Roman"/>
          <w:sz w:val="28"/>
          <w:szCs w:val="28"/>
        </w:rPr>
        <w:t>（六）结余分配：</w:t>
      </w:r>
      <w:r>
        <w:rPr>
          <w:rFonts w:hint="default" w:ascii="Times New Roman" w:hAnsi="Times New Roman" w:eastAsia="方正仿宋_GBK" w:cs="Times New Roman"/>
          <w:kern w:val="0"/>
          <w:sz w:val="28"/>
          <w:szCs w:val="28"/>
          <w:shd w:val="clear" w:fill="FFFFFF"/>
          <w:lang w:val="en-US" w:eastAsia="zh-CN" w:bidi="ar"/>
        </w:rPr>
        <w:t>指单位按照国家有关规定，缴纳所得税、提取专用基金、转入非财政拨款结余等当年结余的分配情况。</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Style w:val="5"/>
          <w:rFonts w:hint="default" w:ascii="Times New Roman" w:hAnsi="Times New Roman" w:eastAsia="方正楷体_GBK" w:cs="Times New Roman"/>
          <w:sz w:val="28"/>
          <w:szCs w:val="28"/>
        </w:rPr>
        <w:t>（七）年末结转和结余：</w:t>
      </w:r>
      <w:r>
        <w:rPr>
          <w:rFonts w:hint="default" w:ascii="Times New Roman" w:hAnsi="Times New Roman" w:eastAsia="方正仿宋_GBK" w:cs="Times New Roman"/>
          <w:kern w:val="0"/>
          <w:sz w:val="28"/>
          <w:szCs w:val="28"/>
          <w:shd w:val="clear" w:fill="FFFFFF"/>
          <w:lang w:val="en-US" w:eastAsia="zh-CN" w:bidi="ar"/>
        </w:rPr>
        <w:t>指单位结转下年的基本支出结转、项目支出结转和结余、经营结余。</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cs="Times New Roman"/>
        </w:rPr>
      </w:pPr>
      <w:r>
        <w:rPr>
          <w:rStyle w:val="5"/>
          <w:rFonts w:hint="default" w:ascii="Times New Roman" w:hAnsi="Times New Roman" w:eastAsia="方正楷体_GBK" w:cs="Times New Roman"/>
          <w:sz w:val="28"/>
          <w:szCs w:val="28"/>
        </w:rPr>
        <w:t>（八）基本支出：</w:t>
      </w:r>
      <w:r>
        <w:rPr>
          <w:rFonts w:hint="default" w:ascii="Times New Roman" w:hAnsi="Times New Roman" w:eastAsia="方正仿宋_GBK" w:cs="Times New Roman"/>
          <w:kern w:val="0"/>
          <w:sz w:val="28"/>
          <w:szCs w:val="28"/>
          <w:shd w:val="clear" w:fill="FFFFFF"/>
          <w:lang w:val="en-US" w:eastAsia="zh-CN" w:bidi="ar"/>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Style w:val="5"/>
          <w:rFonts w:hint="default" w:ascii="Times New Roman" w:hAnsi="Times New Roman" w:eastAsia="方正楷体_GBK" w:cs="Times New Roman"/>
          <w:sz w:val="28"/>
          <w:szCs w:val="28"/>
        </w:rPr>
        <w:t>（九）项目支出：</w:t>
      </w:r>
      <w:r>
        <w:rPr>
          <w:rFonts w:hint="default" w:ascii="Times New Roman" w:hAnsi="Times New Roman" w:eastAsia="方正仿宋_GBK" w:cs="Times New Roman"/>
          <w:kern w:val="0"/>
          <w:sz w:val="28"/>
          <w:szCs w:val="28"/>
          <w:shd w:val="clear" w:fill="FFFFFF"/>
          <w:lang w:val="en-US" w:eastAsia="zh-CN" w:bidi="ar"/>
        </w:rPr>
        <w:t>指在基本支出之外为完成特定行政任务和事业发展目标所发生的支出。</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Style w:val="5"/>
          <w:rFonts w:hint="default" w:ascii="Times New Roman" w:hAnsi="Times New Roman" w:eastAsia="方正楷体_GBK" w:cs="Times New Roman"/>
          <w:sz w:val="28"/>
          <w:szCs w:val="28"/>
        </w:rPr>
        <w:t>（十）“三公”经费：</w:t>
      </w:r>
      <w:r>
        <w:rPr>
          <w:rFonts w:hint="default" w:ascii="Times New Roman" w:hAnsi="Times New Roman" w:eastAsia="方正仿宋_GBK" w:cs="Times New Roman"/>
          <w:kern w:val="0"/>
          <w:sz w:val="28"/>
          <w:szCs w:val="28"/>
          <w:shd w:val="clear" w:fill="FFFFFF"/>
          <w:lang w:val="en-US" w:eastAsia="zh-CN" w:bidi="ar"/>
        </w:rPr>
        <w:t xml:space="preserve"> 指用财政拨款安排的因公出国（境）费、公务用车购置及运行维护费、公务接待费。其中，因公出国（境）费反映单位公务出国（境）的国际旅费、国外城市间交通 费、住宿费、伙食费、培训费、公杂费等支出；公务用车购置费反映单位公务用车购置支出（含车辆购置税）；公务用车运行维护费反映单位按规定保留的公务用车 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Style w:val="5"/>
          <w:rFonts w:hint="default" w:ascii="Times New Roman" w:hAnsi="Times New Roman" w:eastAsia="方正楷体_GBK" w:cs="Times New Roman"/>
          <w:sz w:val="28"/>
          <w:szCs w:val="28"/>
        </w:rPr>
        <w:t>（十一）机关运行经费：</w:t>
      </w:r>
      <w:r>
        <w:rPr>
          <w:rFonts w:hint="default" w:ascii="Times New Roman" w:hAnsi="Times New Roman" w:eastAsia="方正仿宋_GBK" w:cs="Times New Roman"/>
          <w:kern w:val="0"/>
          <w:sz w:val="28"/>
          <w:szCs w:val="28"/>
          <w:shd w:val="clear" w:fill="FFFFFF"/>
          <w:lang w:val="en-US" w:eastAsia="zh-CN" w:bidi="ar"/>
        </w:rPr>
        <w:t>为保障行政单位（含参照公务员法管理的事业单位）运行用于购 买货物和服务等的各项公用经费，包括办公及印刷费、邮电费、差旅费、会议费、福利费、日常维护费、专用材料及一般设备购置费、办公用房水电费、办公用房取 暖费、办公用房物业管理费、公务用车运行维护费以及其他费用。</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Style w:val="5"/>
          <w:rFonts w:hint="default" w:ascii="Times New Roman" w:hAnsi="Times New Roman" w:eastAsia="方正楷体_GBK" w:cs="Times New Roman"/>
          <w:sz w:val="28"/>
          <w:szCs w:val="28"/>
        </w:rPr>
        <w:t>（十二）工资福利支出（支出经济分类科目类级）：</w:t>
      </w:r>
      <w:r>
        <w:rPr>
          <w:rFonts w:hint="default" w:ascii="Times New Roman" w:hAnsi="Times New Roman" w:eastAsia="方正仿宋_GBK" w:cs="Times New Roman"/>
          <w:kern w:val="0"/>
          <w:sz w:val="28"/>
          <w:szCs w:val="28"/>
          <w:shd w:val="clear" w:fill="FFFFFF"/>
          <w:lang w:val="en-US" w:eastAsia="zh-CN" w:bidi="ar"/>
        </w:rPr>
        <w:t>反映单位开支的在职职工和编制外长期聘用人员的各类劳动报酬，以及为上述人员缴纳的各项社会保险费等。</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cs="Times New Roman"/>
        </w:rPr>
      </w:pPr>
      <w:r>
        <w:rPr>
          <w:rStyle w:val="5"/>
          <w:rFonts w:hint="default" w:ascii="Times New Roman" w:hAnsi="Times New Roman" w:eastAsia="方正楷体_GBK" w:cs="Times New Roman"/>
          <w:sz w:val="28"/>
          <w:szCs w:val="28"/>
        </w:rPr>
        <w:t>（十三）商品和服务支出（支出经济分类科目类级）：</w:t>
      </w:r>
      <w:r>
        <w:rPr>
          <w:rFonts w:hint="default" w:ascii="Times New Roman" w:hAnsi="Times New Roman" w:eastAsia="方正仿宋_GBK" w:cs="Times New Roman"/>
          <w:kern w:val="0"/>
          <w:sz w:val="28"/>
          <w:szCs w:val="28"/>
          <w:shd w:val="clear" w:fill="FFFFFF"/>
          <w:lang w:val="en-US" w:eastAsia="zh-CN" w:bidi="ar"/>
        </w:rPr>
        <w:t>反映单位购买商品和服务的支出（不包括用于购置固定资产的支出、战略性和应急储备支出）。</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Style w:val="5"/>
          <w:rFonts w:hint="default" w:ascii="Times New Roman" w:hAnsi="Times New Roman" w:eastAsia="方正楷体_GBK" w:cs="Times New Roman"/>
          <w:sz w:val="28"/>
          <w:szCs w:val="28"/>
        </w:rPr>
        <w:t>（十四）对个人和家庭的补助（支出经济分类科目类级）：</w:t>
      </w:r>
      <w:r>
        <w:rPr>
          <w:rFonts w:hint="default" w:ascii="Times New Roman" w:hAnsi="Times New Roman" w:eastAsia="方正仿宋_GBK" w:cs="Times New Roman"/>
          <w:kern w:val="0"/>
          <w:sz w:val="28"/>
          <w:szCs w:val="28"/>
          <w:shd w:val="clear" w:fill="FFFFFF"/>
          <w:lang w:val="en-US" w:eastAsia="zh-CN" w:bidi="ar"/>
        </w:rPr>
        <w:t>反映用于对个人和家庭的补助支出。</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Style w:val="5"/>
          <w:rFonts w:hint="default" w:ascii="Times New Roman" w:hAnsi="Times New Roman" w:eastAsia="方正楷体_GBK" w:cs="Times New Roman"/>
          <w:sz w:val="28"/>
          <w:szCs w:val="28"/>
        </w:rPr>
        <w:t>（十五）其他资本性支出（支出经济分类科目类级）：</w:t>
      </w:r>
      <w:r>
        <w:rPr>
          <w:rFonts w:hint="default" w:ascii="Times New Roman" w:hAnsi="Times New Roman" w:eastAsia="方正仿宋_GBK" w:cs="Times New Roman"/>
          <w:kern w:val="0"/>
          <w:sz w:val="28"/>
          <w:szCs w:val="28"/>
          <w:shd w:val="clear" w:fill="FFFFFF"/>
          <w:lang w:val="en-US" w:eastAsia="zh-CN" w:bidi="ar"/>
        </w:rPr>
        <w:t>反映非各级发展与改革部门集中安排的用于购置固定资产、战略性和应急性储备、土地和无形资产，以及构建基础设施、大型修缮和财政支持企业更新改造所发生的支出。</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640" w:firstLineChars="200"/>
        <w:jc w:val="left"/>
        <w:textAlignment w:val="auto"/>
        <w:rPr>
          <w:rFonts w:hint="default" w:ascii="Times New Roman" w:hAnsi="Times New Roman" w:cs="Times New Roman"/>
        </w:rPr>
      </w:pPr>
      <w:r>
        <w:rPr>
          <w:rStyle w:val="5"/>
          <w:rFonts w:hint="default" w:ascii="Times New Roman" w:hAnsi="Times New Roman" w:eastAsia="方正黑体_GBK" w:cs="Times New Roman"/>
          <w:sz w:val="32"/>
          <w:szCs w:val="32"/>
        </w:rPr>
        <w:t>七、决算公开联系方式及信息反馈渠道</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right="75" w:firstLine="560" w:firstLineChars="200"/>
        <w:jc w:val="left"/>
        <w:textAlignment w:val="auto"/>
        <w:rPr>
          <w:rFonts w:hint="default" w:ascii="Times New Roman" w:hAnsi="Times New Roman" w:eastAsia="方正仿宋_GBK" w:cs="Times New Roman"/>
          <w:kern w:val="0"/>
          <w:sz w:val="28"/>
          <w:szCs w:val="28"/>
          <w:shd w:val="clear" w:fill="FFFFFF"/>
          <w:lang w:val="en-US" w:eastAsia="zh-CN" w:bidi="ar"/>
        </w:rPr>
      </w:pPr>
      <w:r>
        <w:rPr>
          <w:rFonts w:hint="default" w:ascii="Times New Roman" w:hAnsi="Times New Roman" w:eastAsia="方正仿宋_GBK" w:cs="Times New Roman"/>
          <w:kern w:val="0"/>
          <w:sz w:val="28"/>
          <w:szCs w:val="28"/>
          <w:shd w:val="clear" w:fill="FFFFFF"/>
          <w:lang w:val="en-US" w:eastAsia="zh-CN" w:bidi="ar"/>
        </w:rPr>
        <w:t>本单位决算公开信息反馈和联系方式：陈洁  02646551008</w:t>
      </w:r>
    </w:p>
    <w:p>
      <w:pPr>
        <w:pStyle w:val="3"/>
        <w:keepNext w:val="0"/>
        <w:keepLines w:val="0"/>
        <w:widowControl/>
        <w:suppressLineNumbers w:val="0"/>
        <w:ind w:right="75"/>
        <w:jc w:val="left"/>
        <w:rPr>
          <w:rFonts w:hint="eastAsia"/>
          <w:lang w:val="en-US" w:eastAsia="zh-CN"/>
        </w:rPr>
      </w:pPr>
      <w:r>
        <w:rPr>
          <w:rFonts w:hint="eastAsia"/>
          <w:lang w:val="en-US" w:eastAsia="zh-CN"/>
        </w:rPr>
        <w:t>附件1：重庆市荣昌区荣隆镇人民政府2022年度决算公开报表</w:t>
      </w: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56"/>
        <w:gridCol w:w="2125"/>
        <w:gridCol w:w="2032"/>
        <w:gridCol w:w="2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8336" w:type="dxa"/>
            <w:gridSpan w:val="4"/>
            <w:tcBorders>
              <w:right w:val="single" w:color="80808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4"/>
            <w:tcBorders>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4"/>
            <w:tcBorders>
              <w:bottom w:val="single" w:color="808080" w:sz="4" w:space="0"/>
              <w:right w:val="single" w:color="80808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公开部门：重庆市荣昌区荣隆镇人民政府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181"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收入</w:t>
            </w:r>
          </w:p>
        </w:tc>
        <w:tc>
          <w:tcPr>
            <w:tcW w:w="415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212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功能分类科目</w:t>
            </w:r>
          </w:p>
        </w:tc>
        <w:tc>
          <w:tcPr>
            <w:tcW w:w="2123"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21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5,859.51</w:t>
            </w: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212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21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641.69</w:t>
            </w: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212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三、国有资本经营预算财政拨款收入</w:t>
            </w: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212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四、上级补助收入</w:t>
            </w: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212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五、事业收入</w:t>
            </w: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212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六、经营收入</w:t>
            </w: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212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七、附属单位上缴收入</w:t>
            </w: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212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八、其他收入</w:t>
            </w:r>
          </w:p>
        </w:tc>
        <w:tc>
          <w:tcPr>
            <w:tcW w:w="21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68.50</w:t>
            </w: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212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212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212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212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212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212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212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212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212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212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212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212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212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212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212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212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212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212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212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21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6,569.70</w:t>
            </w: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212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6,664.25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使用非财政拨款结余</w:t>
            </w:r>
          </w:p>
        </w:tc>
        <w:tc>
          <w:tcPr>
            <w:tcW w:w="2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结余分配</w:t>
            </w:r>
          </w:p>
        </w:tc>
        <w:tc>
          <w:tcPr>
            <w:tcW w:w="212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年初结转和结余</w:t>
            </w:r>
          </w:p>
        </w:tc>
        <w:tc>
          <w:tcPr>
            <w:tcW w:w="21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94.55</w:t>
            </w: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年末结转和结余</w:t>
            </w:r>
          </w:p>
        </w:tc>
        <w:tc>
          <w:tcPr>
            <w:tcW w:w="212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21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6,664.25</w:t>
            </w:r>
          </w:p>
        </w:tc>
        <w:tc>
          <w:tcPr>
            <w:tcW w:w="203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212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6,664.25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4"/>
            <w:tcBorders>
              <w:bottom w:val="single" w:color="80808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备注：1.本表反映部门本年度的总收支和年末结转结余等情况。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4"/>
            <w:tcBorders>
              <w:left w:val="single" w:color="808080" w:sz="4" w:space="0"/>
              <w:bottom w:val="single" w:color="80808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2.本套报表金额单位转换时可能存在尾数误差。</w:t>
            </w:r>
          </w:p>
        </w:tc>
      </w:tr>
    </w:tbl>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62"/>
        <w:gridCol w:w="1913"/>
        <w:gridCol w:w="990"/>
        <w:gridCol w:w="918"/>
        <w:gridCol w:w="486"/>
        <w:gridCol w:w="486"/>
        <w:gridCol w:w="529"/>
        <w:gridCol w:w="486"/>
        <w:gridCol w:w="480"/>
        <w:gridCol w:w="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8336" w:type="dxa"/>
            <w:gridSpan w:val="10"/>
            <w:tcBorders>
              <w:right w:val="single" w:color="80808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10"/>
            <w:tcBorders>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10"/>
            <w:tcBorders>
              <w:bottom w:val="single" w:color="808080" w:sz="4" w:space="0"/>
              <w:right w:val="single" w:color="80808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公开部门：重庆市荣昌区荣隆镇人民政府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375"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990"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918"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财政拨款收入</w:t>
            </w:r>
          </w:p>
        </w:tc>
        <w:tc>
          <w:tcPr>
            <w:tcW w:w="486"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上级补助收入</w:t>
            </w:r>
          </w:p>
        </w:tc>
        <w:tc>
          <w:tcPr>
            <w:tcW w:w="10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事业收入</w:t>
            </w:r>
          </w:p>
        </w:tc>
        <w:tc>
          <w:tcPr>
            <w:tcW w:w="486"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经营收入</w:t>
            </w:r>
          </w:p>
        </w:tc>
        <w:tc>
          <w:tcPr>
            <w:tcW w:w="480"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附属单位上缴收入</w:t>
            </w:r>
          </w:p>
        </w:tc>
        <w:tc>
          <w:tcPr>
            <w:tcW w:w="586"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62" w:type="dxa"/>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功能分类科目编码</w:t>
            </w:r>
          </w:p>
        </w:tc>
        <w:tc>
          <w:tcPr>
            <w:tcW w:w="1913"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项目（按“项”级功能分类科目）</w:t>
            </w:r>
          </w:p>
        </w:tc>
        <w:tc>
          <w:tcPr>
            <w:tcW w:w="99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918"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48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486"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529"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其中：教育收费</w:t>
            </w:r>
          </w:p>
        </w:tc>
        <w:tc>
          <w:tcPr>
            <w:tcW w:w="48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48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58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62"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1913"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99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918"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48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48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529"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48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48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58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62"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1913"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99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918"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48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48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529"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48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48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58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375"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6,569.70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6,501.20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一般公共服务支出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1,423.89</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1,355.39</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20101</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人大事务</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14.50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14.50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2010106</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人大监督</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2010108</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代表工作</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20103</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政府办公厅（室）及相关机构事务</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1,378.97</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1,310.47</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1,019.46</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1,019.46</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2010302</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273.58</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205.08</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2010350</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85.93</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85.93</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20113</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商贸事务</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4.00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4.00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2011308</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招商引资</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20132</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组织事务</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16.02</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16.02</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2013202</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2013299</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其他组织事务支出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11.92</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11.92</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20133</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宣传事务</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9.30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9.30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2013302</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2013399</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其他宣传事务支出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20136</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其他共产党事务支出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2013699</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其他共产党事务支出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205</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教育支出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4.47</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4.47</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20508</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进修及培训</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4.47</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4.47</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2050803</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4.47</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4.47</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207</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文化旅游体育与传媒支出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68.49</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68.49</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20701</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文化和旅游</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65.64</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65.64</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2070109</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群众文化</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57.26</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57.26</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2070199</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其他文化和旅游支出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8.38</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8.38</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20703</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体育</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2.85</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2.85</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2070307</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体育场馆</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社会保障和就业支出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766.53</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766.53</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20801</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人力资源和社会保障管理事务</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106.22</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106.22</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2080109</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社会保险经办机构</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2080199</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其他人力资源和社会保障管理事务支出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104.64</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104.64</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20802</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民政管理事务</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41.40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41.40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2080208</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基层政权建设和社区治理</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2080299</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20805</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行政事业单位养老支出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442.50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442.50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128.59</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128.59</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67.81</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67.81</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其他行政事业单位养老支出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246.10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246.10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20808</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抚恤</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30.18</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30.18</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2080805</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义务兵优待</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13.62</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13.62</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2080899</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其他优抚支出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16.56</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16.56</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20810</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社会福利</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47.07</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47.07</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2081002</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老年福利</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22.07</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22.07</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2081006</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养老服务</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20821</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特困人员救助供养</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15.52</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15.52</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2082101</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城市特困人员救助供养支出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15.52</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15.52</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20825</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其他生活救助</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28.01</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28.01</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2082502</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其他农村生活救助</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28.01</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28.01</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20828</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退役军人管理事务</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55.63</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55.63</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2082850</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52.67</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52.67</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2082899</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其他退役军人事务管理支出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210</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卫生健康支出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140.14</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140.14</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21004</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公共卫生</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7.64</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7.64</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2100410</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突发公共卫生事件应急处理</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7.64</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7.64</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21011</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行政事业单位医疗</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132.50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132.50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48.60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48.60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38.28</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38.28</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24.86</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24.86</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2101199</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其他行政事业单位医疗支出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20.76</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20.76</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211</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节能环保支出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11.30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11.30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21103</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污染防治</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2.40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2.40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2110302</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水体</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21104</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自然生态保护</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8.90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8.90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2110401</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生态保护</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城乡社区支出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1,093.87</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1,093.87</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21201</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城乡社区管理事务</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137.93</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137.93</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2120199</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137.93</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137.93</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21203</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城乡社区公共设施</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301.94</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301.94</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2120303</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小城镇基础设施建设</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301.94</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301.94</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21205</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城乡社区环境卫生</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12.31</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12.31</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2120501</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12.31</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12.31</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21208</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国有土地使用权出让收入安排的支出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619.39</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619.39</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2120802</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土地开发支出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597.64</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597.64</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2120899</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21.75</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21.75</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21213</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城市基础设施配套费安排的支出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22.30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22.30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2121399</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其他城市基础设施配套费安排的支出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213</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农林水支出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2,167.05</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2,167.05</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21301</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农业农村</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1,030.79</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1,030.79</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2130104</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640.73</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640.73</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2130108</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病虫害控制</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50.48</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50.48</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2130119</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防灾救灾</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2130122</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农业生产发展</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68.84</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68.84</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2130153</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农田建设</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264.74</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264.74</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21302</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林业和草原</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92.01</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92.01</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2130205</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森林资源培育</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65.64</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65.64</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2130209</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森林生态效益补偿</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0.37</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0.37</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2130234</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林业草原防灾减灾</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21303</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水利</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93.51</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93.51</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2130314</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防汛</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2130315</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抗旱</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47.51</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47.51</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21305</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巩固脱贫衔接乡村振兴</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283.04</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283.04</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2130504</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农村基础设施建设</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124.37</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124.37</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2130505</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生产发展</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150.15</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150.15</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2130506</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社会发展</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2130599</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其他巩固脱贫衔接乡村振兴支出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0.52</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0.52</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21307</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农村综合改革</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667.70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667.70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2130701</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对村级公益事业建设的补助</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307.70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307.70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2130705</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360.00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360.00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214</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交通运输支出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484.65</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484.65</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21401</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公路水路运输</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56.93</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56.93</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2140104</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公路建设</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2140106</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公路养护</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41.75</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41.75</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2140110</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公路和运输安全</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21402</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铁路运输</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7.52</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7.52</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2140206</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铁路安全</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7.52</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7.52</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21406</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车辆购置税支出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420.20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420.20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2140601</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车辆购置税用于公路等基础设施建设支出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420.20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420.20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221</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住房保障支出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399.30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399.30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22101</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保障性安居工程支出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207.48</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207.48</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2210108</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老旧小区改造</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15.34</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15.34</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2210199</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其他保障性安居工程支出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192.14</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192.14</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22102</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住房改革支出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191.82</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191.82</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191.82</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191.82</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224</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灾害防治及应急管理支出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22407</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自然灾害救灾及恢复重建支出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2240799</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其他自然灾害救灾及恢复重建支出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22499</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其他灾害防治及应急管理支出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9.00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9.00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6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2249999</w:t>
            </w:r>
          </w:p>
        </w:tc>
        <w:tc>
          <w:tcPr>
            <w:tcW w:w="191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其他灾害防治及应急管理支出</w:t>
            </w:r>
          </w:p>
        </w:tc>
        <w:tc>
          <w:tcPr>
            <w:tcW w:w="9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2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4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10"/>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备注：本表反映部门本年度取得的各项收入情况。</w:t>
            </w:r>
          </w:p>
        </w:tc>
      </w:tr>
    </w:tbl>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77"/>
        <w:gridCol w:w="2137"/>
        <w:gridCol w:w="1107"/>
        <w:gridCol w:w="918"/>
        <w:gridCol w:w="918"/>
        <w:gridCol w:w="543"/>
        <w:gridCol w:w="542"/>
        <w:gridCol w:w="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8336" w:type="dxa"/>
            <w:gridSpan w:val="8"/>
            <w:tcBorders>
              <w:right w:val="single" w:color="80808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8"/>
            <w:tcBorders>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8"/>
            <w:tcBorders>
              <w:bottom w:val="single" w:color="808080" w:sz="4" w:space="0"/>
              <w:right w:val="single" w:color="80808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公开部门：重庆市荣昌区荣隆镇人民政府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714"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1107"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918"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918"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c>
          <w:tcPr>
            <w:tcW w:w="543"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上缴上级支出</w:t>
            </w:r>
          </w:p>
        </w:tc>
        <w:tc>
          <w:tcPr>
            <w:tcW w:w="542"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经营支出</w:t>
            </w:r>
          </w:p>
        </w:tc>
        <w:tc>
          <w:tcPr>
            <w:tcW w:w="594"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7" w:type="dxa"/>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功能分类科目编码</w:t>
            </w:r>
          </w:p>
        </w:tc>
        <w:tc>
          <w:tcPr>
            <w:tcW w:w="2137"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项目（按“项”级功能分类科目）</w:t>
            </w:r>
          </w:p>
        </w:tc>
        <w:tc>
          <w:tcPr>
            <w:tcW w:w="110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918"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918"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543"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542"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594"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213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10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918"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918"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543"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542"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594"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7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213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10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918"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918"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543"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542"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594"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714"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6,664.25</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2,865.46</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3,798.79</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一般公共服务支出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1,423.89</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1,105.39</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318.50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20101</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人大事务</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14.50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14.50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2010106</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人大监督</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2010108</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代表工作</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20103</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政府办公厅（室）及相关机构事务</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1,378.97</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1,105.39</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273.58</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1,019.46</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1,019.46</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2010302</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273.58</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273.58</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2010350</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85.93</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85.93</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20113</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商贸事务</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4.00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2011308</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招商引资</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20132</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组织事务</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16.02</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16.02</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2013202</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2013299</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其他组织事务支出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11.92</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11.92</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20133</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宣传事务</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9.30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9.30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2013302</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2013399</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其他宣传事务支出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20136</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其他共产党事务支出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2013699</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其他共产党事务支出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205</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教育支出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4.47</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4.47</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20508</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进修及培训</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4.47</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4.47</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2050803</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4.47</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4.47</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207</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文化旅游体育与传媒支出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68.49</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57.26</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11.23</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20701</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文化和旅游</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65.64</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57.26</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8.38</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2070109</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群众文化</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57.26</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57.26</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2070199</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其他文化和旅游支出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8.38</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8.38</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20703</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体育</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2.85</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2.85</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2070307</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体育场馆</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社会保障和就业支出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766.53</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599.81</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166.72</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20801</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人力资源和社会保障管理事务</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106.22</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104.64</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1.58</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2080109</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社会保险经办机构</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2080199</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其他人力资源和社会保障管理事务支出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104.64</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104.64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20802</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民政管理事务</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41.40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41.40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2080208</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基层政权建设和社区治理</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2080299</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20805</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行政事业单位养老支出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442.50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442.50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128.59</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128.59</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67.81</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67.81</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其他行政事业单位养老支出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246.10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246.10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20808</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抚恤</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30.18</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30.18</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2080805</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义务兵优待</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13.62</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13.62</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2080899</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其他优抚支出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16.56</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16.56</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20810</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社会福利</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47.07</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47.07</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2081002</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老年福利</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22.07</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22.07</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2081006</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养老服务</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20821</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特困人员救助供养</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15.52</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15.52</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2082101</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城市特困人员救助供养支出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15.52</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15.52</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20825</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其他生活救助</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28.01</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28.01</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2082502</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其他农村生活救助</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28.01</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28.01</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20828</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退役军人管理事务</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55.63</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52.67</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2.96</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2082850</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52.67</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52.67</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2082899</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其他退役军人事务管理支出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210</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卫生健康支出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140.14</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132.50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7.64</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21004</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公共卫生</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7.64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7.64</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2100410</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突发公共卫生事件应急处理</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7.64</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21011</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行政事业单位医疗</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132.50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132.50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48.60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48.60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38.28</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38.28</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24.86</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24.86</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2101199</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其他行政事业单位医疗支出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20.76</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20.76</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211</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节能环保支出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59.44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59.44</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21103</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污染防治</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22.40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22.40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2110302</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水体</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21104</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自然生态保护</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8.90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8.90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2110401</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生态保护</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21110</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能源节约利用</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28.14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28.14</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2111001</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能源节约利用</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28.14</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城乡社区支出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1,093.87</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137.93</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955.94</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21201</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城乡社区管理事务</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137.93</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137.93</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2120199</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137.93</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137.93</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21203</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城乡社区公共设施</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301.94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301.94</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2120303</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小城镇基础设施建设</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301.94</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21205</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城乡社区环境卫生</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12.31</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12.31</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2120501</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12.31</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12.31</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21208</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国有土地使用权出让收入安排的支出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619.39</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619.39</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2120802</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土地开发支出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597.64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597.64</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2120899</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21.75</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21.75</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21213</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城市基础设施配套费安排的支出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22.30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22.30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2121399</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其他城市基础设施配套费安排的支出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213</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农林水支出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2,213.46</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640.73</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1,572.73</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21301</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农业农村</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1,077.20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640.73</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436.47</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2130104</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640.73</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640.73</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2130108</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病虫害控制</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50.48</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50.48</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2130119</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防灾救灾</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2130122</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农业生产发展</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73.25</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73.25</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2130135</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农业资源保护修复与利用</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2130153</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农田建设</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294.74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294.74</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21302</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林业和草原</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92.01</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92.01</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2130205</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森林资源培育</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65.64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65.64</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2130209</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森林生态效益补偿</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0.37</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0.37</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2130234</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林业草原防灾减灾</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21303</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水利</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93.51</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93.51</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2130314</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防汛</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2130315</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抗旱</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47.51</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47.51</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21305</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巩固脱贫衔接乡村振兴</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283.04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283.04</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2130504</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农村基础设施建设</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124.37</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124.37</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2130505</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生产发展</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150.15</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150.15</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2130506</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社会发展</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2130599</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其他巩固脱贫衔接乡村振兴支出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0.52</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0.52</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21307</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农村综合改革</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667.70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667.70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2130701</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对村级公益事业建设的补助</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307.70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307.70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2130705</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360.00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214</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交通运输支出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484.65</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484.65</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21401</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公路水路运输</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56.93</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56.93</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2140104</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公路建设</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2140106</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公路养护</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41.75</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41.75</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2140110</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公路和运输安全</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21402</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铁路运输</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7.52</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7.52</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2140206</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铁路安全</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7.52</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7.52</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21406</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车辆购置税支出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420.20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420.20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2140601</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车辆购置税用于公路等基础设施建设支出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420.20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420.20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221</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住房保障支出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399.30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191.82</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207.48</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22101</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保障性安居工程支出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207.48</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207.48</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2210108</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老旧小区改造</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15.34</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2210199</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其他保障性安居工程支出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192.14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192.14</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22102</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住房改革支出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191.82</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191.82</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191.82</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191.82</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224</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灾害防治及应急管理支出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22407</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自然灾害救灾及恢复重建支出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2240799</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其他自然灾害救灾及恢复重建支出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22499</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其他灾害防治及应急管理支出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9.00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2249999</w:t>
            </w:r>
          </w:p>
        </w:tc>
        <w:tc>
          <w:tcPr>
            <w:tcW w:w="213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其他灾害防治及应急管理支出</w:t>
            </w:r>
          </w:p>
        </w:tc>
        <w:tc>
          <w:tcPr>
            <w:tcW w:w="110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5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9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8"/>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备注：本表反映部门本年度各项支出情况。</w:t>
            </w:r>
          </w:p>
        </w:tc>
      </w:tr>
    </w:tbl>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tbl>
      <w:tblPr>
        <w:tblStyle w:val="6"/>
        <w:tblW w:w="8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36"/>
        <w:gridCol w:w="1624"/>
        <w:gridCol w:w="1526"/>
        <w:gridCol w:w="1017"/>
        <w:gridCol w:w="875"/>
        <w:gridCol w:w="667"/>
        <w:gridCol w:w="1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4" w:hRule="atLeast"/>
        </w:trPr>
        <w:tc>
          <w:tcPr>
            <w:tcW w:w="8780" w:type="dxa"/>
            <w:gridSpan w:val="7"/>
            <w:tcBorders>
              <w:right w:val="single" w:color="80808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trPr>
        <w:tc>
          <w:tcPr>
            <w:tcW w:w="8780" w:type="dxa"/>
            <w:gridSpan w:val="7"/>
            <w:tcBorders>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trPr>
        <w:tc>
          <w:tcPr>
            <w:tcW w:w="8780" w:type="dxa"/>
            <w:gridSpan w:val="7"/>
            <w:tcBorders>
              <w:bottom w:val="single" w:color="808080" w:sz="4" w:space="0"/>
              <w:right w:val="single" w:color="80808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公开部门：重庆市荣昌区荣隆镇人民政府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1" w:hRule="atLeast"/>
        </w:trPr>
        <w:tc>
          <w:tcPr>
            <w:tcW w:w="3160"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     入</w:t>
            </w:r>
          </w:p>
        </w:tc>
        <w:tc>
          <w:tcPr>
            <w:tcW w:w="5620"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1" w:hRule="atLeast"/>
        </w:trPr>
        <w:tc>
          <w:tcPr>
            <w:tcW w:w="1536" w:type="dxa"/>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1624"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决算数</w:t>
            </w:r>
          </w:p>
        </w:tc>
        <w:tc>
          <w:tcPr>
            <w:tcW w:w="1526"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功能分类科目</w:t>
            </w:r>
          </w:p>
        </w:tc>
        <w:tc>
          <w:tcPr>
            <w:tcW w:w="4094"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13" w:hRule="atLeast"/>
        </w:trPr>
        <w:tc>
          <w:tcPr>
            <w:tcW w:w="1536"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1624"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152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1017"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8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一般公共预算财政拨款</w:t>
            </w:r>
          </w:p>
        </w:tc>
        <w:tc>
          <w:tcPr>
            <w:tcW w:w="667"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政府性基金预算财政拨款</w:t>
            </w:r>
          </w:p>
        </w:tc>
        <w:tc>
          <w:tcPr>
            <w:tcW w:w="153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8" w:hRule="atLeast"/>
        </w:trPr>
        <w:tc>
          <w:tcPr>
            <w:tcW w:w="153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62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5,859.51</w:t>
            </w: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01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1,355.40</w:t>
            </w:r>
          </w:p>
        </w:tc>
        <w:tc>
          <w:tcPr>
            <w:tcW w:w="8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1,355.40</w:t>
            </w: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8" w:hRule="atLeast"/>
        </w:trPr>
        <w:tc>
          <w:tcPr>
            <w:tcW w:w="153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62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641.69</w:t>
            </w: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01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8" w:hRule="atLeast"/>
        </w:trPr>
        <w:tc>
          <w:tcPr>
            <w:tcW w:w="153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w:t>
            </w: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01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6" w:hRule="atLeast"/>
        </w:trPr>
        <w:tc>
          <w:tcPr>
            <w:tcW w:w="15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01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1" w:hRule="atLeast"/>
        </w:trPr>
        <w:tc>
          <w:tcPr>
            <w:tcW w:w="15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01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4.47</w:t>
            </w:r>
          </w:p>
        </w:tc>
        <w:tc>
          <w:tcPr>
            <w:tcW w:w="8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4.47</w:t>
            </w: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trPr>
        <w:tc>
          <w:tcPr>
            <w:tcW w:w="15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01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8" w:hRule="atLeast"/>
        </w:trPr>
        <w:tc>
          <w:tcPr>
            <w:tcW w:w="15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101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68.49</w:t>
            </w:r>
          </w:p>
        </w:tc>
        <w:tc>
          <w:tcPr>
            <w:tcW w:w="8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68.49</w:t>
            </w: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0" w:hRule="atLeast"/>
        </w:trPr>
        <w:tc>
          <w:tcPr>
            <w:tcW w:w="15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01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766.53</w:t>
            </w:r>
          </w:p>
        </w:tc>
        <w:tc>
          <w:tcPr>
            <w:tcW w:w="8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766.53</w:t>
            </w: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0" w:hRule="atLeast"/>
        </w:trPr>
        <w:tc>
          <w:tcPr>
            <w:tcW w:w="15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101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140.15</w:t>
            </w:r>
          </w:p>
        </w:tc>
        <w:tc>
          <w:tcPr>
            <w:tcW w:w="8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140.15</w:t>
            </w: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0" w:hRule="atLeast"/>
        </w:trPr>
        <w:tc>
          <w:tcPr>
            <w:tcW w:w="15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101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59.44</w:t>
            </w:r>
          </w:p>
        </w:tc>
        <w:tc>
          <w:tcPr>
            <w:tcW w:w="8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59.44</w:t>
            </w: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0" w:hRule="atLeast"/>
        </w:trPr>
        <w:tc>
          <w:tcPr>
            <w:tcW w:w="15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101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1,093.87</w:t>
            </w:r>
          </w:p>
        </w:tc>
        <w:tc>
          <w:tcPr>
            <w:tcW w:w="8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452.18</w:t>
            </w:r>
          </w:p>
        </w:tc>
        <w:tc>
          <w:tcPr>
            <w:tcW w:w="6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641.69</w:t>
            </w: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0" w:hRule="atLeast"/>
        </w:trPr>
        <w:tc>
          <w:tcPr>
            <w:tcW w:w="15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01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2,213.45</w:t>
            </w:r>
          </w:p>
        </w:tc>
        <w:tc>
          <w:tcPr>
            <w:tcW w:w="8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2,213.45</w:t>
            </w: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0" w:hRule="atLeast"/>
        </w:trPr>
        <w:tc>
          <w:tcPr>
            <w:tcW w:w="15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101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484.65</w:t>
            </w:r>
          </w:p>
        </w:tc>
        <w:tc>
          <w:tcPr>
            <w:tcW w:w="8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484.65</w:t>
            </w: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8" w:hRule="atLeast"/>
        </w:trPr>
        <w:tc>
          <w:tcPr>
            <w:tcW w:w="15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101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0" w:hRule="atLeast"/>
        </w:trPr>
        <w:tc>
          <w:tcPr>
            <w:tcW w:w="15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101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0" w:hRule="atLeast"/>
        </w:trPr>
        <w:tc>
          <w:tcPr>
            <w:tcW w:w="15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101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0" w:hRule="atLeast"/>
        </w:trPr>
        <w:tc>
          <w:tcPr>
            <w:tcW w:w="15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101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8" w:hRule="atLeast"/>
        </w:trPr>
        <w:tc>
          <w:tcPr>
            <w:tcW w:w="15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101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0" w:hRule="atLeast"/>
        </w:trPr>
        <w:tc>
          <w:tcPr>
            <w:tcW w:w="15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101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399.31</w:t>
            </w:r>
          </w:p>
        </w:tc>
        <w:tc>
          <w:tcPr>
            <w:tcW w:w="8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399.31</w:t>
            </w: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2" w:hRule="atLeast"/>
        </w:trPr>
        <w:tc>
          <w:tcPr>
            <w:tcW w:w="15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101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8" w:hRule="atLeast"/>
        </w:trPr>
        <w:tc>
          <w:tcPr>
            <w:tcW w:w="15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101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4" w:hRule="atLeast"/>
        </w:trPr>
        <w:tc>
          <w:tcPr>
            <w:tcW w:w="15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101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8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6" w:hRule="atLeast"/>
        </w:trPr>
        <w:tc>
          <w:tcPr>
            <w:tcW w:w="15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101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9" w:hRule="atLeast"/>
        </w:trPr>
        <w:tc>
          <w:tcPr>
            <w:tcW w:w="153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62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6,501.20</w:t>
            </w: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101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8" w:hRule="atLeast"/>
        </w:trPr>
        <w:tc>
          <w:tcPr>
            <w:tcW w:w="153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162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94.55</w:t>
            </w: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101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1" w:hRule="atLeast"/>
        </w:trPr>
        <w:tc>
          <w:tcPr>
            <w:tcW w:w="153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62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94.55</w:t>
            </w: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101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3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01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6,595.75</w:t>
            </w:r>
          </w:p>
        </w:tc>
        <w:tc>
          <w:tcPr>
            <w:tcW w:w="8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5,954.06</w:t>
            </w:r>
          </w:p>
        </w:tc>
        <w:tc>
          <w:tcPr>
            <w:tcW w:w="6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641.69</w:t>
            </w: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1" w:hRule="atLeast"/>
        </w:trPr>
        <w:tc>
          <w:tcPr>
            <w:tcW w:w="153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w:t>
            </w:r>
          </w:p>
        </w:tc>
        <w:tc>
          <w:tcPr>
            <w:tcW w:w="16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101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trPr>
        <w:tc>
          <w:tcPr>
            <w:tcW w:w="153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62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6,595.75</w:t>
            </w:r>
          </w:p>
        </w:tc>
        <w:tc>
          <w:tcPr>
            <w:tcW w:w="1526"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01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6,595.75</w:t>
            </w:r>
          </w:p>
        </w:tc>
        <w:tc>
          <w:tcPr>
            <w:tcW w:w="87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5,954.06</w:t>
            </w:r>
          </w:p>
        </w:tc>
        <w:tc>
          <w:tcPr>
            <w:tcW w:w="66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641.69</w:t>
            </w: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0" w:hRule="atLeast"/>
        </w:trPr>
        <w:tc>
          <w:tcPr>
            <w:tcW w:w="8780" w:type="dxa"/>
            <w:gridSpan w:val="7"/>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备注：本表反映部门本年度一般公共预算财政拨款、政府性基金预算财政拨款及国有资本经营预算财政拨款的总收支和年末结转结余情况。</w:t>
            </w:r>
          </w:p>
        </w:tc>
      </w:tr>
    </w:tbl>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95"/>
        <w:gridCol w:w="2246"/>
        <w:gridCol w:w="1641"/>
        <w:gridCol w:w="918"/>
        <w:gridCol w:w="1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8336" w:type="dxa"/>
            <w:gridSpan w:val="5"/>
            <w:tcBorders>
              <w:right w:val="single" w:color="80808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5"/>
            <w:tcBorders>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5"/>
            <w:tcBorders>
              <w:bottom w:val="single" w:color="808080" w:sz="4" w:space="0"/>
              <w:right w:val="single" w:color="80808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公开部门：重庆市荣昌区荣隆镇人民政府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141"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4195"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95" w:type="dxa"/>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功能分类科目编码</w:t>
            </w:r>
          </w:p>
        </w:tc>
        <w:tc>
          <w:tcPr>
            <w:tcW w:w="2246"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项目（按“项”级功能分类科目）</w:t>
            </w:r>
          </w:p>
        </w:tc>
        <w:tc>
          <w:tcPr>
            <w:tcW w:w="1641"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918"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636"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895"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224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1641"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918"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163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895"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224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1641"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918"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163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141"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5,954.06</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2,865.46</w:t>
            </w: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一般公共服务支出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1,355.39</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1,105.39</w:t>
            </w: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20101</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人大事务</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14.50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2010106</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人大监督</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2010108</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代表工作</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20103</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政府办公厅（室）及相关机构事务</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1,310.47</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1,105.39</w:t>
            </w: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1,019.46</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1,019.46</w:t>
            </w:r>
          </w:p>
        </w:tc>
        <w:tc>
          <w:tcPr>
            <w:tcW w:w="16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2010302</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205.08</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2010350</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85.93</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85.93</w:t>
            </w:r>
          </w:p>
        </w:tc>
        <w:tc>
          <w:tcPr>
            <w:tcW w:w="16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20113</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商贸事务</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2011308</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招商引资</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20132</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组织事务</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16.02</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2013202</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2013299</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其他组织事务支出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11.92</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20133</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宣传事务</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9.30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2013302</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2013399</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其他宣传事务支出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20136</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其他共产党事务支出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2013699</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其他共产党事务支出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205</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教育支出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4.47</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20508</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进修及培训</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4.47</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2050803</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4.47</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207</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文化旅游体育与传媒支出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68.49</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57.26</w:t>
            </w: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20701</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文化和旅游</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65.64</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57.26</w:t>
            </w: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2070109</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群众文化</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57.26</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57.26</w:t>
            </w:r>
          </w:p>
        </w:tc>
        <w:tc>
          <w:tcPr>
            <w:tcW w:w="16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2070199</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其他文化和旅游支出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8.38</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20703</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体育</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2.85</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2070307</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体育场馆</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社会保障和就业支出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766.53</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599.81</w:t>
            </w: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20801</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人力资源和社会保障管理事务</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106.22</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104.64</w:t>
            </w: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2080109</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社会保险经办机构</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2080199</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其他人力资源和社会保障管理事务支出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104.64</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104.64</w:t>
            </w:r>
          </w:p>
        </w:tc>
        <w:tc>
          <w:tcPr>
            <w:tcW w:w="16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20802</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民政管理事务</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41.40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2080208</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基层政权建设和社区治理</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2080299</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20805</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行政事业单位养老支出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442.50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442.50</w:t>
            </w:r>
          </w:p>
        </w:tc>
        <w:tc>
          <w:tcPr>
            <w:tcW w:w="16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128.59</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128.59</w:t>
            </w:r>
          </w:p>
        </w:tc>
        <w:tc>
          <w:tcPr>
            <w:tcW w:w="16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67.81</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67.81</w:t>
            </w:r>
          </w:p>
        </w:tc>
        <w:tc>
          <w:tcPr>
            <w:tcW w:w="16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其他行政事业单位养老支出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246.10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246.10</w:t>
            </w:r>
          </w:p>
        </w:tc>
        <w:tc>
          <w:tcPr>
            <w:tcW w:w="16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20808</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抚恤</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30.18</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2080805</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义务兵优待</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13.62</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2080899</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其他优抚支出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16.56</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20810</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社会福利</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47.07</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2081002</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老年福利</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22.07</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2081006</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养老服务</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20821</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特困人员救助供养</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15.52</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2082101</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城市特困人员救助供养支出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15.52</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20825</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其他生活救助</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28.01</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2082502</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其他农村生活救助</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28.01</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20828</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退役军人管理事务</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55.63</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52.67</w:t>
            </w: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2082850</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52.67</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52.67</w:t>
            </w:r>
          </w:p>
        </w:tc>
        <w:tc>
          <w:tcPr>
            <w:tcW w:w="16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2082899</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其他退役军人事务管理支出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210</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卫生健康支出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140.14</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132.50</w:t>
            </w: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21004</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公共卫生</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7.64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2100410</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突发公共卫生事件应急处理</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21011</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行政事业单位医疗</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132.50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132.50</w:t>
            </w:r>
          </w:p>
        </w:tc>
        <w:tc>
          <w:tcPr>
            <w:tcW w:w="16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48.60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48.60</w:t>
            </w:r>
          </w:p>
        </w:tc>
        <w:tc>
          <w:tcPr>
            <w:tcW w:w="16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38.28</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38.28</w:t>
            </w:r>
          </w:p>
        </w:tc>
        <w:tc>
          <w:tcPr>
            <w:tcW w:w="16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24.86</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24.86</w:t>
            </w:r>
          </w:p>
        </w:tc>
        <w:tc>
          <w:tcPr>
            <w:tcW w:w="16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2101199</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其他行政事业单位医疗支出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20.76</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20.76</w:t>
            </w:r>
          </w:p>
        </w:tc>
        <w:tc>
          <w:tcPr>
            <w:tcW w:w="16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211</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节能环保支出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59.44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21103</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污染防治</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22.40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2110302</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水体</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21104</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自然生态保护</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8.90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2110401</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生态保护</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21110</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能源节约利用</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28.14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2111001</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能源节约利用</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城乡社区支出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452.18</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137.93</w:t>
            </w: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21201</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城乡社区管理事务</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137.93</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137.93</w:t>
            </w:r>
          </w:p>
        </w:tc>
        <w:tc>
          <w:tcPr>
            <w:tcW w:w="16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2120199</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137.93</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137.93</w:t>
            </w:r>
          </w:p>
        </w:tc>
        <w:tc>
          <w:tcPr>
            <w:tcW w:w="16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21203</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城乡社区公共设施</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301.94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2120303</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小城镇基础设施建设</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21205</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城乡社区环境卫生</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12.31</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2120501</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12.31</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213</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农林水支出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2,213.46</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640.73</w:t>
            </w: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1,572.73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21301</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农业农村</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1,077.20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640.73</w:t>
            </w: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436.47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2130104</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640.73</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640.73</w:t>
            </w:r>
          </w:p>
        </w:tc>
        <w:tc>
          <w:tcPr>
            <w:tcW w:w="16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2130108</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病虫害控制</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50.48</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2130119</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防灾救灾</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2130122</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农业生产发展</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73.25</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2130135</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农业资源保护修复与利用</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2130153</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农田建设</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294.74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21302</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林业和草原</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92.01</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2130205</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森林资源培育</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65.64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2130209</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森林生态效益补偿</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0.37</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2130234</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林业草原防灾减灾</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21303</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水利</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93.51</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2130314</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防汛</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2130315</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抗旱</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47.51</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21305</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巩固脱贫衔接乡村振兴</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283.04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2130504</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农村基础设施建设</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124.37</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2130505</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生产发展</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150.15</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2130506</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社会发展</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2130599</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其他巩固脱贫衔接乡村振兴支出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0.52</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21307</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农村综合改革</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667.70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667.70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2130701</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对村级公益事业建设的补助</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307.70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2130705</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214</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4"/>
                <w:szCs w:val="14"/>
                <w:u w:val="none"/>
              </w:rPr>
            </w:pPr>
            <w:r>
              <w:rPr>
                <w:rFonts w:hint="eastAsia" w:ascii="宋体" w:hAnsi="宋体" w:eastAsia="宋体" w:cs="宋体"/>
                <w:b/>
                <w:i w:val="0"/>
                <w:color w:val="000000"/>
                <w:kern w:val="0"/>
                <w:sz w:val="14"/>
                <w:szCs w:val="14"/>
                <w:u w:val="none"/>
                <w:lang w:val="en-US" w:eastAsia="zh-CN" w:bidi="ar"/>
              </w:rPr>
              <w:t>交通运输支出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484.65</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484.65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21401</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公路水路运输</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56.93</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2140104</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公路建设</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2140106</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公路养护</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41.75</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2140110</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公路和运输安全</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21402</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铁路运输</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7.52</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2140206</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铁路安全</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7.52</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21406</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4"/>
                <w:szCs w:val="14"/>
                <w:u w:val="none"/>
              </w:rPr>
            </w:pPr>
            <w:r>
              <w:rPr>
                <w:rFonts w:hint="eastAsia" w:ascii="宋体" w:hAnsi="宋体" w:eastAsia="宋体" w:cs="宋体"/>
                <w:b/>
                <w:i w:val="0"/>
                <w:color w:val="000000"/>
                <w:kern w:val="0"/>
                <w:sz w:val="14"/>
                <w:szCs w:val="14"/>
                <w:u w:val="none"/>
                <w:lang w:val="en-US" w:eastAsia="zh-CN" w:bidi="ar"/>
              </w:rPr>
              <w:t>车辆购置税支出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420.20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2140601</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车辆购置税用于公路等基础设施建设支出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420.20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221</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住房保障支出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399.30</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191.82</w:t>
            </w: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22101</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保障性安居工程支出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207.48</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2210108</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老旧小区改造</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2210199</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其他保障性安居工程支出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192.14</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22102</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住房改革支出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191.82</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191.82</w:t>
            </w:r>
          </w:p>
        </w:tc>
        <w:tc>
          <w:tcPr>
            <w:tcW w:w="16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191.82</w:t>
            </w:r>
          </w:p>
        </w:tc>
        <w:tc>
          <w:tcPr>
            <w:tcW w:w="9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191.82</w:t>
            </w:r>
          </w:p>
        </w:tc>
        <w:tc>
          <w:tcPr>
            <w:tcW w:w="16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224</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灾害防治及应急管理支出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22407</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自然灾害救灾及恢复重建支出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2240799</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其他自然灾害救灾及恢复重建支出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22499</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其他灾害防治及应急管理支出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9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2249999</w:t>
            </w:r>
          </w:p>
        </w:tc>
        <w:tc>
          <w:tcPr>
            <w:tcW w:w="224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其他灾害防治及应急管理支出</w:t>
            </w:r>
          </w:p>
        </w:tc>
        <w:tc>
          <w:tcPr>
            <w:tcW w:w="16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63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5"/>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备注：本表反映部门本年度一般公共预算财政拨款支出情况。</w:t>
            </w:r>
          </w:p>
        </w:tc>
      </w:tr>
    </w:tbl>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32"/>
        <w:gridCol w:w="1511"/>
        <w:gridCol w:w="832"/>
        <w:gridCol w:w="532"/>
        <w:gridCol w:w="1511"/>
        <w:gridCol w:w="688"/>
        <w:gridCol w:w="532"/>
        <w:gridCol w:w="1511"/>
        <w:gridCol w:w="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8336" w:type="dxa"/>
            <w:gridSpan w:val="9"/>
            <w:tcBorders>
              <w:right w:val="single" w:color="80808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9"/>
            <w:tcBorders>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9"/>
            <w:tcBorders>
              <w:bottom w:val="single" w:color="808080" w:sz="4" w:space="0"/>
              <w:right w:val="single" w:color="80808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公开部门：重庆市荣昌区荣隆镇人民政府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875"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人员经费</w:t>
            </w:r>
          </w:p>
        </w:tc>
        <w:tc>
          <w:tcPr>
            <w:tcW w:w="5461" w:type="dxa"/>
            <w:gridSpan w:val="6"/>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32" w:type="dxa"/>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经济分类科目编码</w:t>
            </w:r>
          </w:p>
        </w:tc>
        <w:tc>
          <w:tcPr>
            <w:tcW w:w="1511"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经济分类科目（按“款”级功能分类科目）</w:t>
            </w:r>
          </w:p>
        </w:tc>
        <w:tc>
          <w:tcPr>
            <w:tcW w:w="832"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金额</w:t>
            </w:r>
          </w:p>
        </w:tc>
        <w:tc>
          <w:tcPr>
            <w:tcW w:w="532"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经济分类科目编码</w:t>
            </w:r>
          </w:p>
        </w:tc>
        <w:tc>
          <w:tcPr>
            <w:tcW w:w="1511"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经济分类科目（按“款”级功能分类科目）</w:t>
            </w:r>
          </w:p>
        </w:tc>
        <w:tc>
          <w:tcPr>
            <w:tcW w:w="688"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金额</w:t>
            </w:r>
          </w:p>
        </w:tc>
        <w:tc>
          <w:tcPr>
            <w:tcW w:w="532"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经济分类科目编码</w:t>
            </w:r>
          </w:p>
        </w:tc>
        <w:tc>
          <w:tcPr>
            <w:tcW w:w="1511"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经济分类科目（按“款”级功能分类科目）</w:t>
            </w:r>
          </w:p>
        </w:tc>
        <w:tc>
          <w:tcPr>
            <w:tcW w:w="687"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32"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1511"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832"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532"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1511"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688"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532"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1511"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68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83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2,072.49</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6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520.54</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68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83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491.54</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6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34.12</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83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244.51</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6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11.05</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68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83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265.59</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6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8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6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83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521.18</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6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机关事业单位基本养老保险费</w:t>
            </w:r>
          </w:p>
        </w:tc>
        <w:tc>
          <w:tcPr>
            <w:tcW w:w="83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151.16</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6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26.75</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83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67.81</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6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30.88</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83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86.88</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6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83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24.86</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6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83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16.56</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6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45.15</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83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192.63</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6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83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9.76</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6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23.40</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8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6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83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269.50</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6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4.63</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8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6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10.82</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8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6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9.62</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8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6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对企业补助</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83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14.27</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6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31201</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资本金注入</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83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239.43</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6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31203</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政府投资基金股权投资</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8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6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69.05</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31204</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费用补贴</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83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15.80</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6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38.29</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31205</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利息补贴</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8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6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111.22</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31299</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其他对企业补助</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8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6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9.50</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8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6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7.60</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国家赔偿费用支出</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30311</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代缴社会保险费</w:t>
            </w:r>
          </w:p>
        </w:tc>
        <w:tc>
          <w:tcPr>
            <w:tcW w:w="8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6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45.58</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对民间非营利组织和群众性自治组织补贴</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其他个人和家庭的补助支出</w:t>
            </w:r>
          </w:p>
        </w:tc>
        <w:tc>
          <w:tcPr>
            <w:tcW w:w="8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6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39909</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经常性赠与</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511"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6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31.72</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39910</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资本性赠与</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511"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6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511"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6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511"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511"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6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511"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511"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30703</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国内债务发行费用</w:t>
            </w:r>
          </w:p>
        </w:tc>
        <w:tc>
          <w:tcPr>
            <w:tcW w:w="6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511"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511"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30704</w:t>
            </w:r>
          </w:p>
        </w:tc>
        <w:tc>
          <w:tcPr>
            <w:tcW w:w="1511"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国外债务发行费用</w:t>
            </w:r>
          </w:p>
        </w:tc>
        <w:tc>
          <w:tcPr>
            <w:tcW w:w="6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511"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6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43"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人员经费合计</w:t>
            </w:r>
          </w:p>
        </w:tc>
        <w:tc>
          <w:tcPr>
            <w:tcW w:w="83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2,341.99</w:t>
            </w:r>
          </w:p>
        </w:tc>
        <w:tc>
          <w:tcPr>
            <w:tcW w:w="4774"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公用经费合计</w:t>
            </w:r>
          </w:p>
        </w:tc>
        <w:tc>
          <w:tcPr>
            <w:tcW w:w="68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9"/>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注：本表反映部门本年度一般公共预算财政拨款基本支出明细情况。</w:t>
            </w:r>
          </w:p>
        </w:tc>
      </w:tr>
    </w:tbl>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41"/>
        <w:gridCol w:w="2283"/>
        <w:gridCol w:w="1154"/>
        <w:gridCol w:w="697"/>
        <w:gridCol w:w="697"/>
        <w:gridCol w:w="570"/>
        <w:gridCol w:w="697"/>
        <w:gridCol w:w="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9" w:hRule="atLeast"/>
        </w:trPr>
        <w:tc>
          <w:tcPr>
            <w:tcW w:w="8336" w:type="dxa"/>
            <w:gridSpan w:val="8"/>
            <w:tcBorders>
              <w:right w:val="single" w:color="80808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8"/>
            <w:tcBorders>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8"/>
            <w:tcBorders>
              <w:bottom w:val="single" w:color="808080" w:sz="4" w:space="0"/>
              <w:right w:val="single" w:color="80808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公开部门：重庆市荣昌区荣隆镇人民政府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924"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1154"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年初结转和结余</w:t>
            </w:r>
          </w:p>
        </w:tc>
        <w:tc>
          <w:tcPr>
            <w:tcW w:w="697"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w:t>
            </w:r>
          </w:p>
        </w:tc>
        <w:tc>
          <w:tcPr>
            <w:tcW w:w="196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w:t>
            </w:r>
          </w:p>
        </w:tc>
        <w:tc>
          <w:tcPr>
            <w:tcW w:w="597"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41" w:type="dxa"/>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功能分类科目编码</w:t>
            </w:r>
          </w:p>
        </w:tc>
        <w:tc>
          <w:tcPr>
            <w:tcW w:w="2283"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项目（按“项”级功能分类科目）</w:t>
            </w:r>
          </w:p>
        </w:tc>
        <w:tc>
          <w:tcPr>
            <w:tcW w:w="1154"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69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697"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570"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697"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c>
          <w:tcPr>
            <w:tcW w:w="59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41"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2283"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1154"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69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69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57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69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59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7" w:hRule="atLeast"/>
        </w:trPr>
        <w:tc>
          <w:tcPr>
            <w:tcW w:w="1641"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2283"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1154"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69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69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57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69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59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924"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15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641.69</w:t>
            </w:r>
          </w:p>
        </w:tc>
        <w:tc>
          <w:tcPr>
            <w:tcW w:w="6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641.69</w:t>
            </w:r>
          </w:p>
        </w:tc>
        <w:tc>
          <w:tcPr>
            <w:tcW w:w="5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641.69</w:t>
            </w:r>
          </w:p>
        </w:tc>
        <w:tc>
          <w:tcPr>
            <w:tcW w:w="5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4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w:t>
            </w:r>
          </w:p>
        </w:tc>
        <w:tc>
          <w:tcPr>
            <w:tcW w:w="228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城乡社区支出</w:t>
            </w:r>
          </w:p>
        </w:tc>
        <w:tc>
          <w:tcPr>
            <w:tcW w:w="115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6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641.69</w:t>
            </w:r>
          </w:p>
        </w:tc>
        <w:tc>
          <w:tcPr>
            <w:tcW w:w="6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641.69</w:t>
            </w:r>
          </w:p>
        </w:tc>
        <w:tc>
          <w:tcPr>
            <w:tcW w:w="5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6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641.69</w:t>
            </w:r>
          </w:p>
        </w:tc>
        <w:tc>
          <w:tcPr>
            <w:tcW w:w="5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164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21208</w:t>
            </w:r>
          </w:p>
        </w:tc>
        <w:tc>
          <w:tcPr>
            <w:tcW w:w="228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国有土地使用权出让收入安排的支出</w:t>
            </w:r>
          </w:p>
        </w:tc>
        <w:tc>
          <w:tcPr>
            <w:tcW w:w="115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6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619.39</w:t>
            </w:r>
          </w:p>
        </w:tc>
        <w:tc>
          <w:tcPr>
            <w:tcW w:w="6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619.39</w:t>
            </w:r>
          </w:p>
        </w:tc>
        <w:tc>
          <w:tcPr>
            <w:tcW w:w="5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6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619.39</w:t>
            </w:r>
          </w:p>
        </w:tc>
        <w:tc>
          <w:tcPr>
            <w:tcW w:w="5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4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2120802</w:t>
            </w:r>
          </w:p>
        </w:tc>
        <w:tc>
          <w:tcPr>
            <w:tcW w:w="228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土地开发支出</w:t>
            </w:r>
          </w:p>
        </w:tc>
        <w:tc>
          <w:tcPr>
            <w:tcW w:w="115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597.64</w:t>
            </w:r>
          </w:p>
        </w:tc>
        <w:tc>
          <w:tcPr>
            <w:tcW w:w="6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597.64</w:t>
            </w:r>
          </w:p>
        </w:tc>
        <w:tc>
          <w:tcPr>
            <w:tcW w:w="5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597.64</w:t>
            </w:r>
          </w:p>
        </w:tc>
        <w:tc>
          <w:tcPr>
            <w:tcW w:w="5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4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2120899</w:t>
            </w:r>
          </w:p>
        </w:tc>
        <w:tc>
          <w:tcPr>
            <w:tcW w:w="228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115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21.75</w:t>
            </w:r>
          </w:p>
        </w:tc>
        <w:tc>
          <w:tcPr>
            <w:tcW w:w="6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21.75</w:t>
            </w:r>
          </w:p>
        </w:tc>
        <w:tc>
          <w:tcPr>
            <w:tcW w:w="5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21.75</w:t>
            </w:r>
          </w:p>
        </w:tc>
        <w:tc>
          <w:tcPr>
            <w:tcW w:w="5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9" w:hRule="atLeast"/>
        </w:trPr>
        <w:tc>
          <w:tcPr>
            <w:tcW w:w="164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21213</w:t>
            </w:r>
          </w:p>
        </w:tc>
        <w:tc>
          <w:tcPr>
            <w:tcW w:w="228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城市基础设施配套费安排的支出</w:t>
            </w:r>
          </w:p>
        </w:tc>
        <w:tc>
          <w:tcPr>
            <w:tcW w:w="115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6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22.30</w:t>
            </w:r>
          </w:p>
        </w:tc>
        <w:tc>
          <w:tcPr>
            <w:tcW w:w="6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22.30</w:t>
            </w:r>
          </w:p>
        </w:tc>
        <w:tc>
          <w:tcPr>
            <w:tcW w:w="5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6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22.30</w:t>
            </w:r>
          </w:p>
        </w:tc>
        <w:tc>
          <w:tcPr>
            <w:tcW w:w="5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4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2121399</w:t>
            </w:r>
          </w:p>
        </w:tc>
        <w:tc>
          <w:tcPr>
            <w:tcW w:w="228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其他城市基础设施配套费安排的支出</w:t>
            </w:r>
          </w:p>
        </w:tc>
        <w:tc>
          <w:tcPr>
            <w:tcW w:w="115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22.30</w:t>
            </w:r>
          </w:p>
        </w:tc>
        <w:tc>
          <w:tcPr>
            <w:tcW w:w="6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22.30</w:t>
            </w:r>
          </w:p>
        </w:tc>
        <w:tc>
          <w:tcPr>
            <w:tcW w:w="5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22.30</w:t>
            </w:r>
          </w:p>
        </w:tc>
        <w:tc>
          <w:tcPr>
            <w:tcW w:w="5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8"/>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8"/>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本表为空的部门应将空表公开，并注明：本单位无政府性基金收入，也没有使用政府性基金安排的支出，故本表无数据。</w:t>
            </w:r>
          </w:p>
        </w:tc>
      </w:tr>
    </w:tbl>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15"/>
        <w:gridCol w:w="2920"/>
        <w:gridCol w:w="1818"/>
        <w:gridCol w:w="902"/>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2" w:hRule="atLeast"/>
        </w:trPr>
        <w:tc>
          <w:tcPr>
            <w:tcW w:w="8330" w:type="dxa"/>
            <w:gridSpan w:val="5"/>
            <w:tcBorders>
              <w:right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44"/>
                <w:szCs w:val="44"/>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0" w:type="dxa"/>
            <w:gridSpan w:val="5"/>
            <w:tcBorders>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0" w:type="dxa"/>
            <w:gridSpan w:val="5"/>
            <w:tcBorders>
              <w:bottom w:val="single" w:color="808080" w:sz="4" w:space="0"/>
              <w:right w:val="single" w:color="80808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公开部门：重庆市荣昌区荣隆镇人民政府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0" w:hRule="atLeast"/>
        </w:trPr>
        <w:tc>
          <w:tcPr>
            <w:tcW w:w="4035"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4295"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15" w:type="dxa"/>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功能分类科目编码</w:t>
            </w:r>
          </w:p>
        </w:tc>
        <w:tc>
          <w:tcPr>
            <w:tcW w:w="2920"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818"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902"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575"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115"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292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1818"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902"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1575"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115"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292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1818"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902"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c>
          <w:tcPr>
            <w:tcW w:w="1575"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7" w:hRule="atLeast"/>
        </w:trPr>
        <w:tc>
          <w:tcPr>
            <w:tcW w:w="4035"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8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5" w:hRule="atLeast"/>
        </w:trPr>
        <w:tc>
          <w:tcPr>
            <w:tcW w:w="1115"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2920"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8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0" w:type="dxa"/>
            <w:gridSpan w:val="5"/>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0" w:type="dxa"/>
            <w:gridSpan w:val="5"/>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本表为空的部门应将空表公开，并注明：本单位无国有资本经营预算财政拨款支出，故本表无数据。</w:t>
            </w:r>
          </w:p>
        </w:tc>
      </w:tr>
    </w:tbl>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bookmarkStart w:id="0" w:name="_GoBack"/>
      <w:bookmarkEnd w:id="0"/>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25"/>
        <w:gridCol w:w="870"/>
        <w:gridCol w:w="532"/>
        <w:gridCol w:w="582"/>
        <w:gridCol w:w="2506"/>
        <w:gridCol w:w="1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8336" w:type="dxa"/>
            <w:gridSpan w:val="6"/>
            <w:tcBorders>
              <w:right w:val="single" w:color="80808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44"/>
                <w:szCs w:val="44"/>
                <w:u w:val="none"/>
                <w:lang w:val="en-US" w:eastAsia="zh-CN" w:bidi="ar"/>
              </w:rPr>
              <w:t>机构运行信息表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6"/>
            <w:tcBorders>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6"/>
            <w:tcBorders>
              <w:bottom w:val="single" w:color="808080" w:sz="4" w:space="0"/>
              <w:right w:val="single" w:color="80808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公开部门：重庆市荣昌区荣隆镇人民政府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年初预算数</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全年预算数</w:t>
            </w:r>
          </w:p>
        </w:tc>
        <w:tc>
          <w:tcPr>
            <w:tcW w:w="58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c>
          <w:tcPr>
            <w:tcW w:w="2506"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192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一、“三公”经费支出</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50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四、机关运行经费</w:t>
            </w:r>
          </w:p>
        </w:tc>
        <w:tc>
          <w:tcPr>
            <w:tcW w:w="192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（一）支出合计</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24.00</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24.00</w:t>
            </w:r>
          </w:p>
        </w:tc>
        <w:tc>
          <w:tcPr>
            <w:tcW w:w="58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17.21</w:t>
            </w:r>
          </w:p>
        </w:tc>
        <w:tc>
          <w:tcPr>
            <w:tcW w:w="250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（一）行政单位</w:t>
            </w:r>
          </w:p>
        </w:tc>
        <w:tc>
          <w:tcPr>
            <w:tcW w:w="192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1．因公出国（境）费</w:t>
            </w:r>
          </w:p>
        </w:tc>
        <w:tc>
          <w:tcPr>
            <w:tcW w:w="8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0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（二）参照公务员法管理事业单位</w:t>
            </w:r>
          </w:p>
        </w:tc>
        <w:tc>
          <w:tcPr>
            <w:tcW w:w="192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2．公务用车购置及运行维护费</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58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7.60</w:t>
            </w:r>
          </w:p>
        </w:tc>
        <w:tc>
          <w:tcPr>
            <w:tcW w:w="250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五、资产信息</w:t>
            </w:r>
          </w:p>
        </w:tc>
        <w:tc>
          <w:tcPr>
            <w:tcW w:w="192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（1）公务用车购置费</w:t>
            </w:r>
          </w:p>
        </w:tc>
        <w:tc>
          <w:tcPr>
            <w:tcW w:w="8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0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（一）车辆数合计（辆）</w:t>
            </w:r>
          </w:p>
        </w:tc>
        <w:tc>
          <w:tcPr>
            <w:tcW w:w="192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（2）公务用车运行维护费</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58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7.60</w:t>
            </w:r>
          </w:p>
        </w:tc>
        <w:tc>
          <w:tcPr>
            <w:tcW w:w="250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1．副部（省）级及以上领导用车</w:t>
            </w:r>
          </w:p>
        </w:tc>
        <w:tc>
          <w:tcPr>
            <w:tcW w:w="192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3．公务接待费</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58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9.62</w:t>
            </w:r>
          </w:p>
        </w:tc>
        <w:tc>
          <w:tcPr>
            <w:tcW w:w="250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2．主要领导干部用车</w:t>
            </w:r>
          </w:p>
        </w:tc>
        <w:tc>
          <w:tcPr>
            <w:tcW w:w="192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（1）国内接待费</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9.62</w:t>
            </w:r>
          </w:p>
        </w:tc>
        <w:tc>
          <w:tcPr>
            <w:tcW w:w="250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3．机要通信用车</w:t>
            </w:r>
          </w:p>
        </w:tc>
        <w:tc>
          <w:tcPr>
            <w:tcW w:w="192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其中：外事接待费</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0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4．应急保障用车</w:t>
            </w:r>
          </w:p>
        </w:tc>
        <w:tc>
          <w:tcPr>
            <w:tcW w:w="192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（2）国（境）外接待费</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0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5．执法执勤用车</w:t>
            </w:r>
          </w:p>
        </w:tc>
        <w:tc>
          <w:tcPr>
            <w:tcW w:w="192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（二）相关统计数</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50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6．特种专业技术用车</w:t>
            </w:r>
          </w:p>
        </w:tc>
        <w:tc>
          <w:tcPr>
            <w:tcW w:w="192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1．因公出国（境）团组数（个）</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250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7．离退休干部用车</w:t>
            </w:r>
          </w:p>
        </w:tc>
        <w:tc>
          <w:tcPr>
            <w:tcW w:w="192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2．因公出国（境）人次数（人）</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250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8．其他用车</w:t>
            </w:r>
          </w:p>
        </w:tc>
        <w:tc>
          <w:tcPr>
            <w:tcW w:w="192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3．公务用车购置数（辆）</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250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（二）单价100万元（含）以上设备（不含车辆）</w:t>
            </w:r>
          </w:p>
        </w:tc>
        <w:tc>
          <w:tcPr>
            <w:tcW w:w="192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4．公务用车保有量（辆）</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50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六、政府采购支出信息</w:t>
            </w:r>
          </w:p>
        </w:tc>
        <w:tc>
          <w:tcPr>
            <w:tcW w:w="192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5．国内公务接待批次（个）</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250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（一）政府采购支出合计</w:t>
            </w:r>
          </w:p>
        </w:tc>
        <w:tc>
          <w:tcPr>
            <w:tcW w:w="192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其中：外事接待批次（个）</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250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1．政府采购货物支出</w:t>
            </w:r>
          </w:p>
        </w:tc>
        <w:tc>
          <w:tcPr>
            <w:tcW w:w="192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6．国内公务接待人次（人）</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1,213</w:t>
            </w:r>
          </w:p>
        </w:tc>
        <w:tc>
          <w:tcPr>
            <w:tcW w:w="250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2．政府采购工程支出</w:t>
            </w:r>
          </w:p>
        </w:tc>
        <w:tc>
          <w:tcPr>
            <w:tcW w:w="192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其中：外事接待人次（人）</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250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3．政府采购服务支出</w:t>
            </w:r>
          </w:p>
        </w:tc>
        <w:tc>
          <w:tcPr>
            <w:tcW w:w="192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7．国（境）外公务接待批次（个）</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250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（二）政府采购授予中小企业合同金额</w:t>
            </w:r>
          </w:p>
        </w:tc>
        <w:tc>
          <w:tcPr>
            <w:tcW w:w="192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8．国（境）外公务接待人次（人）</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2506"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其中：授予小微企业合同金额</w:t>
            </w:r>
          </w:p>
        </w:tc>
        <w:tc>
          <w:tcPr>
            <w:tcW w:w="192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二、会议费</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4.63</w:t>
            </w:r>
          </w:p>
        </w:tc>
        <w:tc>
          <w:tcPr>
            <w:tcW w:w="2506"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92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三、培训费</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3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16.79</w:t>
            </w:r>
          </w:p>
        </w:tc>
        <w:tc>
          <w:tcPr>
            <w:tcW w:w="2506"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92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36" w:type="dxa"/>
            <w:gridSpan w:val="6"/>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本表反应部门本年度“三公”经费支出预决算情况。其中：年初预算数为“三公”经费年初部门预算批复数，全年预算数为“三公”经费全年预算数，反应按照规定程序调整后的预算数；决算数是包括当年一般公共预算财政拨款、政府性基金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6"/>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本表为空的单位应将空表公开，并注明：本单位无相关数据，故本表为空。    </w:t>
            </w:r>
          </w:p>
        </w:tc>
      </w:tr>
    </w:tbl>
    <w:p>
      <w:pPr>
        <w:pStyle w:val="3"/>
        <w:keepNext w:val="0"/>
        <w:keepLines w:val="0"/>
        <w:widowControl/>
        <w:suppressLineNumbers w:val="0"/>
        <w:ind w:right="75"/>
        <w:jc w:val="left"/>
        <w:rPr>
          <w:rFonts w:hint="eastAsia"/>
          <w:lang w:val="en-US" w:eastAsia="zh-CN"/>
        </w:rPr>
      </w:pPr>
    </w:p>
    <w:p>
      <w:pPr>
        <w:pStyle w:val="3"/>
        <w:keepNext w:val="0"/>
        <w:keepLines w:val="0"/>
        <w:widowControl/>
        <w:suppressLineNumbers w:val="0"/>
        <w:ind w:right="75"/>
        <w:jc w:val="left"/>
        <w:rPr>
          <w:rFonts w:hint="eastAsia"/>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wOGI0Y2VmODA2OTA2NTY3NWRjYzE0ZTU2YTE2NmIifQ=="/>
  </w:docVars>
  <w:rsids>
    <w:rsidRoot w:val="00000000"/>
    <w:rsid w:val="02A74B8E"/>
    <w:rsid w:val="042D76B5"/>
    <w:rsid w:val="048F59A9"/>
    <w:rsid w:val="0712355F"/>
    <w:rsid w:val="0A4519C7"/>
    <w:rsid w:val="15880C31"/>
    <w:rsid w:val="15D931DD"/>
    <w:rsid w:val="15FA1713"/>
    <w:rsid w:val="16027740"/>
    <w:rsid w:val="17E06AE8"/>
    <w:rsid w:val="21CE170D"/>
    <w:rsid w:val="231E60FB"/>
    <w:rsid w:val="25D6681E"/>
    <w:rsid w:val="28A60B72"/>
    <w:rsid w:val="28C4025E"/>
    <w:rsid w:val="2D18048F"/>
    <w:rsid w:val="2DE2224B"/>
    <w:rsid w:val="2E140243"/>
    <w:rsid w:val="33374E0D"/>
    <w:rsid w:val="33760846"/>
    <w:rsid w:val="34E3668D"/>
    <w:rsid w:val="350C62EB"/>
    <w:rsid w:val="36F1252B"/>
    <w:rsid w:val="39DA4911"/>
    <w:rsid w:val="3ADB12C1"/>
    <w:rsid w:val="3DE5154C"/>
    <w:rsid w:val="47F24AD0"/>
    <w:rsid w:val="4A7153B7"/>
    <w:rsid w:val="4C9C08B7"/>
    <w:rsid w:val="4D334AF6"/>
    <w:rsid w:val="511625E3"/>
    <w:rsid w:val="512C5D7E"/>
    <w:rsid w:val="52E94608"/>
    <w:rsid w:val="53F47FE4"/>
    <w:rsid w:val="5AB42324"/>
    <w:rsid w:val="5BAE5123"/>
    <w:rsid w:val="6169218C"/>
    <w:rsid w:val="62F12710"/>
    <w:rsid w:val="63DF0A37"/>
    <w:rsid w:val="643F6DB2"/>
    <w:rsid w:val="6D6D321F"/>
    <w:rsid w:val="71767253"/>
    <w:rsid w:val="752B7D47"/>
    <w:rsid w:val="77F10DDC"/>
    <w:rsid w:val="7CDA1279"/>
    <w:rsid w:val="7FDA0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beforeAutospacing="0" w:after="60" w:afterAutospacing="0"/>
      <w:ind w:left="0" w:right="0"/>
      <w:jc w:val="center"/>
      <w:outlineLvl w:val="0"/>
    </w:pPr>
    <w:rPr>
      <w:rFonts w:hint="eastAsia" w:ascii="Cambria" w:hAnsi="Cambria" w:eastAsia="宋体" w:cs="宋体"/>
      <w:b/>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7">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8">
    <w:name w:val="23"/>
    <w:basedOn w:val="4"/>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2023-11-07T02:32:29Z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D4ACC870423B4C09A0DD65408EC7BE3C_12</vt:lpwstr>
  </property>
</Properties>
</file>