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重庆市荣昌区荣隆镇综合行政执法大队</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综合行政执法大队集中行使依法授权或委托的农林水利、规划建设、环境保护、卫生计生、文化旅游、民政管理等领域的行政执法权。协调、配合区级有关部门及派驻机构开展其他领域的联合执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楷体_GBK" w:hAnsi="方正楷体_GBK" w:eastAsia="方正楷体_GBK" w:cs="方正楷体_GBK"/>
          <w:b w:val="0"/>
          <w:bCs/>
          <w:color w:val="auto"/>
          <w:sz w:val="32"/>
          <w:szCs w:val="32"/>
          <w:shd w:val="clear" w:color="auto" w:fill="FFFFFF"/>
        </w:rPr>
      </w:pPr>
      <w:r>
        <w:rPr>
          <w:rStyle w:val="10"/>
          <w:rFonts w:hint="eastAsia" w:ascii="方正楷体_GBK" w:hAnsi="方正楷体_GBK" w:eastAsia="方正楷体_GBK" w:cs="方正楷体_GBK"/>
          <w:b w:val="0"/>
          <w:bCs/>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重庆市荣昌区荣隆镇综合行政执法大队为荣隆镇人民政府管理的正科级财政全额拨款事业单位（公益一类）。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w:t>
      </w:r>
      <w:r>
        <w:rPr>
          <w:rFonts w:hint="eastAsia" w:ascii="方正仿宋_GBK" w:hAnsi="方正仿宋_GBK" w:eastAsia="方正仿宋_GBK" w:cs="方正仿宋_GBK"/>
          <w:color w:val="auto"/>
          <w:sz w:val="32"/>
          <w:szCs w:val="32"/>
          <w:shd w:val="clear" w:color="auto" w:fill="FFFFFF"/>
          <w:lang w:eastAsia="zh-CN"/>
        </w:rPr>
        <w:t>、支</w:t>
      </w:r>
      <w:r>
        <w:rPr>
          <w:rFonts w:hint="eastAsia"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eastAsia" w:ascii="方正仿宋_GBK" w:hAnsi="方正仿宋_GBK" w:eastAsia="方正仿宋_GBK" w:cs="方正仿宋_GBK"/>
          <w:color w:val="auto"/>
          <w:sz w:val="32"/>
          <w:szCs w:val="32"/>
          <w:shd w:val="clear" w:color="auto" w:fill="FFFFFF"/>
        </w:rPr>
        <w:t>142.43万元。收、支与2023年度相比，增加26.72万元，增长23.1%，主要原因是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社保基数调整，</w:t>
      </w:r>
      <w:r>
        <w:rPr>
          <w:rFonts w:hint="eastAsia" w:ascii="方正仿宋_GBK" w:hAnsi="方正仿宋_GBK" w:eastAsia="方正仿宋_GBK" w:cs="方正仿宋_GBK"/>
          <w:color w:val="auto"/>
          <w:sz w:val="32"/>
          <w:szCs w:val="32"/>
          <w:shd w:val="clear" w:color="auto" w:fill="FFFFFF"/>
        </w:rPr>
        <w:t>人员经费增加。</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1</w:t>
      </w:r>
      <w:r>
        <w:rPr>
          <w:rStyle w:val="10"/>
          <w:rFonts w:hint="eastAsia" w:ascii="方正仿宋_GBK" w:hAnsi="方正仿宋_GBK" w:eastAsia="方正仿宋_GBK" w:cs="方正仿宋_GBK"/>
          <w:color w:val="auto"/>
          <w:sz w:val="32"/>
          <w:szCs w:val="32"/>
          <w:shd w:val="clear" w:color="auto" w:fill="FFFFFF"/>
        </w:rPr>
        <w:t>.收入情况。</w:t>
      </w:r>
      <w:r>
        <w:rPr>
          <w:rFonts w:hint="eastAsia" w:ascii="方正仿宋_GBK" w:hAnsi="方正仿宋_GBK" w:eastAsia="方正仿宋_GBK" w:cs="方正仿宋_GBK"/>
          <w:color w:val="auto"/>
          <w:sz w:val="32"/>
          <w:szCs w:val="32"/>
          <w:shd w:val="clear" w:color="auto" w:fill="FFFFFF"/>
        </w:rPr>
        <w:t>2024年度收入合计142.43万元，与2023年度相比，增加26.72万元，增长23.1%，主要原因是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社保基数调整，</w:t>
      </w:r>
      <w:r>
        <w:rPr>
          <w:rFonts w:hint="eastAsia" w:ascii="方正仿宋_GBK" w:hAnsi="方正仿宋_GBK" w:eastAsia="方正仿宋_GBK" w:cs="方正仿宋_GBK"/>
          <w:color w:val="auto"/>
          <w:sz w:val="32"/>
          <w:szCs w:val="32"/>
          <w:shd w:val="clear" w:color="auto" w:fill="FFFFFF"/>
        </w:rPr>
        <w:t>人员经费增加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收入增加</w:t>
      </w:r>
      <w:r>
        <w:rPr>
          <w:rFonts w:hint="eastAsia" w:ascii="方正仿宋_GBK" w:hAnsi="方正仿宋_GBK" w:eastAsia="方正仿宋_GBK" w:cs="方正仿宋_GBK"/>
          <w:color w:val="auto"/>
          <w:sz w:val="32"/>
          <w:szCs w:val="32"/>
          <w:shd w:val="clear" w:color="auto" w:fill="FFFFFF"/>
        </w:rPr>
        <w:t>。其中：财政拨款收入142.43万元，占100.0%；事业收入0.00万元，占0.0%；经营收入0.00万元，占0.0%；其他收入0.00万元，占0.0%。此外，使用非财政拨款结余（含专用结余）0.00万元，年初结转和结余0.00万元。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2</w:t>
      </w:r>
      <w:r>
        <w:rPr>
          <w:rStyle w:val="10"/>
          <w:rFonts w:hint="eastAsia" w:ascii="方正仿宋_GBK" w:hAnsi="方正仿宋_GBK" w:eastAsia="方正仿宋_GBK" w:cs="方正仿宋_GBK"/>
          <w:color w:val="auto"/>
          <w:sz w:val="32"/>
          <w:szCs w:val="32"/>
          <w:shd w:val="clear" w:color="auto" w:fill="FFFFFF"/>
        </w:rPr>
        <w:t>.支出情况。</w:t>
      </w:r>
      <w:r>
        <w:rPr>
          <w:rFonts w:hint="eastAsia" w:ascii="方正仿宋_GBK" w:hAnsi="方正仿宋_GBK" w:eastAsia="方正仿宋_GBK" w:cs="方正仿宋_GBK"/>
          <w:color w:val="auto"/>
          <w:sz w:val="32"/>
          <w:szCs w:val="32"/>
          <w:shd w:val="clear" w:color="auto" w:fill="FFFFFF"/>
        </w:rPr>
        <w:t>2024年度支出合计142.43万元，与2023年度相比，增加26.72万元，增长23.1%，主要原因是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社保基数调整，</w:t>
      </w:r>
      <w:r>
        <w:rPr>
          <w:rFonts w:hint="eastAsia" w:ascii="方正仿宋_GBK" w:hAnsi="方正仿宋_GBK" w:eastAsia="方正仿宋_GBK" w:cs="方正仿宋_GBK"/>
          <w:color w:val="auto"/>
          <w:sz w:val="32"/>
          <w:szCs w:val="32"/>
          <w:shd w:val="clear" w:color="auto" w:fill="FFFFFF"/>
        </w:rPr>
        <w:t>人员经费增加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支出增加</w:t>
      </w:r>
      <w:r>
        <w:rPr>
          <w:rFonts w:hint="eastAsia" w:ascii="方正仿宋_GBK" w:hAnsi="方正仿宋_GBK" w:eastAsia="方正仿宋_GBK" w:cs="方正仿宋_GBK"/>
          <w:color w:val="auto"/>
          <w:sz w:val="32"/>
          <w:szCs w:val="32"/>
          <w:shd w:val="clear" w:color="auto" w:fill="FFFFFF"/>
        </w:rPr>
        <w:t>。其中：基本支出142.43万元，占100.0%；项目支出0.00万元，占0.0%；经营支出</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lang w:val="en-US" w:eastAsia="zh-CN"/>
        </w:rPr>
        <w:t>3</w:t>
      </w:r>
      <w:r>
        <w:rPr>
          <w:rStyle w:val="10"/>
          <w:rFonts w:hint="eastAsia" w:ascii="方正仿宋_GBK" w:hAnsi="方正仿宋_GBK" w:eastAsia="方正仿宋_GBK" w:cs="方正仿宋_GBK"/>
          <w:color w:val="auto"/>
          <w:sz w:val="32"/>
          <w:szCs w:val="32"/>
          <w:shd w:val="clear" w:color="auto" w:fill="FFFFFF"/>
        </w:rPr>
        <w:t>.结转结余情况。</w:t>
      </w:r>
      <w:r>
        <w:rPr>
          <w:rFonts w:hint="eastAsia" w:ascii="方正仿宋_GBK" w:hAnsi="方正仿宋_GBK" w:eastAsia="方正仿宋_GBK" w:cs="方正仿宋_GBK"/>
          <w:color w:val="auto"/>
          <w:sz w:val="32"/>
          <w:szCs w:val="32"/>
          <w:shd w:val="clear" w:color="auto" w:fill="FFFFFF"/>
        </w:rPr>
        <w:t>2024年度年末结转和结余0.00万元，与2023年度相比，无增减，主要原因是本年度本单位无财政应返还额度。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2024年度财政拨款收、支总计均为142.43万元。与2023年</w:t>
      </w:r>
      <w:r>
        <w:rPr>
          <w:rFonts w:hint="eastAsia" w:ascii="方正仿宋_GBK" w:hAnsi="方正仿宋_GBK" w:eastAsia="方正仿宋_GBK" w:cs="方正仿宋_GBK"/>
          <w:color w:val="auto"/>
          <w:sz w:val="32"/>
          <w:szCs w:val="32"/>
          <w:shd w:val="clear" w:color="auto" w:fill="FFFFFF"/>
          <w:lang w:eastAsia="zh-CN"/>
        </w:rPr>
        <w:t>度</w:t>
      </w:r>
      <w:r>
        <w:rPr>
          <w:rFonts w:hint="eastAsia" w:ascii="方正仿宋_GBK" w:hAnsi="方正仿宋_GBK" w:eastAsia="方正仿宋_GBK" w:cs="方正仿宋_GBK"/>
          <w:color w:val="auto"/>
          <w:sz w:val="32"/>
          <w:szCs w:val="32"/>
          <w:shd w:val="clear" w:color="auto" w:fill="FFFFFF"/>
        </w:rPr>
        <w:t>相比，财政拨款收、支总计各增加26.72万元，增长23.1%。主要原因是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社保基数调整，</w:t>
      </w:r>
      <w:r>
        <w:rPr>
          <w:rFonts w:hint="eastAsia" w:ascii="方正仿宋_GBK" w:hAnsi="方正仿宋_GBK" w:eastAsia="方正仿宋_GBK" w:cs="方正仿宋_GBK"/>
          <w:color w:val="auto"/>
          <w:sz w:val="32"/>
          <w:szCs w:val="32"/>
          <w:shd w:val="clear" w:color="auto" w:fill="FFFFFF"/>
        </w:rPr>
        <w:t>人员经费增加。</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rPr>
        <w:t>2024年度一般公共预算财政拨款收入142.43万元，与2023年度相比，增加26.72万元，增长23.1%。主要原因是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社保基数调整，</w:t>
      </w:r>
      <w:r>
        <w:rPr>
          <w:rFonts w:hint="eastAsia" w:ascii="方正仿宋_GBK" w:hAnsi="方正仿宋_GBK" w:eastAsia="方正仿宋_GBK" w:cs="方正仿宋_GBK"/>
          <w:color w:val="auto"/>
          <w:sz w:val="32"/>
          <w:szCs w:val="32"/>
          <w:shd w:val="clear" w:color="auto" w:fill="FFFFFF"/>
        </w:rPr>
        <w:t>人员经费增加。较年初预算数减少0.47万元，下降0.3%。主要原因是</w:t>
      </w:r>
      <w:r>
        <w:rPr>
          <w:rFonts w:hint="eastAsia" w:ascii="方正仿宋_GBK" w:hAnsi="方正仿宋_GBK" w:eastAsia="方正仿宋_GBK" w:cs="方正仿宋_GBK"/>
          <w:color w:val="auto"/>
          <w:sz w:val="32"/>
          <w:szCs w:val="32"/>
          <w:shd w:val="clear" w:color="auto" w:fill="FFFFFF"/>
          <w:lang w:val="en-US" w:eastAsia="zh-CN"/>
        </w:rPr>
        <w:t>厉行节约，严控公用经费支出</w:t>
      </w:r>
      <w:r>
        <w:rPr>
          <w:rFonts w:hint="eastAsia" w:ascii="方正仿宋_GBK" w:hAnsi="方正仿宋_GBK" w:eastAsia="方正仿宋_GBK" w:cs="方正仿宋_GBK"/>
          <w:color w:val="auto"/>
          <w:sz w:val="32"/>
          <w:szCs w:val="32"/>
          <w:shd w:val="clear" w:color="auto" w:fill="FFFFFF"/>
        </w:rPr>
        <w:t>。此外，年初财政拨款结转和结余0.00万元。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rPr>
        <w:t>2024年度一般公共预算财政拨款支出142.43万元，与2023年度相比，增加26.72万元，增长23.1%。主要原因是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社保基数调整，</w:t>
      </w:r>
      <w:r>
        <w:rPr>
          <w:rFonts w:hint="eastAsia" w:ascii="方正仿宋_GBK" w:hAnsi="方正仿宋_GBK" w:eastAsia="方正仿宋_GBK" w:cs="方正仿宋_GBK"/>
          <w:color w:val="auto"/>
          <w:sz w:val="32"/>
          <w:szCs w:val="32"/>
          <w:shd w:val="clear" w:color="auto" w:fill="FFFFFF"/>
        </w:rPr>
        <w:t>人员经费增加。较年初预算数减少0.47万元，下降0.3%。主要原因是</w:t>
      </w:r>
      <w:r>
        <w:rPr>
          <w:rFonts w:hint="eastAsia" w:ascii="方正仿宋_GBK" w:hAnsi="方正仿宋_GBK" w:eastAsia="方正仿宋_GBK" w:cs="方正仿宋_GBK"/>
          <w:color w:val="auto"/>
          <w:sz w:val="32"/>
          <w:szCs w:val="32"/>
          <w:shd w:val="clear" w:color="auto" w:fill="FFFFFF"/>
          <w:lang w:val="en-US" w:eastAsia="zh-CN"/>
        </w:rPr>
        <w:t>厉行节约，严控公用经费支出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hint="eastAsia"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（1）一般公共服务支出111.59万元，占78.4%，较年初预算数减少6.30万元，下降5.3%，主要原因是</w:t>
      </w:r>
      <w:r>
        <w:rPr>
          <w:rFonts w:hint="eastAsia" w:ascii="方正仿宋_GBK" w:hAnsi="方正仿宋_GBK" w:eastAsia="方正仿宋_GBK" w:cs="方正仿宋_GBK"/>
          <w:color w:val="auto"/>
          <w:sz w:val="32"/>
          <w:szCs w:val="32"/>
          <w:shd w:val="clear" w:color="auto" w:fill="FFFFFF"/>
          <w:lang w:val="en-US" w:eastAsia="zh-CN"/>
        </w:rPr>
        <w:t>厉行节约，减少公用经费支出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）教育支出0.76万元，占0.5%，较年初预算数无增减。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hint="eastAsia" w:ascii="方正仿宋_GBK" w:hAnsi="方正仿宋_GBK" w:eastAsia="方正仿宋_GBK" w:cs="方正仿宋_GBK"/>
          <w:color w:val="auto"/>
          <w:sz w:val="32"/>
          <w:szCs w:val="32"/>
          <w:shd w:val="clear" w:color="auto" w:fill="FFFFFF"/>
        </w:rPr>
        <w:t>就业支出18.02万元，占12.7%，较年初预算数增加5.82万元，增长47.7%，主要原因是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）卫生健康支出5.95万元，占4.2%，较年初预算数无增减。</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shd w:val="clear" w:color="auto" w:fill="FFFFFF"/>
        </w:rPr>
        <w:t>6.10万元，占4.3%，较年初预算数无增减。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rPr>
        <w:t>2024年度年末一般公共预算财政拨款结转和结余0.00万元，与2023年度相比，无增减，主要原因是本年度本单位无财政应返还额度。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2024年度一般公共财政拨款基本支出142.43万元。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其中：人员经费122.54万元，与2023年度相比，增加21.70万元，增长21.5%，主要原因是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。人员经费用途主要包括基本工资、津贴补贴、奖金、其他工资福利（包括临聘人员工资、绩效考核、应休未休年休假补助、公务员平时考核奖励金）、住房公积金。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公用经费19.89万元，与2023年度相比，增加5.02万元，增长33.8%，主要原因是</w:t>
      </w:r>
      <w:r>
        <w:rPr>
          <w:rFonts w:hint="eastAsia" w:ascii="方正仿宋_GBK" w:hAnsi="方正仿宋_GBK" w:eastAsia="方正仿宋_GBK" w:cs="方正仿宋_GBK"/>
          <w:color w:val="auto"/>
          <w:sz w:val="32"/>
          <w:szCs w:val="32"/>
          <w:shd w:val="clear" w:color="auto" w:fill="FFFFFF"/>
          <w:lang w:val="en-US" w:eastAsia="zh-CN"/>
        </w:rPr>
        <w:t>人员增加，人员办公费用培训费用等公用经费增加</w:t>
      </w:r>
      <w:r>
        <w:rPr>
          <w:rFonts w:hint="eastAsia" w:ascii="方正仿宋_GBK" w:hAnsi="方正仿宋_GBK" w:eastAsia="方正仿宋_GBK" w:cs="方正仿宋_GBK"/>
          <w:color w:val="auto"/>
          <w:sz w:val="32"/>
          <w:szCs w:val="32"/>
          <w:shd w:val="clear" w:color="auto" w:fill="FFFFFF"/>
        </w:rPr>
        <w:t>。公用经费用途主要包括办公费、印刷费、水费、电费、邮电费、差旅费、维修（护）费、会议费、培训费、公务接待费、专用材料费、劳务费、工会经费、公务车用车运行维护费、其他交通费用。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2024年度“三公”经费支出共计0.00万元，较年初预算数无增减，主要原因是本单位202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年度未发生“三公”经费支出。较上年支出数无增减，主要原因是本单位202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年度未发生“三公”经费支出。</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因公出国（境）费用0.00万元。费用支出较年初预算数无增减，主要原因是本单位202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年度未发生因公出国（境）费用支出。较上年支出数无增减，主要原因是本单位202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年度未发生因公出国（境）费用支出。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车购置费0.00万元。费用支出较年初预算数无增减，主要原因是本单位202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车购置费用支出。较上年支出数无增减，主要原因是本单位202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车运行维护费0.00万元。费用支出较年初预算数无增减，主要原因是本单位202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车运行维护费用支出。较上年支出数无增减，主要原因是本单位202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公务接待费0.00万元。费用支出较年初预算数无增减，主要原因是本单位202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年度未发生公务接待费用支出。较上年支出数无增减，主要原因是本单位202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年度未发生公务接待费用支出。</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0.00万元，与2023年度相比，减少0.06万元，下降100.0%，主要原因是会议费在本级政府支出。本年度培训费支出1.68万元，与2023年度相比，增加1.18万元，增长236.0%，主要原因是本单位本年度中心工作增加，人员增加，必要业务培训增加，培训费用支出增加。本年度差旅费支出0.00万元，与2023年度相比，减少7.15万元，下降100.0%，主要原因是厉行节约，严控外出工作，本单位本年度未发生差旅费用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（二）机关运行经费情况说明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（三）国有资产占用情况说明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（四）政府采购支出情况说明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2024年度我单位未发生政府采购事项，无相关经费支出</w:t>
      </w:r>
      <w:r>
        <w:rPr>
          <w:rFonts w:hint="eastAsia" w:ascii="方正仿宋_GBK" w:hAnsi="方正仿宋_GBK" w:eastAsia="方正仿宋_GBK" w:cs="方正仿宋_GBK"/>
          <w:color w:val="FF0000"/>
          <w:sz w:val="32"/>
          <w:szCs w:val="32"/>
          <w:shd w:val="clear" w:color="auto" w:fill="FFFFFF"/>
        </w:rPr>
        <w:t>。</w:t>
      </w:r>
      <w:r>
        <w:rPr>
          <w:rStyle w:val="10"/>
          <w:rFonts w:hint="eastAsia" w:ascii="方正黑体_GBK" w:hAnsi="方正黑体_GBK" w:eastAsia="方正黑体_GBK" w:cs="方正黑体_GBK"/>
          <w:b w:val="0"/>
          <w:bCs/>
          <w:sz w:val="32"/>
          <w:szCs w:val="32"/>
          <w:shd w:val="clear" w:color="auto" w:fill="FFFFFF"/>
        </w:rPr>
        <w:t>五、</w:t>
      </w:r>
      <w:r>
        <w:rPr>
          <w:rStyle w:val="10"/>
          <w:rFonts w:hint="eastAsia" w:ascii="方正黑体_GBK" w:hAnsi="方正黑体_GBK" w:eastAsia="方正黑体_GBK" w:cs="方正黑体_GBK"/>
          <w:b w:val="0"/>
          <w:bCs/>
          <w:sz w:val="32"/>
          <w:szCs w:val="32"/>
          <w:shd w:val="clear" w:color="auto" w:fill="FFFFFF"/>
          <w:lang w:eastAsia="zh-CN"/>
        </w:rPr>
        <w:t>预算</w:t>
      </w:r>
      <w:r>
        <w:rPr>
          <w:rStyle w:val="10"/>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（一）单位自评情况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根据预算绩效管理要求，我单位对整体绩效开展了绩效自评，涉及财政拨款资金</w:t>
      </w:r>
      <w:r>
        <w:rPr>
          <w:rFonts w:hint="eastAsia" w:ascii="方正仿宋_GBK" w:hAnsi="方正仿宋_GBK" w:eastAsia="方正仿宋_GBK" w:cs="方正仿宋_GBK"/>
          <w:b w:val="0"/>
          <w:bCs/>
          <w:color w:val="auto"/>
          <w:sz w:val="32"/>
          <w:szCs w:val="32"/>
          <w:highlight w:val="none"/>
          <w:shd w:val="clear" w:color="auto" w:fill="FFFFFF"/>
          <w:lang w:val="en-US" w:eastAsia="zh-CN"/>
        </w:rPr>
        <w:t>142.43</w:t>
      </w:r>
      <w:r>
        <w:rPr>
          <w:rFonts w:hint="eastAsia" w:ascii="方正仿宋_GBK" w:hAnsi="方正仿宋_GBK" w:eastAsia="方正仿宋_GBK" w:cs="方正仿宋_GBK"/>
          <w:b w:val="0"/>
          <w:bCs/>
          <w:color w:val="auto"/>
          <w:sz w:val="32"/>
          <w:szCs w:val="32"/>
          <w:highlight w:val="none"/>
          <w:shd w:val="clear" w:color="auto" w:fill="FFFFFF"/>
          <w:lang w:eastAsia="zh-CN"/>
        </w:rPr>
        <w:t>万元。单位整体绩效自评表，详见附件2重庆市荣昌区荣隆镇综合行政执法大队2024年度单位整体绩效自评表。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（二）单位绩效评价情况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我单位未组织开展绩效评价。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（三）财政绩效评价情况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七、决算公开联系方式及信息反馈渠道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319" w:leftChars="133"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eastAsia="zh-CN"/>
        </w:rPr>
        <w:t>李庆蕊</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46551008</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319" w:leftChars="133"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2238" w:leftChars="399" w:hanging="1280" w:hangingChars="4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附件：1.重庆市荣昌区荣隆镇综合行政执法大队2024年度决算公开报表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2240" w:leftChars="0" w:hanging="2240" w:hangingChars="7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 xml:space="preserve">            2.重庆市荣昌区荣隆镇综合行政执法大队2024年度单位整体绩效自评表</w:t>
      </w:r>
    </w:p>
    <w:p>
      <w:pPr>
        <w:pStyle w:val="6"/>
        <w:snapToGrid w:val="0"/>
        <w:spacing w:before="0" w:beforeAutospacing="0" w:after="0" w:afterAutospacing="0" w:line="596" w:lineRule="exact"/>
        <w:ind w:left="319" w:leftChars="133" w:firstLine="320" w:firstLineChars="100"/>
        <w:jc w:val="both"/>
        <w:rPr>
          <w:rFonts w:hint="eastAsia" w:ascii="方正仿宋_GBK" w:hAnsi="方正仿宋_GBK" w:eastAsia="方正仿宋_GBK" w:cs="方正仿宋_GBK"/>
          <w:color w:val="auto"/>
          <w:sz w:val="32"/>
          <w:szCs w:val="32"/>
          <w:shd w:val="clear" w:color="auto" w:fill="FFFFFF"/>
          <w:lang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left"/>
              <w:textAlignment w:val="bottom"/>
              <w:rPr>
                <w:rFonts w:hint="default" w:cs="宋体"/>
                <w:b/>
                <w:color w:val="000000"/>
                <w:sz w:val="32"/>
                <w:szCs w:val="32"/>
              </w:rPr>
            </w:pPr>
            <w:r>
              <w:rPr>
                <w:rFonts w:hint="eastAsia" w:ascii="方正黑体_GBK" w:hAnsi="方正黑体_GBK" w:eastAsia="方正黑体_GBK" w:cs="方正黑体_GBK"/>
                <w:b w:val="0"/>
                <w:bCs/>
                <w:color w:val="000000"/>
                <w:sz w:val="32"/>
                <w:szCs w:val="32"/>
                <w:lang w:eastAsia="zh-CN"/>
              </w:rPr>
              <w:t>附件</w:t>
            </w:r>
            <w:r>
              <w:rPr>
                <w:rFonts w:hint="eastAsia" w:ascii="方正黑体_GBK" w:hAnsi="方正黑体_GBK" w:eastAsia="方正黑体_GBK" w:cs="方正黑体_GBK"/>
                <w:b w:val="0"/>
                <w:bCs/>
                <w:color w:val="000000"/>
                <w:sz w:val="32"/>
                <w:szCs w:val="32"/>
                <w:lang w:val="en-US" w:eastAsia="zh-CN"/>
              </w:rPr>
              <w:t xml:space="preserve">1                                   </w:t>
            </w: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重庆市荣昌区荣隆镇综合行政执法大队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重庆市荣昌区荣隆镇综合行政执法大队</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142.43</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重庆市荣昌区荣隆镇综合行政执法大队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142.43</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142.43</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重庆市荣昌区荣隆镇综合行政执法大队</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重庆市荣昌区荣隆镇综合行政执法大队</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122.54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重庆市荣昌区荣隆镇综合行政执法大队</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7"/>
        <w:tblW w:w="15320" w:type="dxa"/>
        <w:tblInd w:w="0" w:type="dxa"/>
        <w:shd w:val="clear" w:color="auto" w:fill="auto"/>
        <w:tblLayout w:type="fixed"/>
        <w:tblCellMar>
          <w:top w:w="0" w:type="dxa"/>
          <w:left w:w="0" w:type="dxa"/>
          <w:bottom w:w="0" w:type="dxa"/>
          <w:right w:w="0" w:type="dxa"/>
        </w:tblCellMar>
      </w:tblPr>
      <w:tblGrid>
        <w:gridCol w:w="1745"/>
        <w:gridCol w:w="2102"/>
        <w:gridCol w:w="2102"/>
        <w:gridCol w:w="1357"/>
        <w:gridCol w:w="871"/>
        <w:gridCol w:w="1416"/>
        <w:gridCol w:w="1192"/>
        <w:gridCol w:w="1379"/>
        <w:gridCol w:w="786"/>
        <w:gridCol w:w="1166"/>
        <w:gridCol w:w="1204"/>
      </w:tblGrid>
      <w:tr>
        <w:tblPrEx>
          <w:shd w:val="clear" w:color="auto" w:fill="auto"/>
          <w:tblLayout w:type="fixed"/>
          <w:tblCellMar>
            <w:top w:w="0" w:type="dxa"/>
            <w:left w:w="0" w:type="dxa"/>
            <w:bottom w:w="0" w:type="dxa"/>
            <w:right w:w="0" w:type="dxa"/>
          </w:tblCellMar>
        </w:tblPrEx>
        <w:trPr>
          <w:trHeight w:val="8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val="0"/>
                <w:bCs/>
                <w:i w:val="0"/>
                <w:color w:val="000000"/>
                <w:kern w:val="0"/>
                <w:sz w:val="32"/>
                <w:szCs w:val="32"/>
                <w:u w:val="none"/>
                <w:lang w:val="en-US" w:eastAsia="zh-CN" w:bidi="ar"/>
              </w:rPr>
              <w:t xml:space="preserve">附件2：                     </w:t>
            </w:r>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重庆市荣昌区荣隆镇综合行政执法大队整体自评</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50015300024P000075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4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8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4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10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0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1,429,045.68</w:t>
            </w:r>
          </w:p>
        </w:tc>
        <w:tc>
          <w:tcPr>
            <w:tcW w:w="8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1,424,274.63 </w:t>
            </w:r>
          </w:p>
        </w:tc>
        <w:tc>
          <w:tcPr>
            <w:tcW w:w="11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1,424,274.63 </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10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0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1,429,045.68</w:t>
            </w:r>
          </w:p>
        </w:tc>
        <w:tc>
          <w:tcPr>
            <w:tcW w:w="8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1,424,274.63 </w:t>
            </w:r>
          </w:p>
        </w:tc>
        <w:tc>
          <w:tcPr>
            <w:tcW w:w="11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1,424,274.63 </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10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0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1,429,045.68</w:t>
            </w:r>
          </w:p>
        </w:tc>
        <w:tc>
          <w:tcPr>
            <w:tcW w:w="8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1,424,274.63 </w:t>
            </w:r>
          </w:p>
        </w:tc>
        <w:tc>
          <w:tcPr>
            <w:tcW w:w="11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1,424,274.63 </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30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5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306"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人民政府综合行政执法大队主要负责弘扬法治精神，建设法治政府、法治国家、法治社会。主要职责：集中行使依法授权或委托的农林水利、规划建设、环境保护、卫生计生、文化旅游、民政管理等领域的行政执法权，协调、配合区级有关部门及派驻机构开展其他领域的联合执法。我镇综合行政执法大队2024年将继续行使执法权，对道路交通安全、环境卫生等依法依规进行检查，保障社会平稳发展，有效维护社会稳定。</w:t>
            </w:r>
          </w:p>
        </w:tc>
        <w:tc>
          <w:tcPr>
            <w:tcW w:w="485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人民政府综合行政执法大队有效完成了弘扬法治精神，建设法治政府、法治国家、法治社会。主要职责：集中行使依法授权或委托的农林水利、规划建设、环境保护、卫生计生、文化旅游、民政管理等领域的行政执法权，协调、配合区级有关部门及派驻机构开展其他领域的联合执法。我镇综合行政执法大队2024年依法行使执法权，对道路交通安全、环境卫生等依法依规进行检查，保障社会平稳发展，有效维护社会稳定。</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道路交通安全检查</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企业生产安全检查</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普法知晓率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运行保障年度</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rPr>
          <w:rFonts w:hint="default"/>
          <w:sz w:val="18"/>
          <w:szCs w:val="18"/>
        </w:rPr>
      </w:pPr>
      <w:r>
        <w:rPr>
          <w:rFonts w:cs="宋体"/>
          <w:sz w:val="18"/>
          <w:szCs w:val="18"/>
        </w:rPr>
        <w:br w:type="textWrapping"/>
      </w:r>
      <w:r>
        <w:rPr>
          <w:rFonts w:cs="宋体"/>
          <w:sz w:val="18"/>
          <w:szCs w:val="18"/>
        </w:rPr>
        <w:br w:type="textWrapping"/>
      </w: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28E3"/>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1F5186F"/>
    <w:rsid w:val="028E716A"/>
    <w:rsid w:val="036E2DA9"/>
    <w:rsid w:val="03B87EA0"/>
    <w:rsid w:val="03E3214F"/>
    <w:rsid w:val="044C50BA"/>
    <w:rsid w:val="048B1537"/>
    <w:rsid w:val="05BC6D49"/>
    <w:rsid w:val="06194FF1"/>
    <w:rsid w:val="06A2550B"/>
    <w:rsid w:val="06F140D3"/>
    <w:rsid w:val="06F80EE2"/>
    <w:rsid w:val="07001CCA"/>
    <w:rsid w:val="075678DB"/>
    <w:rsid w:val="079D7CC7"/>
    <w:rsid w:val="08051BCA"/>
    <w:rsid w:val="086C12F4"/>
    <w:rsid w:val="08705944"/>
    <w:rsid w:val="08763702"/>
    <w:rsid w:val="08BA052C"/>
    <w:rsid w:val="08DB07BA"/>
    <w:rsid w:val="091E187A"/>
    <w:rsid w:val="09296D4C"/>
    <w:rsid w:val="09423D1D"/>
    <w:rsid w:val="0969353F"/>
    <w:rsid w:val="098305D0"/>
    <w:rsid w:val="09B1218B"/>
    <w:rsid w:val="0A3317EA"/>
    <w:rsid w:val="0A5C4B69"/>
    <w:rsid w:val="0A86124A"/>
    <w:rsid w:val="0AB54CC0"/>
    <w:rsid w:val="0B9335CE"/>
    <w:rsid w:val="0BF2311A"/>
    <w:rsid w:val="0C3A7140"/>
    <w:rsid w:val="0C7927C4"/>
    <w:rsid w:val="0C9B098C"/>
    <w:rsid w:val="0D673E11"/>
    <w:rsid w:val="0D9B6A43"/>
    <w:rsid w:val="0DDA54E4"/>
    <w:rsid w:val="0E3A5F83"/>
    <w:rsid w:val="0F002402"/>
    <w:rsid w:val="0F756F86"/>
    <w:rsid w:val="0F836721"/>
    <w:rsid w:val="0FA25D96"/>
    <w:rsid w:val="0FBD3C60"/>
    <w:rsid w:val="107B59E5"/>
    <w:rsid w:val="10EC0126"/>
    <w:rsid w:val="10F70B9A"/>
    <w:rsid w:val="111445C7"/>
    <w:rsid w:val="114278C6"/>
    <w:rsid w:val="11492BC5"/>
    <w:rsid w:val="1158083A"/>
    <w:rsid w:val="11643A4B"/>
    <w:rsid w:val="11ED0F98"/>
    <w:rsid w:val="11F03528"/>
    <w:rsid w:val="126B2BA2"/>
    <w:rsid w:val="12C921C4"/>
    <w:rsid w:val="12DC3786"/>
    <w:rsid w:val="133A51FD"/>
    <w:rsid w:val="13871C70"/>
    <w:rsid w:val="13A71CB4"/>
    <w:rsid w:val="13AF1D43"/>
    <w:rsid w:val="13CE1647"/>
    <w:rsid w:val="13FD55AB"/>
    <w:rsid w:val="14200702"/>
    <w:rsid w:val="14370EA1"/>
    <w:rsid w:val="145D6F41"/>
    <w:rsid w:val="163A6CEE"/>
    <w:rsid w:val="173708E3"/>
    <w:rsid w:val="17C374FC"/>
    <w:rsid w:val="182E4AB6"/>
    <w:rsid w:val="183B512F"/>
    <w:rsid w:val="189079DC"/>
    <w:rsid w:val="189B0D0B"/>
    <w:rsid w:val="18B43F7C"/>
    <w:rsid w:val="18C737E0"/>
    <w:rsid w:val="18D62F08"/>
    <w:rsid w:val="191C433B"/>
    <w:rsid w:val="194A1770"/>
    <w:rsid w:val="19B906A4"/>
    <w:rsid w:val="1B6F15B6"/>
    <w:rsid w:val="1BAA2EDC"/>
    <w:rsid w:val="1BDC6293"/>
    <w:rsid w:val="1C223579"/>
    <w:rsid w:val="1CA55E64"/>
    <w:rsid w:val="1D014A01"/>
    <w:rsid w:val="1D022362"/>
    <w:rsid w:val="1D1B04B0"/>
    <w:rsid w:val="1DA52501"/>
    <w:rsid w:val="1DBD6767"/>
    <w:rsid w:val="1DC52125"/>
    <w:rsid w:val="1DD26311"/>
    <w:rsid w:val="1E374ACB"/>
    <w:rsid w:val="1ECF0A66"/>
    <w:rsid w:val="1EE2762F"/>
    <w:rsid w:val="1EF67CA4"/>
    <w:rsid w:val="1F020D3A"/>
    <w:rsid w:val="1F2C5189"/>
    <w:rsid w:val="1F4B0B02"/>
    <w:rsid w:val="1F79488C"/>
    <w:rsid w:val="1FBB35CD"/>
    <w:rsid w:val="1FC911E8"/>
    <w:rsid w:val="1FCD26AF"/>
    <w:rsid w:val="20093DAD"/>
    <w:rsid w:val="20642787"/>
    <w:rsid w:val="20666629"/>
    <w:rsid w:val="21556F04"/>
    <w:rsid w:val="22403BD3"/>
    <w:rsid w:val="235417B6"/>
    <w:rsid w:val="23AE5B0B"/>
    <w:rsid w:val="24B92327"/>
    <w:rsid w:val="24C14514"/>
    <w:rsid w:val="2533755C"/>
    <w:rsid w:val="254D6990"/>
    <w:rsid w:val="25791755"/>
    <w:rsid w:val="25E320F6"/>
    <w:rsid w:val="26396DF4"/>
    <w:rsid w:val="27167136"/>
    <w:rsid w:val="271B442C"/>
    <w:rsid w:val="27B23302"/>
    <w:rsid w:val="29107E38"/>
    <w:rsid w:val="29310A5F"/>
    <w:rsid w:val="29C37A35"/>
    <w:rsid w:val="2A076083"/>
    <w:rsid w:val="2A73162E"/>
    <w:rsid w:val="2B095B8A"/>
    <w:rsid w:val="2B167953"/>
    <w:rsid w:val="2B200583"/>
    <w:rsid w:val="2B8209DE"/>
    <w:rsid w:val="2B821C91"/>
    <w:rsid w:val="2BF81A22"/>
    <w:rsid w:val="2C3C2691"/>
    <w:rsid w:val="2C636760"/>
    <w:rsid w:val="2C6762A3"/>
    <w:rsid w:val="2DAD7003"/>
    <w:rsid w:val="2DF41D09"/>
    <w:rsid w:val="2E886C8B"/>
    <w:rsid w:val="2FCA4B37"/>
    <w:rsid w:val="2FE029D7"/>
    <w:rsid w:val="2FE471DE"/>
    <w:rsid w:val="2FF06E00"/>
    <w:rsid w:val="30586FEC"/>
    <w:rsid w:val="315F0B22"/>
    <w:rsid w:val="31BD2225"/>
    <w:rsid w:val="31D84415"/>
    <w:rsid w:val="31DA60DD"/>
    <w:rsid w:val="32285F6F"/>
    <w:rsid w:val="32770556"/>
    <w:rsid w:val="329C0913"/>
    <w:rsid w:val="32AA0460"/>
    <w:rsid w:val="3337290D"/>
    <w:rsid w:val="33846A3C"/>
    <w:rsid w:val="33E31118"/>
    <w:rsid w:val="33EF7674"/>
    <w:rsid w:val="342D7BC6"/>
    <w:rsid w:val="352930DB"/>
    <w:rsid w:val="35573069"/>
    <w:rsid w:val="355F6038"/>
    <w:rsid w:val="358C217E"/>
    <w:rsid w:val="36A0710F"/>
    <w:rsid w:val="36C9128A"/>
    <w:rsid w:val="37841E99"/>
    <w:rsid w:val="37BF1123"/>
    <w:rsid w:val="383C3F15"/>
    <w:rsid w:val="38BB429E"/>
    <w:rsid w:val="38BE4696"/>
    <w:rsid w:val="3939115E"/>
    <w:rsid w:val="39AB7AFE"/>
    <w:rsid w:val="39B82A39"/>
    <w:rsid w:val="39C42CA8"/>
    <w:rsid w:val="39CD390A"/>
    <w:rsid w:val="39DC4FD6"/>
    <w:rsid w:val="39F03D7A"/>
    <w:rsid w:val="39F33306"/>
    <w:rsid w:val="3A2C1C67"/>
    <w:rsid w:val="3A2C6DA1"/>
    <w:rsid w:val="3A6A77C9"/>
    <w:rsid w:val="3ADD7F09"/>
    <w:rsid w:val="3B1705E5"/>
    <w:rsid w:val="3B18334B"/>
    <w:rsid w:val="3B2D256B"/>
    <w:rsid w:val="3B36794F"/>
    <w:rsid w:val="3B6F6EE0"/>
    <w:rsid w:val="3C566AD6"/>
    <w:rsid w:val="3C594871"/>
    <w:rsid w:val="3C6A0BA2"/>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992A61"/>
    <w:rsid w:val="40BD5482"/>
    <w:rsid w:val="411B6CE5"/>
    <w:rsid w:val="412070D7"/>
    <w:rsid w:val="41314E40"/>
    <w:rsid w:val="41E0734B"/>
    <w:rsid w:val="42451CA7"/>
    <w:rsid w:val="426C1EA8"/>
    <w:rsid w:val="42736402"/>
    <w:rsid w:val="429B4F64"/>
    <w:rsid w:val="42E86A87"/>
    <w:rsid w:val="43307B09"/>
    <w:rsid w:val="436D44AF"/>
    <w:rsid w:val="439A3EB9"/>
    <w:rsid w:val="43A2191B"/>
    <w:rsid w:val="43BB152F"/>
    <w:rsid w:val="43CC1D1E"/>
    <w:rsid w:val="43FF7F3C"/>
    <w:rsid w:val="44C37687"/>
    <w:rsid w:val="4510092B"/>
    <w:rsid w:val="4581603D"/>
    <w:rsid w:val="45CB699A"/>
    <w:rsid w:val="463D597A"/>
    <w:rsid w:val="46410AC0"/>
    <w:rsid w:val="46423C66"/>
    <w:rsid w:val="465B470D"/>
    <w:rsid w:val="469D6AD4"/>
    <w:rsid w:val="471E6C84"/>
    <w:rsid w:val="4748792B"/>
    <w:rsid w:val="475D719D"/>
    <w:rsid w:val="47674801"/>
    <w:rsid w:val="48225EF7"/>
    <w:rsid w:val="488F422B"/>
    <w:rsid w:val="48E36915"/>
    <w:rsid w:val="48EB6572"/>
    <w:rsid w:val="49250072"/>
    <w:rsid w:val="495C4A24"/>
    <w:rsid w:val="497135DF"/>
    <w:rsid w:val="49863C27"/>
    <w:rsid w:val="4A263DF2"/>
    <w:rsid w:val="4A2F278B"/>
    <w:rsid w:val="4A6F6675"/>
    <w:rsid w:val="4A821B0D"/>
    <w:rsid w:val="4AC0541F"/>
    <w:rsid w:val="4B135857"/>
    <w:rsid w:val="4B7951CB"/>
    <w:rsid w:val="4B7C315C"/>
    <w:rsid w:val="4C0F0FF7"/>
    <w:rsid w:val="4C4C6C32"/>
    <w:rsid w:val="4C9316A8"/>
    <w:rsid w:val="4D1F53CA"/>
    <w:rsid w:val="4DAC4ACA"/>
    <w:rsid w:val="4DBE01D2"/>
    <w:rsid w:val="4DE01A28"/>
    <w:rsid w:val="4F0C6BA3"/>
    <w:rsid w:val="4F186D58"/>
    <w:rsid w:val="50F06B6E"/>
    <w:rsid w:val="51936678"/>
    <w:rsid w:val="51D21804"/>
    <w:rsid w:val="52234D33"/>
    <w:rsid w:val="522F6E0C"/>
    <w:rsid w:val="52463BA1"/>
    <w:rsid w:val="52F163D4"/>
    <w:rsid w:val="530F0C63"/>
    <w:rsid w:val="531A2DB4"/>
    <w:rsid w:val="53617029"/>
    <w:rsid w:val="53962A28"/>
    <w:rsid w:val="53C0244D"/>
    <w:rsid w:val="53DD4D4E"/>
    <w:rsid w:val="53E578CE"/>
    <w:rsid w:val="541330F0"/>
    <w:rsid w:val="54272666"/>
    <w:rsid w:val="543B029D"/>
    <w:rsid w:val="54861779"/>
    <w:rsid w:val="54F12EE6"/>
    <w:rsid w:val="552256E1"/>
    <w:rsid w:val="55451A03"/>
    <w:rsid w:val="554E5773"/>
    <w:rsid w:val="555829E0"/>
    <w:rsid w:val="555A3CBC"/>
    <w:rsid w:val="5582012B"/>
    <w:rsid w:val="558E4E05"/>
    <w:rsid w:val="55BE2E85"/>
    <w:rsid w:val="56530F5D"/>
    <w:rsid w:val="567700D3"/>
    <w:rsid w:val="569E5A73"/>
    <w:rsid w:val="56FF7E9E"/>
    <w:rsid w:val="57851723"/>
    <w:rsid w:val="578867FC"/>
    <w:rsid w:val="5842572D"/>
    <w:rsid w:val="59442CD1"/>
    <w:rsid w:val="5A3B59D6"/>
    <w:rsid w:val="5AD134D8"/>
    <w:rsid w:val="5BF41F67"/>
    <w:rsid w:val="5C263CE4"/>
    <w:rsid w:val="5C5D2777"/>
    <w:rsid w:val="5CF66BF3"/>
    <w:rsid w:val="5D290C69"/>
    <w:rsid w:val="5DA80C2C"/>
    <w:rsid w:val="5E1F53ED"/>
    <w:rsid w:val="5F2D4A41"/>
    <w:rsid w:val="5F87040E"/>
    <w:rsid w:val="5FF31E0E"/>
    <w:rsid w:val="60C74F6C"/>
    <w:rsid w:val="61015958"/>
    <w:rsid w:val="61025A59"/>
    <w:rsid w:val="61393F1F"/>
    <w:rsid w:val="613D5BBC"/>
    <w:rsid w:val="61536C39"/>
    <w:rsid w:val="62944DD7"/>
    <w:rsid w:val="62F319D9"/>
    <w:rsid w:val="6319381F"/>
    <w:rsid w:val="63B864A3"/>
    <w:rsid w:val="63C25DC5"/>
    <w:rsid w:val="63C62057"/>
    <w:rsid w:val="640957E5"/>
    <w:rsid w:val="64520944"/>
    <w:rsid w:val="64571EF5"/>
    <w:rsid w:val="64C329DD"/>
    <w:rsid w:val="64FB04B9"/>
    <w:rsid w:val="64FB113D"/>
    <w:rsid w:val="656152C6"/>
    <w:rsid w:val="6587477F"/>
    <w:rsid w:val="658C3A08"/>
    <w:rsid w:val="65C031CA"/>
    <w:rsid w:val="65CE6852"/>
    <w:rsid w:val="66267C04"/>
    <w:rsid w:val="663F505A"/>
    <w:rsid w:val="66830A4B"/>
    <w:rsid w:val="66AF5D7C"/>
    <w:rsid w:val="66EE5541"/>
    <w:rsid w:val="67924660"/>
    <w:rsid w:val="68407834"/>
    <w:rsid w:val="685D5B72"/>
    <w:rsid w:val="6883293E"/>
    <w:rsid w:val="688412AD"/>
    <w:rsid w:val="68EB1B71"/>
    <w:rsid w:val="690905E2"/>
    <w:rsid w:val="696C0310"/>
    <w:rsid w:val="6A6C7940"/>
    <w:rsid w:val="6A9F1565"/>
    <w:rsid w:val="6AAD2300"/>
    <w:rsid w:val="6B422CA5"/>
    <w:rsid w:val="6B474EF5"/>
    <w:rsid w:val="6C0A5AC5"/>
    <w:rsid w:val="6C560CAE"/>
    <w:rsid w:val="6C576495"/>
    <w:rsid w:val="6C5D455F"/>
    <w:rsid w:val="6D0E6513"/>
    <w:rsid w:val="6D903FF5"/>
    <w:rsid w:val="6DA955B8"/>
    <w:rsid w:val="6DE346AB"/>
    <w:rsid w:val="6DE5391A"/>
    <w:rsid w:val="6E610D30"/>
    <w:rsid w:val="6EFD1324"/>
    <w:rsid w:val="6F5A53AC"/>
    <w:rsid w:val="6F5C446F"/>
    <w:rsid w:val="6FAC003D"/>
    <w:rsid w:val="6FD926BF"/>
    <w:rsid w:val="6FE55E12"/>
    <w:rsid w:val="6FFB2E76"/>
    <w:rsid w:val="708F6F7F"/>
    <w:rsid w:val="70D94BD3"/>
    <w:rsid w:val="71550CF3"/>
    <w:rsid w:val="71574775"/>
    <w:rsid w:val="71587FA7"/>
    <w:rsid w:val="71C34D91"/>
    <w:rsid w:val="72D501F9"/>
    <w:rsid w:val="72DB435C"/>
    <w:rsid w:val="72E2613A"/>
    <w:rsid w:val="72F771F4"/>
    <w:rsid w:val="73934AD2"/>
    <w:rsid w:val="74824C8D"/>
    <w:rsid w:val="74973830"/>
    <w:rsid w:val="750837F0"/>
    <w:rsid w:val="754758CF"/>
    <w:rsid w:val="75595ECD"/>
    <w:rsid w:val="764F62AB"/>
    <w:rsid w:val="765C45EC"/>
    <w:rsid w:val="768A7619"/>
    <w:rsid w:val="772E1EBA"/>
    <w:rsid w:val="779C5456"/>
    <w:rsid w:val="77BA38BD"/>
    <w:rsid w:val="781926BC"/>
    <w:rsid w:val="796D60A4"/>
    <w:rsid w:val="797A664A"/>
    <w:rsid w:val="798C1D24"/>
    <w:rsid w:val="79A031D5"/>
    <w:rsid w:val="79B47FDF"/>
    <w:rsid w:val="79BE0073"/>
    <w:rsid w:val="79E569A9"/>
    <w:rsid w:val="7A1525F7"/>
    <w:rsid w:val="7B016B7D"/>
    <w:rsid w:val="7B1D3688"/>
    <w:rsid w:val="7B420052"/>
    <w:rsid w:val="7BD06A28"/>
    <w:rsid w:val="7C1939CE"/>
    <w:rsid w:val="7C3A7C0B"/>
    <w:rsid w:val="7C5248E4"/>
    <w:rsid w:val="7C566698"/>
    <w:rsid w:val="7C5866A3"/>
    <w:rsid w:val="7D7406BB"/>
    <w:rsid w:val="7DE94331"/>
    <w:rsid w:val="7EC24A82"/>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2025-09-23T03:07:57Z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