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left"/>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lang w:eastAsia="zh-CN"/>
        </w:rPr>
        <w:t>本部门及下属单位公开内容真实、准确、完整，不存在意识形态问题。</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left"/>
        <w:textAlignment w:val="auto"/>
        <w:rPr>
          <w:rFonts w:hint="eastAsia" w:ascii="方正小标宋_GBK" w:hAnsi="方正小标宋_GBK" w:eastAsia="方正小标宋_GBK" w:cs="方正小标宋_GBK"/>
          <w:b w:val="0"/>
          <w:bCs w:val="0"/>
          <w:sz w:val="36"/>
          <w:szCs w:val="36"/>
          <w:lang w:val="en-US" w:eastAsia="zh-CN"/>
        </w:rPr>
      </w:pPr>
      <w:r>
        <w:rPr>
          <w:rFonts w:hint="eastAsia" w:ascii="方正小标宋_GBK" w:hAnsi="方正小标宋_GBK" w:eastAsia="方正小标宋_GBK" w:cs="方正小标宋_GBK"/>
          <w:b w:val="0"/>
          <w:bCs w:val="0"/>
          <w:sz w:val="36"/>
          <w:szCs w:val="36"/>
          <w:lang w:eastAsia="zh-CN"/>
        </w:rPr>
        <w:t>经办人：</w:t>
      </w:r>
      <w:r>
        <w:rPr>
          <w:rFonts w:hint="eastAsia" w:ascii="方正小标宋_GBK" w:hAnsi="方正小标宋_GBK" w:eastAsia="方正小标宋_GBK" w:cs="方正小标宋_GBK"/>
          <w:b w:val="0"/>
          <w:bCs w:val="0"/>
          <w:sz w:val="36"/>
          <w:szCs w:val="36"/>
          <w:lang w:val="en-US" w:eastAsia="zh-CN"/>
        </w:rPr>
        <w:t xml:space="preserve">             单位负责人：</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重庆市荣昌区荣隆镇农业服务中心</w:t>
      </w: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jc w:val="center"/>
        <w:textAlignment w:val="auto"/>
        <w:rPr>
          <w:rFonts w:hint="eastAsia" w:ascii="方正小标宋_GBK" w:hAnsi="方正小标宋_GBK" w:eastAsia="方正小标宋_GBK" w:cs="方正小标宋_GBK"/>
          <w:sz w:val="44"/>
          <w:szCs w:val="44"/>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highlight w:val="none"/>
          <w:shd w:val="clear" w:color="auto" w:fill="FFFFFF"/>
        </w:rPr>
      </w:pPr>
      <w:r>
        <w:rPr>
          <w:rStyle w:val="11"/>
          <w:rFonts w:hint="eastAsia" w:ascii="方正黑体_GBK" w:hAnsi="方正黑体_GBK" w:eastAsia="方正黑体_GBK" w:cs="方正黑体_GBK"/>
          <w:b w:val="0"/>
          <w:bCs/>
          <w:color w:val="auto"/>
          <w:sz w:val="32"/>
          <w:szCs w:val="32"/>
          <w:highlight w:val="none"/>
          <w:shd w:val="clear" w:color="auto" w:fill="FFFFFF"/>
        </w:rPr>
        <w:t>一、</w:t>
      </w:r>
      <w:r>
        <w:rPr>
          <w:rStyle w:val="11"/>
          <w:rFonts w:hint="eastAsia" w:ascii="方正黑体_GBK" w:hAnsi="方正黑体_GBK" w:eastAsia="方正黑体_GBK" w:cs="方正黑体_GBK"/>
          <w:b w:val="0"/>
          <w:bCs/>
          <w:color w:val="auto"/>
          <w:sz w:val="32"/>
          <w:szCs w:val="32"/>
          <w:highlight w:val="none"/>
          <w:shd w:val="clear" w:color="auto" w:fill="FFFFFF"/>
          <w:lang w:eastAsia="zh-CN"/>
        </w:rPr>
        <w:t>单位</w:t>
      </w:r>
      <w:r>
        <w:rPr>
          <w:rStyle w:val="11"/>
          <w:rFonts w:hint="eastAsia" w:ascii="方正黑体_GBK" w:hAnsi="方正黑体_GBK" w:eastAsia="方正黑体_GBK" w:cs="方正黑体_GBK"/>
          <w:b w:val="0"/>
          <w:bCs/>
          <w:color w:val="auto"/>
          <w:sz w:val="32"/>
          <w:szCs w:val="32"/>
          <w:highlight w:val="none"/>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rPr>
      </w:pPr>
      <w:r>
        <w:rPr>
          <w:rStyle w:val="11"/>
          <w:rFonts w:hint="eastAsia" w:ascii="方正楷体_GBK" w:hAnsi="方正楷体_GBK" w:eastAsia="方正楷体_GBK" w:cs="方正楷体_GBK"/>
          <w:b w:val="0"/>
          <w:bCs/>
          <w:color w:val="auto"/>
          <w:sz w:val="32"/>
          <w:szCs w:val="32"/>
          <w:highlight w:val="none"/>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rPr>
        <w:t>重庆市荣昌区荣隆镇农业服务中心的职能职责：负责农技、农机、林业、水利水保、水产等方面的重大技术推广、信息服务、资源环境保护、灾害防治、土地规模经营管理、农产品质量安全监管公共服务等工作。负责辖区内的水资源管理、防汛抗旱、农田水利建设和水利科技推广、水文监测、洪旱预警预报等工作；承担农村水利工程建设、管理与运行维护的技术指导；指导农民用水合作组织建设，协调农村涉水事务等工作</w:t>
      </w:r>
      <w:r>
        <w:rPr>
          <w:rFonts w:hint="eastAsia" w:ascii="方正仿宋_GBK" w:hAnsi="方正仿宋_GBK" w:eastAsia="方正仿宋_GBK" w:cs="方正仿宋_GBK"/>
          <w:b w:val="0"/>
          <w:bCs/>
          <w:color w:val="auto"/>
          <w:sz w:val="32"/>
          <w:szCs w:val="32"/>
          <w:highlight w:val="none"/>
          <w:shd w:val="clear" w:color="auto" w:fill="FFFFFF"/>
          <w:lang w:eastAsia="zh-CN"/>
        </w:rPr>
        <w:t>。</w:t>
      </w:r>
    </w:p>
    <w:p>
      <w:pPr>
        <w:pStyle w:val="6"/>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楷体_GBK" w:hAnsi="方正楷体_GBK" w:eastAsia="方正楷体_GBK" w:cs="方正楷体_GBK"/>
          <w:b w:val="0"/>
          <w:bCs/>
          <w:color w:val="auto"/>
          <w:sz w:val="32"/>
          <w:szCs w:val="32"/>
          <w:highlight w:val="none"/>
          <w:shd w:val="clear" w:color="auto" w:fill="FFFFFF"/>
        </w:rPr>
      </w:pPr>
      <w:r>
        <w:rPr>
          <w:rStyle w:val="11"/>
          <w:rFonts w:hint="eastAsia" w:ascii="方正楷体_GBK" w:hAnsi="方正楷体_GBK" w:eastAsia="方正楷体_GBK" w:cs="方正楷体_GBK"/>
          <w:b w:val="0"/>
          <w:bCs/>
          <w:color w:val="auto"/>
          <w:sz w:val="32"/>
          <w:szCs w:val="32"/>
          <w:highlight w:val="none"/>
          <w:shd w:val="clear" w:color="auto" w:fill="FFFFFF"/>
        </w:rPr>
        <w:t>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方正仿宋_GBK" w:hAnsi="方正仿宋_GBK" w:eastAsia="方正仿宋_GBK" w:cs="方正仿宋_GBK"/>
          <w:b w:val="0"/>
          <w:bCs/>
          <w:color w:val="auto"/>
          <w:sz w:val="32"/>
          <w:szCs w:val="32"/>
          <w:highlight w:val="none"/>
          <w:shd w:val="clear" w:color="auto" w:fill="FFFFFF"/>
        </w:rPr>
      </w:pPr>
      <w:r>
        <w:rPr>
          <w:rFonts w:hint="default" w:ascii="方正仿宋_GBK" w:hAnsi="方正仿宋_GBK" w:eastAsia="方正仿宋_GBK" w:cs="方正仿宋_GBK"/>
          <w:b w:val="0"/>
          <w:bCs/>
          <w:color w:val="auto"/>
          <w:sz w:val="32"/>
          <w:szCs w:val="32"/>
          <w:highlight w:val="none"/>
          <w:shd w:val="clear" w:color="auto" w:fill="FFFFFF"/>
        </w:rPr>
        <w:t>重庆市荣昌区荣隆镇农业服务中心为荣隆镇人民政府管理的正科级财政全额拨款事业单位（公益一类）。</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highlight w:val="none"/>
          <w:shd w:val="clear" w:color="auto" w:fill="FFFFFF"/>
        </w:rPr>
      </w:pPr>
      <w:r>
        <w:rPr>
          <w:rStyle w:val="11"/>
          <w:rFonts w:hint="eastAsia" w:ascii="方正黑体_GBK" w:hAnsi="方正黑体_GBK" w:eastAsia="方正黑体_GBK" w:cs="方正黑体_GBK"/>
          <w:b w:val="0"/>
          <w:bCs/>
          <w:color w:val="auto"/>
          <w:sz w:val="32"/>
          <w:szCs w:val="32"/>
          <w:highlight w:val="none"/>
          <w:shd w:val="clear" w:color="auto" w:fill="FFFFFF"/>
        </w:rPr>
        <w:t>二、</w:t>
      </w:r>
      <w:r>
        <w:rPr>
          <w:rStyle w:val="11"/>
          <w:rFonts w:hint="eastAsia" w:ascii="方正黑体_GBK" w:hAnsi="方正黑体_GBK" w:eastAsia="方正黑体_GBK" w:cs="方正黑体_GBK"/>
          <w:b w:val="0"/>
          <w:bCs/>
          <w:color w:val="auto"/>
          <w:sz w:val="32"/>
          <w:szCs w:val="32"/>
          <w:highlight w:val="none"/>
          <w:shd w:val="clear" w:color="auto" w:fill="FFFFFF"/>
          <w:lang w:eastAsia="zh-CN"/>
        </w:rPr>
        <w:t>单位</w:t>
      </w:r>
      <w:r>
        <w:rPr>
          <w:rStyle w:val="11"/>
          <w:rFonts w:hint="eastAsia" w:ascii="方正黑体_GBK" w:hAnsi="方正黑体_GBK" w:eastAsia="方正黑体_GBK" w:cs="方正黑体_GBK"/>
          <w:b w:val="0"/>
          <w:bCs/>
          <w:color w:val="auto"/>
          <w:sz w:val="32"/>
          <w:szCs w:val="32"/>
          <w:highlight w:val="none"/>
          <w:shd w:val="clear" w:color="auto" w:fill="FFFFFF"/>
        </w:rPr>
        <w:t>决算</w:t>
      </w:r>
      <w:r>
        <w:rPr>
          <w:rStyle w:val="11"/>
          <w:rFonts w:hint="eastAsia" w:ascii="方正黑体_GBK" w:hAnsi="方正黑体_GBK" w:eastAsia="方正黑体_GBK" w:cs="方正黑体_GBK"/>
          <w:b w:val="0"/>
          <w:bCs/>
          <w:color w:val="auto"/>
          <w:sz w:val="32"/>
          <w:szCs w:val="32"/>
          <w:highlight w:val="none"/>
          <w:shd w:val="clear" w:color="auto" w:fill="FFFFFF"/>
          <w:lang w:eastAsia="zh-CN"/>
        </w:rPr>
        <w:t>收支</w:t>
      </w:r>
      <w:r>
        <w:rPr>
          <w:rStyle w:val="11"/>
          <w:rFonts w:hint="eastAsia" w:ascii="方正黑体_GBK" w:hAnsi="方正黑体_GBK" w:eastAsia="方正黑体_GBK" w:cs="方正黑体_GBK"/>
          <w:b w:val="0"/>
          <w:bCs/>
          <w:color w:val="auto"/>
          <w:sz w:val="32"/>
          <w:szCs w:val="32"/>
          <w:highlight w:val="none"/>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年度收</w:t>
      </w:r>
      <w:r>
        <w:rPr>
          <w:rFonts w:hint="eastAsia" w:ascii="方正仿宋_GBK" w:hAnsi="方正仿宋_GBK" w:eastAsia="方正仿宋_GBK" w:cs="方正仿宋_GBK"/>
          <w:b w:val="0"/>
          <w:bCs/>
          <w:color w:val="auto"/>
          <w:sz w:val="32"/>
          <w:szCs w:val="32"/>
          <w:highlight w:val="none"/>
          <w:shd w:val="clear" w:color="auto" w:fill="FFFFFF"/>
          <w:lang w:eastAsia="zh-CN"/>
        </w:rPr>
        <w:t>、支</w:t>
      </w:r>
      <w:r>
        <w:rPr>
          <w:rFonts w:ascii="方正仿宋_GBK" w:hAnsi="方正仿宋_GBK" w:eastAsia="方正仿宋_GBK" w:cs="方正仿宋_GBK"/>
          <w:b w:val="0"/>
          <w:bCs/>
          <w:color w:val="auto"/>
          <w:sz w:val="32"/>
          <w:szCs w:val="32"/>
          <w:highlight w:val="none"/>
          <w:shd w:val="clear" w:color="auto" w:fill="FFFFFF"/>
        </w:rPr>
        <w:t>总计</w:t>
      </w:r>
      <w:r>
        <w:rPr>
          <w:rFonts w:hint="eastAsia" w:ascii="方正仿宋_GBK" w:hAnsi="方正仿宋_GBK" w:eastAsia="方正仿宋_GBK" w:cs="方正仿宋_GBK"/>
          <w:b w:val="0"/>
          <w:bCs/>
          <w:color w:val="auto"/>
          <w:sz w:val="32"/>
          <w:szCs w:val="32"/>
          <w:highlight w:val="none"/>
          <w:shd w:val="clear" w:color="auto" w:fill="FFFFFF"/>
          <w:lang w:eastAsia="zh-CN"/>
        </w:rPr>
        <w:t>均为</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收、支与2023年度相比，减少103.09万元，下降15.2%</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厉行节约，严控经费支出</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r>
        <w:rPr>
          <w:rStyle w:val="11"/>
          <w:rFonts w:hint="eastAsia" w:ascii="Times New Roman" w:hAnsi="Times New Roman" w:eastAsia="方正仿宋_GBK"/>
          <w:b/>
          <w:bCs w:val="0"/>
          <w:color w:val="auto"/>
          <w:sz w:val="32"/>
          <w:szCs w:val="32"/>
          <w:highlight w:val="none"/>
          <w:shd w:val="clear" w:color="auto" w:fill="FFFFFF"/>
          <w:lang w:val="en-US" w:eastAsia="zh-CN"/>
        </w:rPr>
        <w:t>1</w:t>
      </w:r>
      <w:r>
        <w:rPr>
          <w:rStyle w:val="11"/>
          <w:rFonts w:ascii="方正仿宋_GBK" w:hAnsi="方正仿宋_GBK" w:eastAsia="方正仿宋_GBK" w:cs="方正仿宋_GBK"/>
          <w:b/>
          <w:bCs w:val="0"/>
          <w:color w:val="auto"/>
          <w:sz w:val="32"/>
          <w:szCs w:val="32"/>
          <w:highlight w:val="none"/>
          <w:shd w:val="clear" w:color="auto" w:fill="FFFFFF"/>
        </w:rPr>
        <w:t>.收入情况。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年度收入合计</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与2023年度相比，减少103.09万元，下降15.2%</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厉行节约，严控经费支出</w:t>
      </w:r>
      <w:r>
        <w:rPr>
          <w:rFonts w:hint="eastAsia" w:ascii="方正仿宋_GBK" w:hAnsi="方正仿宋_GBK" w:eastAsia="方正仿宋_GBK" w:cs="方正仿宋_GBK"/>
          <w:b w:val="0"/>
          <w:bCs/>
          <w:color w:val="auto"/>
          <w:sz w:val="32"/>
          <w:szCs w:val="32"/>
          <w:highlight w:val="none"/>
          <w:shd w:val="clear" w:color="auto" w:fill="FFFFFF"/>
          <w:lang w:eastAsia="zh-CN"/>
        </w:rPr>
        <w:t>，收入减少</w:t>
      </w:r>
      <w:r>
        <w:rPr>
          <w:rFonts w:ascii="方正仿宋_GBK" w:hAnsi="方正仿宋_GBK" w:eastAsia="方正仿宋_GBK" w:cs="方正仿宋_GBK"/>
          <w:b w:val="0"/>
          <w:bCs/>
          <w:color w:val="auto"/>
          <w:sz w:val="32"/>
          <w:szCs w:val="32"/>
          <w:highlight w:val="none"/>
          <w:shd w:val="clear" w:color="auto" w:fill="FFFFFF"/>
        </w:rPr>
        <w:t>。其中：财政拨款收入</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100.0%</w:t>
      </w:r>
      <w:r>
        <w:rPr>
          <w:rFonts w:ascii="方正仿宋_GBK" w:hAnsi="方正仿宋_GBK" w:eastAsia="方正仿宋_GBK" w:cs="方正仿宋_GBK"/>
          <w:b w:val="0"/>
          <w:bCs/>
          <w:color w:val="auto"/>
          <w:sz w:val="32"/>
          <w:szCs w:val="32"/>
          <w:highlight w:val="none"/>
          <w:shd w:val="clear" w:color="auto" w:fill="FFFFFF"/>
        </w:rPr>
        <w:t>；事业收入</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0.0%</w:t>
      </w:r>
      <w:r>
        <w:rPr>
          <w:rFonts w:ascii="方正仿宋_GBK" w:hAnsi="方正仿宋_GBK" w:eastAsia="方正仿宋_GBK" w:cs="方正仿宋_GBK"/>
          <w:b w:val="0"/>
          <w:bCs/>
          <w:color w:val="auto"/>
          <w:sz w:val="32"/>
          <w:szCs w:val="32"/>
          <w:highlight w:val="none"/>
          <w:shd w:val="clear" w:color="auto" w:fill="FFFFFF"/>
        </w:rPr>
        <w:t>；经营收入</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0.0%</w:t>
      </w:r>
      <w:r>
        <w:rPr>
          <w:rFonts w:ascii="方正仿宋_GBK" w:hAnsi="方正仿宋_GBK" w:eastAsia="方正仿宋_GBK" w:cs="方正仿宋_GBK"/>
          <w:b w:val="0"/>
          <w:bCs/>
          <w:color w:val="auto"/>
          <w:sz w:val="32"/>
          <w:szCs w:val="32"/>
          <w:highlight w:val="none"/>
          <w:shd w:val="clear" w:color="auto" w:fill="FFFFFF"/>
        </w:rPr>
        <w:t>；其他收入</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0.0%</w:t>
      </w:r>
      <w:r>
        <w:rPr>
          <w:rFonts w:ascii="方正仿宋_GBK" w:hAnsi="方正仿宋_GBK" w:eastAsia="方正仿宋_GBK" w:cs="方正仿宋_GBK"/>
          <w:b w:val="0"/>
          <w:bCs/>
          <w:color w:val="auto"/>
          <w:sz w:val="32"/>
          <w:szCs w:val="32"/>
          <w:highlight w:val="none"/>
          <w:shd w:val="clear" w:color="auto" w:fill="FFFFFF"/>
        </w:rPr>
        <w:t>。此外，</w:t>
      </w:r>
      <w:r>
        <w:rPr>
          <w:rFonts w:hint="eastAsia" w:ascii="方正仿宋_GBK" w:hAnsi="方正仿宋_GBK" w:eastAsia="方正仿宋_GBK" w:cs="方正仿宋_GBK"/>
          <w:b w:val="0"/>
          <w:bCs/>
          <w:color w:val="auto"/>
          <w:sz w:val="32"/>
          <w:szCs w:val="32"/>
          <w:highlight w:val="none"/>
          <w:shd w:val="clear" w:color="auto" w:fill="FFFFFF"/>
        </w:rPr>
        <w:t>使用非财政拨款结余（含专用结余）</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万元，年初结转和结余</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r>
        <w:rPr>
          <w:rStyle w:val="11"/>
          <w:rFonts w:hint="eastAsia" w:ascii="Times New Roman" w:hAnsi="Times New Roman" w:eastAsia="方正仿宋_GBK"/>
          <w:b/>
          <w:bCs w:val="0"/>
          <w:color w:val="auto"/>
          <w:sz w:val="32"/>
          <w:szCs w:val="32"/>
          <w:highlight w:val="none"/>
          <w:shd w:val="clear" w:color="auto" w:fill="FFFFFF"/>
          <w:lang w:val="en-US" w:eastAsia="zh-CN"/>
        </w:rPr>
        <w:t>2.支出情况。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年度支出合计</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与2023年度相比，减少103.09万元，下降15.2%</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厉行节约，严控经费支出</w:t>
      </w:r>
      <w:r>
        <w:rPr>
          <w:rFonts w:hint="eastAsia" w:ascii="方正仿宋_GBK" w:hAnsi="方正仿宋_GBK" w:eastAsia="方正仿宋_GBK" w:cs="方正仿宋_GBK"/>
          <w:b w:val="0"/>
          <w:bCs/>
          <w:color w:val="auto"/>
          <w:sz w:val="32"/>
          <w:szCs w:val="32"/>
          <w:highlight w:val="none"/>
          <w:shd w:val="clear" w:color="auto" w:fill="FFFFFF"/>
          <w:lang w:eastAsia="zh-CN"/>
        </w:rPr>
        <w:t>，支出减少</w:t>
      </w:r>
      <w:r>
        <w:rPr>
          <w:rFonts w:ascii="方正仿宋_GBK" w:hAnsi="方正仿宋_GBK" w:eastAsia="方正仿宋_GBK" w:cs="方正仿宋_GBK"/>
          <w:b w:val="0"/>
          <w:bCs/>
          <w:color w:val="auto"/>
          <w:sz w:val="32"/>
          <w:szCs w:val="32"/>
          <w:highlight w:val="none"/>
          <w:shd w:val="clear" w:color="auto" w:fill="FFFFFF"/>
        </w:rPr>
        <w:t>。其中：基本支出</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100.0%</w:t>
      </w:r>
      <w:r>
        <w:rPr>
          <w:rFonts w:ascii="方正仿宋_GBK" w:hAnsi="方正仿宋_GBK" w:eastAsia="方正仿宋_GBK" w:cs="方正仿宋_GBK"/>
          <w:b w:val="0"/>
          <w:bCs/>
          <w:color w:val="auto"/>
          <w:sz w:val="32"/>
          <w:szCs w:val="32"/>
          <w:highlight w:val="none"/>
          <w:shd w:val="clear" w:color="auto" w:fill="FFFFFF"/>
        </w:rPr>
        <w:t>；项目支出</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0.0%</w:t>
      </w:r>
      <w:r>
        <w:rPr>
          <w:rFonts w:ascii="方正仿宋_GBK" w:hAnsi="方正仿宋_GBK" w:eastAsia="方正仿宋_GBK" w:cs="方正仿宋_GBK"/>
          <w:b w:val="0"/>
          <w:bCs/>
          <w:color w:val="auto"/>
          <w:sz w:val="32"/>
          <w:szCs w:val="32"/>
          <w:highlight w:val="none"/>
          <w:shd w:val="clear" w:color="auto" w:fill="FFFFFF"/>
        </w:rPr>
        <w:t>；经营支出</w:t>
      </w:r>
      <w:r>
        <w:rPr>
          <w:rFonts w:hint="default" w:ascii="Times New Roman" w:hAnsi="Times New Roman" w:eastAsia="方正仿宋_GBK"/>
          <w:b w:val="0"/>
          <w:bCs/>
          <w:color w:val="auto"/>
          <w:sz w:val="32"/>
          <w:szCs w:val="32"/>
          <w:highlight w:val="none"/>
        </w:rPr>
        <w:t>0.00</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0.0%</w:t>
      </w:r>
      <w:r>
        <w:rPr>
          <w:rFonts w:ascii="方正仿宋_GBK" w:hAnsi="方正仿宋_GBK" w:eastAsia="方正仿宋_GBK" w:cs="方正仿宋_GBK"/>
          <w:b w:val="0"/>
          <w:bCs/>
          <w:color w:val="auto"/>
          <w:sz w:val="32"/>
          <w:szCs w:val="32"/>
          <w:highlight w:val="none"/>
          <w:shd w:val="clear" w:color="auto" w:fill="FFFFFF"/>
        </w:rPr>
        <w:t>。此外，结余分配</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w:t>
      </w:r>
    </w:p>
    <w:p>
      <w:pPr>
        <w:pStyle w:val="12"/>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ascii="方正仿宋_GBK" w:hAnsi="方正仿宋_GBK" w:eastAsia="方正仿宋_GBK" w:cs="方正仿宋_GBK"/>
          <w:b w:val="0"/>
          <w:bCs/>
          <w:color w:val="auto"/>
          <w:sz w:val="32"/>
          <w:szCs w:val="32"/>
          <w:highlight w:val="none"/>
          <w:shd w:val="clear" w:color="auto" w:fill="FFFFFF"/>
        </w:rPr>
      </w:pPr>
      <w:r>
        <w:rPr>
          <w:rStyle w:val="11"/>
          <w:rFonts w:hint="eastAsia" w:ascii="Times New Roman" w:hAnsi="Times New Roman" w:eastAsia="方正仿宋_GBK" w:cs="Times New Roman"/>
          <w:bCs w:val="0"/>
          <w:color w:val="auto"/>
          <w:sz w:val="32"/>
          <w:szCs w:val="32"/>
          <w:highlight w:val="none"/>
          <w:shd w:val="clear" w:color="auto" w:fill="FFFFFF"/>
          <w:lang w:val="en-US" w:eastAsia="zh-CN" w:bidi="ar-SA"/>
        </w:rPr>
        <w:t>3.结转结余情况。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年度年末结转和结余</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与2023年度相比，无增减</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本单位为全额财政拨款单位，无事业收入和其他收入</w:t>
      </w:r>
      <w:r>
        <w:rPr>
          <w:rFonts w:ascii="方正仿宋_GBK" w:hAnsi="方正仿宋_GBK" w:eastAsia="方正仿宋_GBK" w:cs="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年度财政拨款收、支总计均为</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万元。与</w:t>
      </w:r>
      <w:r>
        <w:rPr>
          <w:rFonts w:hint="default" w:ascii="Times New Roman" w:hAnsi="Times New Roman" w:eastAsia="方正仿宋_GBK"/>
          <w:b w:val="0"/>
          <w:bCs/>
          <w:color w:val="auto"/>
          <w:sz w:val="32"/>
          <w:szCs w:val="32"/>
          <w:highlight w:val="none"/>
          <w:shd w:val="clear" w:color="auto" w:fill="FFFFFF"/>
        </w:rPr>
        <w:t>2023</w:t>
      </w:r>
      <w:r>
        <w:rPr>
          <w:rFonts w:ascii="方正仿宋_GBK" w:hAnsi="方正仿宋_GBK" w:eastAsia="方正仿宋_GBK" w:cs="方正仿宋_GBK"/>
          <w:b w:val="0"/>
          <w:bCs/>
          <w:color w:val="auto"/>
          <w:sz w:val="32"/>
          <w:szCs w:val="32"/>
          <w:highlight w:val="none"/>
          <w:shd w:val="clear" w:color="auto" w:fill="FFFFFF"/>
        </w:rPr>
        <w:t>年</w:t>
      </w:r>
      <w:r>
        <w:rPr>
          <w:rFonts w:hint="eastAsia" w:ascii="方正仿宋_GBK" w:hAnsi="方正仿宋_GBK" w:eastAsia="方正仿宋_GBK" w:cs="方正仿宋_GBK"/>
          <w:b w:val="0"/>
          <w:bCs/>
          <w:color w:val="auto"/>
          <w:sz w:val="32"/>
          <w:szCs w:val="32"/>
          <w:highlight w:val="none"/>
          <w:shd w:val="clear" w:color="auto" w:fill="FFFFFF"/>
          <w:lang w:eastAsia="zh-CN"/>
        </w:rPr>
        <w:t>度</w:t>
      </w:r>
      <w:r>
        <w:rPr>
          <w:rFonts w:ascii="方正仿宋_GBK" w:hAnsi="方正仿宋_GBK" w:eastAsia="方正仿宋_GBK" w:cs="方正仿宋_GBK"/>
          <w:b w:val="0"/>
          <w:bCs/>
          <w:color w:val="auto"/>
          <w:sz w:val="32"/>
          <w:szCs w:val="32"/>
          <w:highlight w:val="none"/>
          <w:shd w:val="clear" w:color="auto" w:fill="FFFFFF"/>
        </w:rPr>
        <w:t>相比，</w:t>
      </w:r>
      <w:r>
        <w:rPr>
          <w:rFonts w:hint="default" w:ascii="Times New Roman" w:hAnsi="Times New Roman" w:eastAsia="方正仿宋_GBK"/>
          <w:b w:val="0"/>
          <w:bCs/>
          <w:color w:val="auto"/>
          <w:sz w:val="32"/>
          <w:szCs w:val="32"/>
          <w:highlight w:val="none"/>
          <w:shd w:val="clear" w:color="auto" w:fill="FFFFFF"/>
        </w:rPr>
        <w:t>财政拨款收、支总计各减少103.09万元，下降15.2%</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厉行节约，严控经费支出</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hint="default" w:ascii="Times New Roman" w:hAnsi="Times New Roman" w:eastAsia="方正仿宋_GBK" w:cs="Times New Roman"/>
          <w:bCs w:val="0"/>
          <w:color w:val="auto"/>
          <w:sz w:val="32"/>
          <w:szCs w:val="32"/>
          <w:highlight w:val="none"/>
          <w:shd w:val="clear" w:color="auto" w:fill="FFFFFF"/>
          <w:lang w:val="en-US" w:eastAsia="zh-CN" w:bidi="ar-SA"/>
        </w:rPr>
        <w:t>1</w:t>
      </w:r>
      <w:r>
        <w:rPr>
          <w:rStyle w:val="11"/>
          <w:rFonts w:hint="eastAsia" w:ascii="Times New Roman" w:hAnsi="Times New Roman" w:eastAsia="方正仿宋_GBK" w:cs="Times New Roman"/>
          <w:bCs w:val="0"/>
          <w:color w:val="auto"/>
          <w:sz w:val="32"/>
          <w:szCs w:val="32"/>
          <w:highlight w:val="none"/>
          <w:shd w:val="clear" w:color="auto" w:fill="FFFFFF"/>
          <w:lang w:val="en-US" w:eastAsia="zh-CN" w:bidi="ar-SA"/>
        </w:rPr>
        <w:t>.收入情况。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年度一般公共预算财政拨款收入</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与2023年度相比，减少103.09万元，下降15.2%</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厉行节约，严控经费支出</w:t>
      </w:r>
      <w:r>
        <w:rPr>
          <w:rFonts w:hint="eastAsia" w:ascii="方正仿宋_GBK" w:hAnsi="方正仿宋_GBK" w:eastAsia="方正仿宋_GBK" w:cs="方正仿宋_GBK"/>
          <w:b w:val="0"/>
          <w:bCs/>
          <w:color w:val="auto"/>
          <w:sz w:val="32"/>
          <w:szCs w:val="32"/>
          <w:highlight w:val="none"/>
          <w:shd w:val="clear" w:color="auto" w:fill="FFFFFF"/>
          <w:lang w:eastAsia="zh-CN"/>
        </w:rPr>
        <w:t>，收入减少</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较年初预算数增加24.45万元，增长4.5%</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lang w:eastAsia="zh-CN"/>
        </w:rPr>
        <w:t>社保基数调整，</w:t>
      </w:r>
      <w:r>
        <w:rPr>
          <w:rFonts w:hint="eastAsia" w:ascii="方正仿宋_GBK" w:hAnsi="方正仿宋_GBK" w:eastAsia="方正仿宋_GBK" w:cs="方正仿宋_GBK"/>
          <w:b w:val="0"/>
          <w:bCs/>
          <w:color w:val="auto"/>
          <w:sz w:val="32"/>
          <w:szCs w:val="32"/>
          <w:highlight w:val="none"/>
          <w:shd w:val="clear" w:color="auto" w:fill="FFFFFF"/>
          <w:lang w:val="en-US" w:eastAsia="zh-CN"/>
        </w:rPr>
        <w:t>薪资调整</w:t>
      </w:r>
      <w:r>
        <w:rPr>
          <w:rFonts w:hint="eastAsia" w:ascii="方正仿宋_GBK" w:hAnsi="方正仿宋_GBK" w:eastAsia="方正仿宋_GBK" w:cs="方正仿宋_GBK"/>
          <w:b w:val="0"/>
          <w:bCs/>
          <w:color w:val="auto"/>
          <w:sz w:val="32"/>
          <w:szCs w:val="32"/>
          <w:highlight w:val="none"/>
          <w:shd w:val="clear" w:color="auto" w:fill="FFFFFF"/>
          <w:lang w:eastAsia="zh-CN"/>
        </w:rPr>
        <w:t>，人员经费增加</w:t>
      </w:r>
      <w:r>
        <w:rPr>
          <w:rFonts w:ascii="方正仿宋_GBK" w:hAnsi="方正仿宋_GBK" w:eastAsia="方正仿宋_GBK" w:cs="方正仿宋_GBK"/>
          <w:b w:val="0"/>
          <w:bCs/>
          <w:color w:val="auto"/>
          <w:sz w:val="32"/>
          <w:szCs w:val="32"/>
          <w:highlight w:val="none"/>
          <w:shd w:val="clear" w:color="auto" w:fill="FFFFFF"/>
        </w:rPr>
        <w:t>。此外，年初财政拨款结转和结余</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Style w:val="11"/>
          <w:rFonts w:hint="default" w:ascii="Times New Roman" w:hAnsi="Times New Roman" w:eastAsia="方正仿宋_GBK" w:cs="Times New Roman"/>
          <w:bCs w:val="0"/>
          <w:color w:val="auto"/>
          <w:sz w:val="32"/>
          <w:szCs w:val="32"/>
          <w:highlight w:val="none"/>
          <w:shd w:val="clear" w:color="auto" w:fill="FFFFFF"/>
          <w:lang w:val="en-US" w:eastAsia="zh-CN" w:bidi="ar-SA"/>
        </w:rPr>
        <w:t>2.支出情况。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年度一般公共预算财政拨款支出</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与2023年度相比，减少103.09万元，下降15.2%</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厉行节约，严控经费支出</w:t>
      </w:r>
      <w:r>
        <w:rPr>
          <w:rFonts w:hint="eastAsia" w:ascii="方正仿宋_GBK" w:hAnsi="方正仿宋_GBK" w:eastAsia="方正仿宋_GBK" w:cs="方正仿宋_GBK"/>
          <w:b w:val="0"/>
          <w:bCs/>
          <w:color w:val="auto"/>
          <w:sz w:val="32"/>
          <w:szCs w:val="32"/>
          <w:highlight w:val="none"/>
          <w:shd w:val="clear" w:color="auto" w:fill="FFFFFF"/>
          <w:lang w:eastAsia="zh-CN"/>
        </w:rPr>
        <w:t>，支出减少</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较年初预算数增加24.45万元，增长4.5%</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lang w:eastAsia="zh-CN"/>
        </w:rPr>
        <w:t>社保基数调标，工资浮动，人员经费增加</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一般公共预算财政拨款支出主要</w:t>
      </w:r>
      <w:r>
        <w:rPr>
          <w:rFonts w:hint="eastAsia" w:ascii="方正仿宋_GBK" w:hAnsi="方正仿宋_GBK" w:eastAsia="方正仿宋_GBK" w:cs="方正仿宋_GBK"/>
          <w:b w:val="0"/>
          <w:bCs/>
          <w:color w:val="auto"/>
          <w:sz w:val="32"/>
          <w:szCs w:val="32"/>
          <w:highlight w:val="none"/>
          <w:shd w:val="clear" w:color="auto" w:fill="FFFFFF"/>
          <w:lang w:eastAsia="zh-CN"/>
        </w:rPr>
        <w:t>用途如下</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1</w:t>
      </w:r>
      <w:r>
        <w:rPr>
          <w:rFonts w:ascii="方正仿宋_GBK" w:hAnsi="方正仿宋_GBK" w:eastAsia="方正仿宋_GBK" w:cs="方正仿宋_GBK"/>
          <w:b w:val="0"/>
          <w:bCs/>
          <w:color w:val="auto"/>
          <w:sz w:val="32"/>
          <w:szCs w:val="32"/>
          <w:highlight w:val="none"/>
          <w:shd w:val="clear" w:color="auto" w:fill="FFFFFF"/>
        </w:rPr>
        <w:t>）教育支出</w:t>
      </w:r>
      <w:r>
        <w:rPr>
          <w:rFonts w:hint="default" w:ascii="Times New Roman" w:hAnsi="Times New Roman" w:eastAsia="方正仿宋_GBK"/>
          <w:b w:val="0"/>
          <w:bCs/>
          <w:color w:val="auto"/>
          <w:sz w:val="32"/>
          <w:szCs w:val="32"/>
          <w:highlight w:val="none"/>
          <w:shd w:val="clear" w:color="auto" w:fill="FFFFFF"/>
        </w:rPr>
        <w:t>2.74</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0.5%</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2</w:t>
      </w:r>
      <w:r>
        <w:rPr>
          <w:rFonts w:ascii="方正仿宋_GBK" w:hAnsi="方正仿宋_GBK" w:eastAsia="方正仿宋_GBK" w:cs="方正仿宋_GBK"/>
          <w:b w:val="0"/>
          <w:bCs/>
          <w:color w:val="auto"/>
          <w:sz w:val="32"/>
          <w:szCs w:val="32"/>
          <w:highlight w:val="none"/>
          <w:shd w:val="clear" w:color="auto" w:fill="FFFFFF"/>
        </w:rPr>
        <w:t>）社会保障</w:t>
      </w:r>
      <w:r>
        <w:rPr>
          <w:rFonts w:hint="eastAsia" w:ascii="方正仿宋_GBK" w:hAnsi="方正仿宋_GBK" w:eastAsia="方正仿宋_GBK" w:cs="方正仿宋_GBK"/>
          <w:b w:val="0"/>
          <w:bCs/>
          <w:color w:val="auto"/>
          <w:sz w:val="32"/>
          <w:szCs w:val="32"/>
          <w:highlight w:val="none"/>
          <w:shd w:val="clear" w:color="auto" w:fill="FFFFFF"/>
          <w:lang w:eastAsia="zh-CN"/>
        </w:rPr>
        <w:t>和</w:t>
      </w:r>
      <w:r>
        <w:rPr>
          <w:rFonts w:ascii="方正仿宋_GBK" w:hAnsi="方正仿宋_GBK" w:eastAsia="方正仿宋_GBK" w:cs="方正仿宋_GBK"/>
          <w:b w:val="0"/>
          <w:bCs/>
          <w:color w:val="auto"/>
          <w:sz w:val="32"/>
          <w:szCs w:val="32"/>
          <w:highlight w:val="none"/>
          <w:shd w:val="clear" w:color="auto" w:fill="FFFFFF"/>
        </w:rPr>
        <w:t>就业支出</w:t>
      </w:r>
      <w:r>
        <w:rPr>
          <w:rFonts w:hint="default" w:ascii="Times New Roman" w:hAnsi="Times New Roman" w:eastAsia="方正仿宋_GBK"/>
          <w:b w:val="0"/>
          <w:bCs/>
          <w:color w:val="auto"/>
          <w:sz w:val="32"/>
          <w:szCs w:val="32"/>
          <w:highlight w:val="none"/>
          <w:shd w:val="clear" w:color="auto" w:fill="FFFFFF"/>
        </w:rPr>
        <w:t>133.99</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23.3%</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较年初预算数增加26.72万元，增长24.9%</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社保基数调标，</w:t>
      </w:r>
      <w:r>
        <w:rPr>
          <w:rFonts w:hint="eastAsia" w:ascii="方正仿宋_GBK" w:hAnsi="方正仿宋_GBK" w:eastAsia="方正仿宋_GBK" w:cs="方正仿宋_GBK"/>
          <w:b w:val="0"/>
          <w:bCs/>
          <w:color w:val="auto"/>
          <w:sz w:val="32"/>
          <w:szCs w:val="32"/>
          <w:highlight w:val="none"/>
          <w:shd w:val="clear" w:color="auto" w:fill="FFFFFF"/>
          <w:lang w:eastAsia="zh-CN"/>
        </w:rPr>
        <w:t>相应</w:t>
      </w:r>
      <w:r>
        <w:rPr>
          <w:rFonts w:hint="eastAsia" w:ascii="方正仿宋_GBK" w:hAnsi="方正仿宋_GBK" w:eastAsia="方正仿宋_GBK" w:cs="方正仿宋_GBK"/>
          <w:b w:val="0"/>
          <w:bCs/>
          <w:color w:val="auto"/>
          <w:sz w:val="32"/>
          <w:szCs w:val="32"/>
          <w:highlight w:val="none"/>
          <w:shd w:val="clear" w:color="auto" w:fill="FFFFFF"/>
        </w:rPr>
        <w:t>经费增加</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3</w:t>
      </w:r>
      <w:r>
        <w:rPr>
          <w:rFonts w:ascii="方正仿宋_GBK" w:hAnsi="方正仿宋_GBK" w:eastAsia="方正仿宋_GBK" w:cs="方正仿宋_GBK"/>
          <w:b w:val="0"/>
          <w:bCs/>
          <w:color w:val="auto"/>
          <w:sz w:val="32"/>
          <w:szCs w:val="32"/>
          <w:highlight w:val="none"/>
          <w:shd w:val="clear" w:color="auto" w:fill="FFFFFF"/>
        </w:rPr>
        <w:t>）卫生健康支出</w:t>
      </w:r>
      <w:r>
        <w:rPr>
          <w:rFonts w:hint="default" w:ascii="Times New Roman" w:hAnsi="Times New Roman" w:eastAsia="方正仿宋_GBK"/>
          <w:b w:val="0"/>
          <w:bCs/>
          <w:color w:val="auto"/>
          <w:sz w:val="32"/>
          <w:szCs w:val="32"/>
          <w:highlight w:val="none"/>
          <w:shd w:val="clear" w:color="auto" w:fill="FFFFFF"/>
        </w:rPr>
        <w:t>20.85</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3.6%</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4</w:t>
      </w:r>
      <w:r>
        <w:rPr>
          <w:rFonts w:ascii="方正仿宋_GBK" w:hAnsi="方正仿宋_GBK" w:eastAsia="方正仿宋_GBK" w:cs="方正仿宋_GBK"/>
          <w:b w:val="0"/>
          <w:bCs/>
          <w:color w:val="auto"/>
          <w:sz w:val="32"/>
          <w:szCs w:val="32"/>
          <w:highlight w:val="none"/>
          <w:shd w:val="clear" w:color="auto" w:fill="FFFFFF"/>
        </w:rPr>
        <w:t>）农林水支出</w:t>
      </w:r>
      <w:r>
        <w:rPr>
          <w:rFonts w:hint="default" w:ascii="Times New Roman" w:hAnsi="Times New Roman" w:eastAsia="方正仿宋_GBK"/>
          <w:b w:val="0"/>
          <w:bCs/>
          <w:color w:val="auto"/>
          <w:sz w:val="32"/>
          <w:szCs w:val="32"/>
          <w:highlight w:val="none"/>
          <w:shd w:val="clear" w:color="auto" w:fill="FFFFFF"/>
        </w:rPr>
        <w:t>394.56</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68.7%</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较年初预算数减少2.27万元，下降0.6%</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本年度退休1名</w:t>
      </w:r>
      <w:r>
        <w:rPr>
          <w:rFonts w:hint="eastAsia" w:ascii="方正仿宋_GBK" w:hAnsi="方正仿宋_GBK" w:eastAsia="方正仿宋_GBK" w:cs="方正仿宋_GBK"/>
          <w:b w:val="0"/>
          <w:bCs/>
          <w:color w:val="auto"/>
          <w:sz w:val="32"/>
          <w:szCs w:val="32"/>
          <w:highlight w:val="none"/>
          <w:shd w:val="clear" w:color="auto" w:fill="FFFFFF"/>
          <w:lang w:eastAsia="zh-CN"/>
        </w:rPr>
        <w:t>职工，</w:t>
      </w:r>
      <w:r>
        <w:rPr>
          <w:rFonts w:hint="eastAsia" w:ascii="方正仿宋_GBK" w:hAnsi="方正仿宋_GBK" w:eastAsia="方正仿宋_GBK" w:cs="方正仿宋_GBK"/>
          <w:b w:val="0"/>
          <w:bCs/>
          <w:color w:val="auto"/>
          <w:sz w:val="32"/>
          <w:szCs w:val="32"/>
          <w:highlight w:val="none"/>
          <w:shd w:val="clear" w:color="auto" w:fill="FFFFFF"/>
        </w:rPr>
        <w:t>调离1名职工</w:t>
      </w:r>
      <w:r>
        <w:rPr>
          <w:rFonts w:hint="eastAsia" w:ascii="方正仿宋_GBK" w:hAnsi="方正仿宋_GBK" w:eastAsia="方正仿宋_GBK" w:cs="方正仿宋_GBK"/>
          <w:b w:val="0"/>
          <w:bCs/>
          <w:color w:val="auto"/>
          <w:sz w:val="32"/>
          <w:szCs w:val="32"/>
          <w:highlight w:val="none"/>
          <w:shd w:val="clear" w:color="auto" w:fill="FFFFFF"/>
          <w:lang w:eastAsia="zh-CN"/>
        </w:rPr>
        <w:t>，相应</w:t>
      </w:r>
      <w:r>
        <w:rPr>
          <w:rFonts w:hint="eastAsia" w:ascii="方正仿宋_GBK" w:hAnsi="方正仿宋_GBK" w:eastAsia="方正仿宋_GBK" w:cs="方正仿宋_GBK"/>
          <w:b w:val="0"/>
          <w:bCs/>
          <w:color w:val="auto"/>
          <w:sz w:val="32"/>
          <w:szCs w:val="32"/>
          <w:highlight w:val="none"/>
          <w:shd w:val="clear" w:color="auto" w:fill="FFFFFF"/>
        </w:rPr>
        <w:t>经费减少</w:t>
      </w:r>
      <w:r>
        <w:rPr>
          <w:rFonts w:ascii="方正仿宋_GBK" w:hAnsi="方正仿宋_GBK" w:eastAsia="方正仿宋_GBK" w:cs="方正仿宋_GBK"/>
          <w:b w:val="0"/>
          <w:bCs/>
          <w:color w:val="auto"/>
          <w:sz w:val="32"/>
          <w:szCs w:val="32"/>
          <w:highlight w:val="none"/>
          <w:shd w:val="clear" w:color="auto" w:fill="FFFFFF"/>
        </w:rPr>
        <w:t>。</w:t>
      </w:r>
    </w:p>
    <w:p>
      <w:pPr>
        <w:keepNext w:val="0"/>
        <w:keepLines w:val="0"/>
        <w:pageBreakBefore w:val="0"/>
        <w:widowControl/>
        <w:kinsoku/>
        <w:wordWrap/>
        <w:overflowPunct/>
        <w:topLinePunct w:val="0"/>
        <w:autoSpaceDN/>
        <w:bidi w:val="0"/>
        <w:adjustRightInd/>
        <w:spacing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w:t>
      </w:r>
      <w:r>
        <w:rPr>
          <w:rFonts w:hint="eastAsia" w:ascii="Times New Roman" w:hAnsi="Times New Roman" w:eastAsia="方正仿宋_GBK"/>
          <w:b w:val="0"/>
          <w:bCs/>
          <w:color w:val="auto"/>
          <w:sz w:val="32"/>
          <w:szCs w:val="32"/>
          <w:highlight w:val="none"/>
          <w:shd w:val="clear" w:color="auto" w:fill="FFFFFF"/>
          <w:lang w:val="en-US" w:eastAsia="zh-CN"/>
        </w:rPr>
        <w:t>5</w:t>
      </w:r>
      <w:r>
        <w:rPr>
          <w:rFonts w:ascii="方正仿宋_GBK" w:hAnsi="方正仿宋_GBK" w:eastAsia="方正仿宋_GBK" w:cs="方正仿宋_GBK"/>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rPr>
        <w:t>住房保障支出</w:t>
      </w:r>
      <w:r>
        <w:rPr>
          <w:rFonts w:hint="default" w:ascii="Times New Roman" w:hAnsi="Times New Roman" w:eastAsia="方正仿宋_GBK"/>
          <w:b w:val="0"/>
          <w:bCs/>
          <w:color w:val="auto"/>
          <w:sz w:val="32"/>
          <w:szCs w:val="32"/>
          <w:highlight w:val="none"/>
          <w:shd w:val="clear" w:color="auto" w:fill="FFFFFF"/>
        </w:rPr>
        <w:t>21.89</w:t>
      </w:r>
      <w:r>
        <w:rPr>
          <w:rFonts w:ascii="方正仿宋_GBK" w:hAnsi="方正仿宋_GBK" w:eastAsia="方正仿宋_GBK" w:cs="方正仿宋_GBK"/>
          <w:b w:val="0"/>
          <w:bCs/>
          <w:color w:val="auto"/>
          <w:sz w:val="32"/>
          <w:szCs w:val="32"/>
          <w:highlight w:val="none"/>
          <w:shd w:val="clear" w:color="auto" w:fill="FFFFFF"/>
        </w:rPr>
        <w:t>万元，占</w:t>
      </w:r>
      <w:r>
        <w:rPr>
          <w:rFonts w:hint="default" w:ascii="Times New Roman" w:hAnsi="Times New Roman" w:eastAsia="方正仿宋_GBK"/>
          <w:b w:val="0"/>
          <w:bCs/>
          <w:color w:val="auto"/>
          <w:sz w:val="32"/>
          <w:szCs w:val="32"/>
          <w:highlight w:val="none"/>
          <w:shd w:val="clear" w:color="auto" w:fill="FFFFFF"/>
        </w:rPr>
        <w:t>3.8%</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Style w:val="11"/>
          <w:rFonts w:hint="default" w:ascii="Times New Roman" w:hAnsi="Times New Roman" w:eastAsia="方正仿宋_GBK" w:cs="Times New Roman"/>
          <w:bCs w:val="0"/>
          <w:color w:val="auto"/>
          <w:sz w:val="32"/>
          <w:szCs w:val="32"/>
          <w:highlight w:val="none"/>
          <w:shd w:val="clear" w:color="auto" w:fill="FFFFFF"/>
          <w:lang w:val="en-US" w:eastAsia="zh-CN" w:bidi="ar-SA"/>
        </w:rPr>
        <w:t>3.结转结余情况。</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年度年末一般公共预算财政拨款结转和结余</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与2023年度相比，无增减</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本单位为全额财政拨款单位，无结转结余</w:t>
      </w:r>
      <w:r>
        <w:rPr>
          <w:rFonts w:ascii="方正仿宋_GBK" w:hAnsi="方正仿宋_GBK" w:eastAsia="方正仿宋_GBK" w:cs="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年度一般公共财政拨款基本支出</w:t>
      </w:r>
      <w:r>
        <w:rPr>
          <w:rFonts w:hint="default" w:ascii="Times New Roman" w:hAnsi="Times New Roman" w:eastAsia="方正仿宋_GBK"/>
          <w:b w:val="0"/>
          <w:bCs/>
          <w:color w:val="auto"/>
          <w:sz w:val="32"/>
          <w:szCs w:val="32"/>
          <w:highlight w:val="none"/>
          <w:shd w:val="clear" w:color="auto" w:fill="FFFFFF"/>
        </w:rPr>
        <w:t>574.03</w:t>
      </w:r>
      <w:r>
        <w:rPr>
          <w:rFonts w:ascii="方正仿宋_GBK" w:hAnsi="方正仿宋_GBK" w:eastAsia="方正仿宋_GBK" w:cs="方正仿宋_GBK"/>
          <w:b w:val="0"/>
          <w:bCs/>
          <w:color w:val="auto"/>
          <w:sz w:val="32"/>
          <w:szCs w:val="32"/>
          <w:highlight w:val="none"/>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b w:val="0"/>
          <w:bCs/>
          <w:color w:val="auto"/>
          <w:sz w:val="32"/>
          <w:szCs w:val="32"/>
          <w:highlight w:val="none"/>
          <w:shd w:val="clear" w:color="auto" w:fill="FFFFFF"/>
        </w:rPr>
      </w:pPr>
      <w:r>
        <w:rPr>
          <w:rFonts w:ascii="方正仿宋_GBK" w:hAnsi="方正仿宋_GBK" w:eastAsia="方正仿宋_GBK" w:cs="方正仿宋_GBK"/>
          <w:b w:val="0"/>
          <w:bCs/>
          <w:color w:val="auto"/>
          <w:sz w:val="32"/>
          <w:szCs w:val="32"/>
          <w:highlight w:val="none"/>
          <w:shd w:val="clear" w:color="auto" w:fill="FFFFFF"/>
        </w:rPr>
        <w:t>其中：人员经费</w:t>
      </w:r>
      <w:r>
        <w:rPr>
          <w:rFonts w:hint="default" w:ascii="Times New Roman" w:hAnsi="Times New Roman" w:eastAsia="方正仿宋_GBK"/>
          <w:b w:val="0"/>
          <w:bCs/>
          <w:color w:val="auto"/>
          <w:sz w:val="32"/>
          <w:szCs w:val="32"/>
          <w:highlight w:val="none"/>
          <w:shd w:val="clear" w:color="auto" w:fill="FFFFFF"/>
        </w:rPr>
        <w:t>482.65</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与2023年度相比，减少97.66万元，下降16.8%</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本年度退休1名职工，调离1名职工，</w:t>
      </w:r>
      <w:r>
        <w:rPr>
          <w:rFonts w:hint="eastAsia" w:ascii="方正仿宋_GBK" w:hAnsi="方正仿宋_GBK" w:eastAsia="方正仿宋_GBK" w:cs="方正仿宋_GBK"/>
          <w:b w:val="0"/>
          <w:bCs/>
          <w:color w:val="auto"/>
          <w:sz w:val="32"/>
          <w:szCs w:val="32"/>
          <w:highlight w:val="none"/>
          <w:shd w:val="clear" w:color="auto" w:fill="FFFFFF"/>
          <w:lang w:eastAsia="zh-CN"/>
        </w:rPr>
        <w:t>人员</w:t>
      </w:r>
      <w:r>
        <w:rPr>
          <w:rFonts w:hint="eastAsia" w:ascii="方正仿宋_GBK" w:hAnsi="方正仿宋_GBK" w:eastAsia="方正仿宋_GBK" w:cs="方正仿宋_GBK"/>
          <w:b w:val="0"/>
          <w:bCs/>
          <w:color w:val="auto"/>
          <w:sz w:val="32"/>
          <w:szCs w:val="32"/>
          <w:highlight w:val="none"/>
          <w:shd w:val="clear" w:color="auto" w:fill="FFFFFF"/>
        </w:rPr>
        <w:t>经费减少</w:t>
      </w:r>
      <w:r>
        <w:rPr>
          <w:rFonts w:ascii="方正仿宋_GBK" w:hAnsi="方正仿宋_GBK" w:eastAsia="方正仿宋_GBK" w:cs="方正仿宋_GBK"/>
          <w:b w:val="0"/>
          <w:bCs/>
          <w:color w:val="auto"/>
          <w:sz w:val="32"/>
          <w:szCs w:val="32"/>
          <w:highlight w:val="none"/>
          <w:shd w:val="clear" w:color="auto" w:fill="FFFFFF"/>
        </w:rPr>
        <w:t>。人员经费用途主要包括</w:t>
      </w:r>
      <w:r>
        <w:rPr>
          <w:rFonts w:hint="eastAsia" w:ascii="方正仿宋_GBK" w:hAnsi="方正仿宋_GBK" w:eastAsia="方正仿宋_GBK" w:cs="方正仿宋_GBK"/>
          <w:b w:val="0"/>
          <w:bCs/>
          <w:color w:val="auto"/>
          <w:sz w:val="32"/>
          <w:szCs w:val="32"/>
          <w:highlight w:val="none"/>
          <w:shd w:val="clear" w:color="auto" w:fill="FFFFFF"/>
        </w:rPr>
        <w:t>括基本工资、津贴补贴、奖金、其他工资福利（包括临聘人员工资、绩效考核、应休未休年休假补助、公务员平时考核奖励金）、住房公积金</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公用经费</w:t>
      </w:r>
      <w:r>
        <w:rPr>
          <w:rFonts w:hint="default" w:ascii="Times New Roman" w:hAnsi="Times New Roman" w:eastAsia="方正仿宋_GBK"/>
          <w:b w:val="0"/>
          <w:bCs/>
          <w:color w:val="auto"/>
          <w:sz w:val="32"/>
          <w:szCs w:val="32"/>
          <w:highlight w:val="none"/>
          <w:shd w:val="clear" w:color="auto" w:fill="FFFFFF"/>
        </w:rPr>
        <w:t>91.38</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与2023年度相比，减少5.43万元，下降5.6%</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厉行节约，严控经费支出</w:t>
      </w:r>
      <w:r>
        <w:rPr>
          <w:rFonts w:ascii="方正仿宋_GBK" w:hAnsi="方正仿宋_GBK" w:eastAsia="方正仿宋_GBK" w:cs="方正仿宋_GBK"/>
          <w:b w:val="0"/>
          <w:bCs/>
          <w:color w:val="auto"/>
          <w:sz w:val="32"/>
          <w:szCs w:val="32"/>
          <w:highlight w:val="none"/>
          <w:shd w:val="clear" w:color="auto" w:fill="FFFFFF"/>
        </w:rPr>
        <w:t>。公用经费用途主要包括</w:t>
      </w:r>
      <w:r>
        <w:rPr>
          <w:rFonts w:hint="eastAsia" w:ascii="方正仿宋_GBK" w:hAnsi="方正仿宋_GBK" w:eastAsia="方正仿宋_GBK" w:cs="方正仿宋_GBK"/>
          <w:b w:val="0"/>
          <w:bCs/>
          <w:color w:val="auto"/>
          <w:sz w:val="32"/>
          <w:szCs w:val="32"/>
          <w:highlight w:val="none"/>
          <w:shd w:val="clear" w:color="auto" w:fill="FFFFFF"/>
        </w:rPr>
        <w:t>新增编制外长聘人员支出增加。公用经费用途主要包括办公费、印刷费、水费、电费、邮电费、差旅费、维修（护）费、会议费、培训费、公务接待费、专用材料费、劳务费、工会经费、公务车用车运行维护费、其他交通费用</w:t>
      </w:r>
      <w:r>
        <w:rPr>
          <w:rFonts w:ascii="方正仿宋_GBK" w:hAnsi="方正仿宋_GBK" w:eastAsia="方正仿宋_GBK" w:cs="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r>
        <w:rPr>
          <w:rFonts w:hint="eastAsia" w:ascii="方正仿宋_GBK" w:hAnsi="方正仿宋_GBK" w:eastAsia="方正仿宋_GBK" w:cs="方正仿宋_GBK"/>
          <w:b w:val="0"/>
          <w:bCs/>
          <w:color w:val="auto"/>
          <w:sz w:val="32"/>
          <w:szCs w:val="32"/>
          <w:highlight w:val="none"/>
          <w:shd w:val="clear" w:color="auto" w:fill="FFFFFF"/>
        </w:rPr>
        <w:t>本</w:t>
      </w:r>
      <w:r>
        <w:rPr>
          <w:rFonts w:hint="eastAsia" w:ascii="方正仿宋_GBK" w:hAnsi="方正仿宋_GBK" w:eastAsia="方正仿宋_GBK" w:cs="方正仿宋_GBK"/>
          <w:b w:val="0"/>
          <w:bCs/>
          <w:color w:val="auto"/>
          <w:sz w:val="32"/>
          <w:szCs w:val="32"/>
          <w:highlight w:val="none"/>
          <w:shd w:val="clear" w:color="auto" w:fill="FFFFFF"/>
          <w:lang w:eastAsia="zh-CN"/>
        </w:rPr>
        <w:t>单位</w:t>
      </w:r>
      <w:r>
        <w:rPr>
          <w:rFonts w:hint="default" w:ascii="方正仿宋_GBK" w:hAnsi="方正仿宋_GBK" w:eastAsia="方正仿宋_GBK" w:cs="方正仿宋_GBK"/>
          <w:b w:val="0"/>
          <w:bCs/>
          <w:color w:val="auto"/>
          <w:sz w:val="32"/>
          <w:szCs w:val="32"/>
          <w:highlight w:val="none"/>
          <w:shd w:val="clear" w:color="auto" w:fill="FFFFFF"/>
        </w:rPr>
        <w:t>2024</w:t>
      </w:r>
      <w:r>
        <w:rPr>
          <w:rFonts w:hint="eastAsia" w:ascii="方正仿宋_GBK" w:hAnsi="方正仿宋_GBK" w:eastAsia="方正仿宋_GBK" w:cs="方正仿宋_GBK"/>
          <w:b w:val="0"/>
          <w:bCs/>
          <w:color w:val="auto"/>
          <w:sz w:val="32"/>
          <w:szCs w:val="32"/>
          <w:highlight w:val="none"/>
          <w:shd w:val="clear" w:color="auto" w:fill="FFFFFF"/>
        </w:rPr>
        <w:t>年度无政府性基金预算财政拨款收支。</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r>
        <w:rPr>
          <w:rFonts w:hint="eastAsia" w:ascii="方正仿宋_GBK" w:hAnsi="方正仿宋_GBK" w:eastAsia="方正仿宋_GBK" w:cs="方正仿宋_GBK"/>
          <w:b w:val="0"/>
          <w:bCs/>
          <w:color w:val="auto"/>
          <w:sz w:val="32"/>
          <w:szCs w:val="32"/>
          <w:highlight w:val="none"/>
          <w:shd w:val="clear" w:color="auto" w:fill="FFFFFF"/>
        </w:rPr>
        <w:t>本</w:t>
      </w:r>
      <w:r>
        <w:rPr>
          <w:rFonts w:hint="eastAsia" w:ascii="方正仿宋_GBK" w:hAnsi="方正仿宋_GBK" w:eastAsia="方正仿宋_GBK" w:cs="方正仿宋_GBK"/>
          <w:b w:val="0"/>
          <w:bCs/>
          <w:color w:val="auto"/>
          <w:sz w:val="32"/>
          <w:szCs w:val="32"/>
          <w:highlight w:val="none"/>
          <w:shd w:val="clear" w:color="auto" w:fill="FFFFFF"/>
          <w:lang w:eastAsia="zh-CN"/>
        </w:rPr>
        <w:t>单位</w:t>
      </w:r>
      <w:r>
        <w:rPr>
          <w:rFonts w:hint="default" w:ascii="方正仿宋_GBK" w:hAnsi="方正仿宋_GBK" w:eastAsia="方正仿宋_GBK" w:cs="方正仿宋_GBK"/>
          <w:b w:val="0"/>
          <w:bCs/>
          <w:color w:val="auto"/>
          <w:sz w:val="32"/>
          <w:szCs w:val="32"/>
          <w:highlight w:val="none"/>
          <w:shd w:val="clear" w:color="auto" w:fill="FFFFFF"/>
        </w:rPr>
        <w:t>2024</w:t>
      </w:r>
      <w:r>
        <w:rPr>
          <w:rFonts w:hint="eastAsia" w:ascii="方正仿宋_GBK" w:hAnsi="方正仿宋_GBK" w:eastAsia="方正仿宋_GBK" w:cs="方正仿宋_GBK"/>
          <w:b w:val="0"/>
          <w:bCs/>
          <w:color w:val="auto"/>
          <w:sz w:val="32"/>
          <w:szCs w:val="32"/>
          <w:highlight w:val="none"/>
          <w:shd w:val="clear" w:color="auto" w:fill="FFFFFF"/>
        </w:rPr>
        <w:t>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黑体" w:hAnsi="黑体" w:eastAsia="黑体" w:cs="黑体"/>
          <w:b w:val="0"/>
          <w:bCs/>
          <w:color w:val="auto"/>
          <w:sz w:val="32"/>
          <w:szCs w:val="32"/>
          <w:highlight w:val="none"/>
          <w:shd w:val="clear" w:color="auto" w:fill="FFFFFF"/>
        </w:rPr>
      </w:pPr>
      <w:r>
        <w:rPr>
          <w:rStyle w:val="11"/>
          <w:rFonts w:ascii="黑体" w:hAnsi="黑体" w:eastAsia="黑体" w:cs="黑体"/>
          <w:b w:val="0"/>
          <w:bCs/>
          <w:color w:val="auto"/>
          <w:sz w:val="32"/>
          <w:szCs w:val="32"/>
          <w:highlight w:val="none"/>
          <w:shd w:val="clear" w:color="auto" w:fill="FFFFFF"/>
        </w:rPr>
        <w:t>三、</w:t>
      </w:r>
      <w:r>
        <w:rPr>
          <w:rStyle w:val="11"/>
          <w:rFonts w:hint="eastAsia" w:ascii="黑体" w:hAnsi="黑体" w:eastAsia="黑体" w:cs="黑体"/>
          <w:b w:val="0"/>
          <w:bCs/>
          <w:color w:val="auto"/>
          <w:sz w:val="32"/>
          <w:szCs w:val="32"/>
          <w:highlight w:val="none"/>
          <w:shd w:val="clear" w:color="auto" w:fill="FFFFFF"/>
          <w:lang w:eastAsia="zh-CN"/>
        </w:rPr>
        <w:t>财政拨款</w:t>
      </w:r>
      <w:r>
        <w:rPr>
          <w:rStyle w:val="11"/>
          <w:rFonts w:ascii="黑体" w:hAnsi="黑体" w:eastAsia="黑体" w:cs="黑体"/>
          <w:b w:val="0"/>
          <w:bCs/>
          <w:color w:val="auto"/>
          <w:sz w:val="32"/>
          <w:szCs w:val="32"/>
          <w:highlight w:val="none"/>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年度“三公”经费支出共计</w:t>
      </w:r>
      <w:r>
        <w:rPr>
          <w:rFonts w:hint="default" w:ascii="Times New Roman" w:hAnsi="Times New Roman" w:eastAsia="方正仿宋_GBK"/>
          <w:b w:val="0"/>
          <w:bCs/>
          <w:color w:val="auto"/>
          <w:sz w:val="32"/>
          <w:szCs w:val="32"/>
          <w:highlight w:val="none"/>
          <w:shd w:val="clear" w:color="auto" w:fill="FFFFFF"/>
        </w:rPr>
        <w:t>2.50</w:t>
      </w:r>
      <w:r>
        <w:rPr>
          <w:rFonts w:ascii="方正仿宋_GBK" w:hAnsi="方正仿宋_GBK" w:eastAsia="方正仿宋_GBK" w:cs="方正仿宋_GBK"/>
          <w:b w:val="0"/>
          <w:bCs/>
          <w:color w:val="auto"/>
          <w:sz w:val="32"/>
          <w:szCs w:val="32"/>
          <w:highlight w:val="none"/>
          <w:shd w:val="clear" w:color="auto" w:fill="FFFFFF"/>
        </w:rPr>
        <w:t>万元，</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较上年支出数增加2.50万元，增长100.0%</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lang w:eastAsia="zh-CN"/>
        </w:rPr>
        <w:t>本单位本年度新增一辆公务车辆，公务用车运行维护费增加</w:t>
      </w:r>
      <w:r>
        <w:rPr>
          <w:rFonts w:ascii="方正仿宋_GBK" w:hAnsi="方正仿宋_GBK" w:eastAsia="方正仿宋_GBK" w:cs="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年度本</w:t>
      </w:r>
      <w:r>
        <w:rPr>
          <w:rFonts w:hint="eastAsia" w:ascii="方正仿宋_GBK" w:hAnsi="方正仿宋_GBK" w:eastAsia="方正仿宋_GBK" w:cs="方正仿宋_GBK"/>
          <w:b w:val="0"/>
          <w:bCs/>
          <w:color w:val="auto"/>
          <w:sz w:val="32"/>
          <w:szCs w:val="32"/>
          <w:highlight w:val="none"/>
          <w:shd w:val="clear" w:color="auto" w:fill="FFFFFF"/>
          <w:lang w:eastAsia="zh-CN"/>
        </w:rPr>
        <w:t>单位</w:t>
      </w:r>
      <w:r>
        <w:rPr>
          <w:rFonts w:ascii="方正仿宋_GBK" w:hAnsi="方正仿宋_GBK" w:eastAsia="方正仿宋_GBK" w:cs="方正仿宋_GBK"/>
          <w:b w:val="0"/>
          <w:bCs/>
          <w:color w:val="auto"/>
          <w:sz w:val="32"/>
          <w:szCs w:val="32"/>
          <w:highlight w:val="none"/>
          <w:shd w:val="clear" w:color="auto" w:fill="FFFFFF"/>
        </w:rPr>
        <w:t>因公出国（境）费用</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万元。费用支出</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较上年支出数无增减</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本单位202</w:t>
      </w:r>
      <w:r>
        <w:rPr>
          <w:rFonts w:hint="eastAsia" w:ascii="方正仿宋_GBK" w:hAnsi="方正仿宋_GBK" w:eastAsia="方正仿宋_GBK" w:cs="方正仿宋_GBK"/>
          <w:b w:val="0"/>
          <w:bCs/>
          <w:color w:val="auto"/>
          <w:sz w:val="32"/>
          <w:szCs w:val="32"/>
          <w:highlight w:val="none"/>
          <w:shd w:val="clear" w:color="auto" w:fill="FFFFFF"/>
          <w:lang w:val="en-US" w:eastAsia="zh-CN"/>
        </w:rPr>
        <w:t>4</w:t>
      </w:r>
      <w:r>
        <w:rPr>
          <w:rFonts w:hint="eastAsia" w:ascii="方正仿宋_GBK" w:hAnsi="方正仿宋_GBK" w:eastAsia="方正仿宋_GBK" w:cs="方正仿宋_GBK"/>
          <w:b w:val="0"/>
          <w:bCs/>
          <w:color w:val="auto"/>
          <w:sz w:val="32"/>
          <w:szCs w:val="32"/>
          <w:highlight w:val="none"/>
          <w:shd w:val="clear" w:color="auto" w:fill="FFFFFF"/>
        </w:rPr>
        <w:t>年度未发生因公出国（境）费用</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公务</w:t>
      </w:r>
      <w:r>
        <w:rPr>
          <w:rFonts w:hint="eastAsia" w:ascii="方正仿宋_GBK" w:hAnsi="方正仿宋_GBK" w:eastAsia="方正仿宋_GBK" w:cs="方正仿宋_GBK"/>
          <w:b w:val="0"/>
          <w:bCs/>
          <w:color w:val="auto"/>
          <w:sz w:val="32"/>
          <w:szCs w:val="32"/>
          <w:highlight w:val="none"/>
          <w:shd w:val="clear" w:color="auto" w:fill="FFFFFF"/>
          <w:lang w:eastAsia="zh-CN"/>
        </w:rPr>
        <w:t>用</w:t>
      </w:r>
      <w:r>
        <w:rPr>
          <w:rFonts w:ascii="方正仿宋_GBK" w:hAnsi="方正仿宋_GBK" w:eastAsia="方正仿宋_GBK" w:cs="方正仿宋_GBK"/>
          <w:b w:val="0"/>
          <w:bCs/>
          <w:color w:val="auto"/>
          <w:sz w:val="32"/>
          <w:szCs w:val="32"/>
          <w:highlight w:val="none"/>
          <w:shd w:val="clear" w:color="auto" w:fill="FFFFFF"/>
        </w:rPr>
        <w:t>车购置费</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万元。费用支出</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较上年支出数无增减</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本单位202</w:t>
      </w:r>
      <w:r>
        <w:rPr>
          <w:rFonts w:hint="eastAsia" w:ascii="方正仿宋_GBK" w:hAnsi="方正仿宋_GBK" w:eastAsia="方正仿宋_GBK" w:cs="方正仿宋_GBK"/>
          <w:b w:val="0"/>
          <w:bCs/>
          <w:color w:val="auto"/>
          <w:sz w:val="32"/>
          <w:szCs w:val="32"/>
          <w:highlight w:val="none"/>
          <w:shd w:val="clear" w:color="auto" w:fill="FFFFFF"/>
          <w:lang w:val="en-US" w:eastAsia="zh-CN"/>
        </w:rPr>
        <w:t>4</w:t>
      </w:r>
      <w:r>
        <w:rPr>
          <w:rFonts w:hint="eastAsia" w:ascii="方正仿宋_GBK" w:hAnsi="方正仿宋_GBK" w:eastAsia="方正仿宋_GBK" w:cs="方正仿宋_GBK"/>
          <w:b w:val="0"/>
          <w:bCs/>
          <w:color w:val="auto"/>
          <w:sz w:val="32"/>
          <w:szCs w:val="32"/>
          <w:highlight w:val="none"/>
          <w:shd w:val="clear" w:color="auto" w:fill="FFFFFF"/>
        </w:rPr>
        <w:t>年度未发生公务用车购置费</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公务</w:t>
      </w:r>
      <w:r>
        <w:rPr>
          <w:rFonts w:hint="eastAsia" w:ascii="方正仿宋_GBK" w:hAnsi="方正仿宋_GBK" w:eastAsia="方正仿宋_GBK" w:cs="方正仿宋_GBK"/>
          <w:b w:val="0"/>
          <w:bCs/>
          <w:color w:val="auto"/>
          <w:sz w:val="32"/>
          <w:szCs w:val="32"/>
          <w:highlight w:val="none"/>
          <w:shd w:val="clear" w:color="auto" w:fill="FFFFFF"/>
          <w:lang w:eastAsia="zh-CN"/>
        </w:rPr>
        <w:t>用</w:t>
      </w:r>
      <w:r>
        <w:rPr>
          <w:rFonts w:ascii="方正仿宋_GBK" w:hAnsi="方正仿宋_GBK" w:eastAsia="方正仿宋_GBK" w:cs="方正仿宋_GBK"/>
          <w:b w:val="0"/>
          <w:bCs/>
          <w:color w:val="auto"/>
          <w:sz w:val="32"/>
          <w:szCs w:val="32"/>
          <w:highlight w:val="none"/>
          <w:shd w:val="clear" w:color="auto" w:fill="FFFFFF"/>
        </w:rPr>
        <w:t>车运行维护费</w:t>
      </w:r>
      <w:r>
        <w:rPr>
          <w:rFonts w:hint="default" w:ascii="Times New Roman" w:hAnsi="Times New Roman" w:eastAsia="方正仿宋_GBK"/>
          <w:b w:val="0"/>
          <w:bCs/>
          <w:color w:val="auto"/>
          <w:sz w:val="32"/>
          <w:szCs w:val="32"/>
          <w:highlight w:val="none"/>
          <w:shd w:val="clear" w:color="auto" w:fill="FFFFFF"/>
        </w:rPr>
        <w:t>2.50</w:t>
      </w:r>
      <w:r>
        <w:rPr>
          <w:rFonts w:ascii="方正仿宋_GBK" w:hAnsi="方正仿宋_GBK" w:eastAsia="方正仿宋_GBK" w:cs="方正仿宋_GBK"/>
          <w:b w:val="0"/>
          <w:bCs/>
          <w:color w:val="auto"/>
          <w:sz w:val="32"/>
          <w:szCs w:val="32"/>
          <w:highlight w:val="none"/>
          <w:shd w:val="clear" w:color="auto" w:fill="FFFFFF"/>
        </w:rPr>
        <w:t>万元，主要用于</w:t>
      </w:r>
      <w:r>
        <w:rPr>
          <w:rFonts w:hint="eastAsia" w:ascii="方正仿宋_GBK" w:hAnsi="方正仿宋_GBK" w:eastAsia="方正仿宋_GBK" w:cs="方正仿宋_GBK"/>
          <w:b w:val="0"/>
          <w:bCs/>
          <w:color w:val="auto"/>
          <w:sz w:val="32"/>
          <w:szCs w:val="32"/>
          <w:highlight w:val="none"/>
          <w:shd w:val="clear" w:color="auto" w:fill="FFFFFF"/>
        </w:rPr>
        <w:t>工作产生的公务用车燃料费、维修费、过路过桥费、保险费等支出</w:t>
      </w:r>
      <w:r>
        <w:rPr>
          <w:rFonts w:ascii="方正仿宋_GBK" w:hAnsi="方正仿宋_GBK" w:eastAsia="方正仿宋_GBK" w:cs="方正仿宋_GBK"/>
          <w:b w:val="0"/>
          <w:bCs/>
          <w:color w:val="auto"/>
          <w:sz w:val="32"/>
          <w:szCs w:val="32"/>
          <w:highlight w:val="none"/>
          <w:shd w:val="clear" w:color="auto" w:fill="FFFFFF"/>
        </w:rPr>
        <w:t>。费用支出</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较上年支出数增加2.50万元，增长100.0%</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本年度新增一辆公务车辆，公务用车运行维护费</w:t>
      </w:r>
      <w:r>
        <w:rPr>
          <w:rFonts w:hint="eastAsia" w:ascii="方正仿宋_GBK" w:hAnsi="方正仿宋_GBK" w:eastAsia="方正仿宋_GBK" w:cs="方正仿宋_GBK"/>
          <w:b w:val="0"/>
          <w:bCs/>
          <w:color w:val="auto"/>
          <w:sz w:val="32"/>
          <w:szCs w:val="32"/>
          <w:highlight w:val="none"/>
          <w:shd w:val="clear" w:color="auto" w:fill="FFFFFF"/>
          <w:lang w:eastAsia="zh-CN"/>
        </w:rPr>
        <w:t>相应</w:t>
      </w:r>
      <w:r>
        <w:rPr>
          <w:rFonts w:hint="eastAsia" w:ascii="方正仿宋_GBK" w:hAnsi="方正仿宋_GBK" w:eastAsia="方正仿宋_GBK" w:cs="方正仿宋_GBK"/>
          <w:b w:val="0"/>
          <w:bCs/>
          <w:color w:val="auto"/>
          <w:sz w:val="32"/>
          <w:szCs w:val="32"/>
          <w:highlight w:val="none"/>
          <w:shd w:val="clear" w:color="auto" w:fill="FFFFFF"/>
        </w:rPr>
        <w:t>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公务接待费</w:t>
      </w:r>
      <w:r>
        <w:rPr>
          <w:rFonts w:hint="default" w:ascii="Times New Roman" w:hAnsi="Times New Roman" w:eastAsia="方正仿宋_GBK"/>
          <w:b w:val="0"/>
          <w:bCs/>
          <w:color w:val="auto"/>
          <w:sz w:val="32"/>
          <w:szCs w:val="32"/>
          <w:highlight w:val="none"/>
          <w:shd w:val="clear" w:color="auto" w:fill="FFFFFF"/>
        </w:rPr>
        <w:t>0.00</w:t>
      </w:r>
      <w:r>
        <w:rPr>
          <w:rFonts w:ascii="方正仿宋_GBK" w:hAnsi="方正仿宋_GBK" w:eastAsia="方正仿宋_GBK" w:cs="方正仿宋_GBK"/>
          <w:b w:val="0"/>
          <w:bCs/>
          <w:color w:val="auto"/>
          <w:sz w:val="32"/>
          <w:szCs w:val="32"/>
          <w:highlight w:val="none"/>
          <w:shd w:val="clear" w:color="auto" w:fill="FFFFFF"/>
        </w:rPr>
        <w:t>万元。费用支出</w:t>
      </w:r>
      <w:r>
        <w:rPr>
          <w:rFonts w:hint="default" w:ascii="Times New Roman" w:hAnsi="Times New Roman" w:eastAsia="方正仿宋_GBK"/>
          <w:b w:val="0"/>
          <w:bCs/>
          <w:color w:val="auto"/>
          <w:sz w:val="32"/>
          <w:szCs w:val="32"/>
          <w:highlight w:val="none"/>
          <w:shd w:val="clear" w:color="auto" w:fill="FFFFFF"/>
        </w:rPr>
        <w:t>较年初预算数无增减</w:t>
      </w:r>
      <w:r>
        <w:rPr>
          <w:rFonts w:ascii="方正仿宋_GBK" w:hAnsi="方正仿宋_GBK" w:eastAsia="方正仿宋_GBK" w:cs="方正仿宋_GBK"/>
          <w:b w:val="0"/>
          <w:bCs/>
          <w:color w:val="auto"/>
          <w:sz w:val="32"/>
          <w:szCs w:val="32"/>
          <w:highlight w:val="none"/>
          <w:shd w:val="clear" w:color="auto" w:fill="FFFFFF"/>
        </w:rPr>
        <w:t>。</w:t>
      </w:r>
      <w:r>
        <w:rPr>
          <w:rFonts w:hint="default" w:ascii="Times New Roman" w:hAnsi="Times New Roman" w:eastAsia="方正仿宋_GBK"/>
          <w:b w:val="0"/>
          <w:bCs/>
          <w:color w:val="auto"/>
          <w:sz w:val="32"/>
          <w:szCs w:val="32"/>
          <w:highlight w:val="none"/>
          <w:shd w:val="clear" w:color="auto" w:fill="FFFFFF"/>
        </w:rPr>
        <w:t>较上年支出数无增减</w:t>
      </w:r>
      <w:r>
        <w:rPr>
          <w:rFonts w:ascii="方正仿宋_GBK" w:hAnsi="方正仿宋_GBK" w:eastAsia="方正仿宋_GBK" w:cs="方正仿宋_GBK"/>
          <w:b w:val="0"/>
          <w:bCs/>
          <w:color w:val="auto"/>
          <w:sz w:val="32"/>
          <w:szCs w:val="32"/>
          <w:highlight w:val="none"/>
          <w:shd w:val="clear" w:color="auto" w:fill="FFFFFF"/>
        </w:rPr>
        <w:t>，主要原因是</w:t>
      </w:r>
      <w:r>
        <w:rPr>
          <w:rFonts w:hint="eastAsia" w:ascii="方正仿宋_GBK" w:hAnsi="方正仿宋_GBK" w:eastAsia="方正仿宋_GBK" w:cs="方正仿宋_GBK"/>
          <w:b w:val="0"/>
          <w:bCs/>
          <w:color w:val="auto"/>
          <w:sz w:val="32"/>
          <w:szCs w:val="32"/>
          <w:highlight w:val="none"/>
          <w:shd w:val="clear" w:color="auto" w:fill="FFFFFF"/>
        </w:rPr>
        <w:t>本单位202</w:t>
      </w:r>
      <w:r>
        <w:rPr>
          <w:rFonts w:hint="eastAsia" w:ascii="方正仿宋_GBK" w:hAnsi="方正仿宋_GBK" w:eastAsia="方正仿宋_GBK" w:cs="方正仿宋_GBK"/>
          <w:b w:val="0"/>
          <w:bCs/>
          <w:color w:val="auto"/>
          <w:sz w:val="32"/>
          <w:szCs w:val="32"/>
          <w:highlight w:val="none"/>
          <w:shd w:val="clear" w:color="auto" w:fill="FFFFFF"/>
          <w:lang w:val="en-US" w:eastAsia="zh-CN"/>
        </w:rPr>
        <w:t>4</w:t>
      </w:r>
      <w:r>
        <w:rPr>
          <w:rFonts w:hint="eastAsia" w:ascii="方正仿宋_GBK" w:hAnsi="方正仿宋_GBK" w:eastAsia="方正仿宋_GBK" w:cs="方正仿宋_GBK"/>
          <w:b w:val="0"/>
          <w:bCs/>
          <w:color w:val="auto"/>
          <w:sz w:val="32"/>
          <w:szCs w:val="32"/>
          <w:highlight w:val="none"/>
          <w:shd w:val="clear" w:color="auto" w:fill="FFFFFF"/>
        </w:rPr>
        <w:t>年度未发生公务接待费</w:t>
      </w:r>
      <w:r>
        <w:rPr>
          <w:rFonts w:ascii="方正仿宋_GBK" w:hAnsi="方正仿宋_GBK" w:eastAsia="方正仿宋_GBK" w:cs="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年度本</w:t>
      </w:r>
      <w:r>
        <w:rPr>
          <w:rFonts w:hint="eastAsia" w:ascii="方正仿宋_GBK" w:hAnsi="方正仿宋_GBK" w:eastAsia="方正仿宋_GBK" w:cs="方正仿宋_GBK"/>
          <w:b w:val="0"/>
          <w:bCs/>
          <w:color w:val="auto"/>
          <w:sz w:val="32"/>
          <w:szCs w:val="32"/>
          <w:highlight w:val="none"/>
          <w:shd w:val="clear" w:color="auto" w:fill="FFFFFF"/>
          <w:lang w:eastAsia="zh-CN"/>
        </w:rPr>
        <w:t>单位</w:t>
      </w:r>
      <w:r>
        <w:rPr>
          <w:rFonts w:ascii="方正仿宋_GBK" w:hAnsi="方正仿宋_GBK" w:eastAsia="方正仿宋_GBK" w:cs="方正仿宋_GBK"/>
          <w:b w:val="0"/>
          <w:bCs/>
          <w:color w:val="auto"/>
          <w:sz w:val="32"/>
          <w:szCs w:val="32"/>
          <w:highlight w:val="none"/>
          <w:shd w:val="clear" w:color="auto" w:fill="FFFFFF"/>
        </w:rPr>
        <w:t>因公出国（境）共计</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个团组，</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人；公务用车购置</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辆，公务车保有量为</w:t>
      </w:r>
      <w:r>
        <w:rPr>
          <w:rFonts w:hint="default" w:ascii="Times New Roman" w:hAnsi="Times New Roman" w:eastAsia="方正仿宋_GBK"/>
          <w:b w:val="0"/>
          <w:bCs/>
          <w:color w:val="auto"/>
          <w:sz w:val="32"/>
          <w:szCs w:val="32"/>
          <w:highlight w:val="none"/>
          <w:shd w:val="clear" w:color="auto" w:fill="FFFFFF"/>
        </w:rPr>
        <w:t>1</w:t>
      </w:r>
      <w:r>
        <w:rPr>
          <w:rFonts w:ascii="方正仿宋_GBK" w:hAnsi="方正仿宋_GBK" w:eastAsia="方正仿宋_GBK" w:cs="方正仿宋_GBK"/>
          <w:b w:val="0"/>
          <w:bCs/>
          <w:color w:val="auto"/>
          <w:sz w:val="32"/>
          <w:szCs w:val="32"/>
          <w:highlight w:val="none"/>
          <w:shd w:val="clear" w:color="auto" w:fill="FFFFFF"/>
        </w:rPr>
        <w:t>辆；国内公务接待</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批次</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人，其中：国内外事接待</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批次，</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人；国（境）外公务接待</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批次，</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人。</w:t>
      </w:r>
      <w:r>
        <w:rPr>
          <w:rFonts w:hint="default" w:ascii="Times New Roman" w:hAnsi="Times New Roman" w:eastAsia="方正仿宋_GBK"/>
          <w:b w:val="0"/>
          <w:bCs/>
          <w:color w:val="auto"/>
          <w:sz w:val="32"/>
          <w:szCs w:val="32"/>
          <w:highlight w:val="none"/>
          <w:shd w:val="clear" w:color="auto" w:fill="FFFFFF"/>
        </w:rPr>
        <w:t>2024</w:t>
      </w:r>
      <w:r>
        <w:rPr>
          <w:rFonts w:ascii="方正仿宋_GBK" w:hAnsi="方正仿宋_GBK" w:eastAsia="方正仿宋_GBK" w:cs="方正仿宋_GBK"/>
          <w:b w:val="0"/>
          <w:bCs/>
          <w:color w:val="auto"/>
          <w:sz w:val="32"/>
          <w:szCs w:val="32"/>
          <w:highlight w:val="none"/>
          <w:shd w:val="clear" w:color="auto" w:fill="FFFFFF"/>
        </w:rPr>
        <w:t>年本</w:t>
      </w:r>
      <w:r>
        <w:rPr>
          <w:rFonts w:hint="eastAsia" w:ascii="方正仿宋_GBK" w:hAnsi="方正仿宋_GBK" w:eastAsia="方正仿宋_GBK" w:cs="方正仿宋_GBK"/>
          <w:b w:val="0"/>
          <w:bCs/>
          <w:color w:val="auto"/>
          <w:sz w:val="32"/>
          <w:szCs w:val="32"/>
          <w:highlight w:val="none"/>
          <w:shd w:val="clear" w:color="auto" w:fill="FFFFFF"/>
          <w:lang w:eastAsia="zh-CN"/>
        </w:rPr>
        <w:t>单位</w:t>
      </w:r>
      <w:r>
        <w:rPr>
          <w:rFonts w:ascii="方正仿宋_GBK" w:hAnsi="方正仿宋_GBK" w:eastAsia="方正仿宋_GBK" w:cs="方正仿宋_GBK"/>
          <w:b w:val="0"/>
          <w:bCs/>
          <w:color w:val="auto"/>
          <w:sz w:val="32"/>
          <w:szCs w:val="32"/>
          <w:highlight w:val="none"/>
          <w:shd w:val="clear" w:color="auto" w:fill="FFFFFF"/>
        </w:rPr>
        <w:t>人均接待费</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元，车均购置费</w:t>
      </w:r>
      <w:r>
        <w:rPr>
          <w:rFonts w:hint="default" w:ascii="Times New Roman" w:hAnsi="Times New Roman" w:eastAsia="方正仿宋_GBK"/>
          <w:b w:val="0"/>
          <w:bCs/>
          <w:color w:val="auto"/>
          <w:sz w:val="32"/>
          <w:szCs w:val="32"/>
          <w:highlight w:val="none"/>
          <w:shd w:val="clear" w:color="auto" w:fill="FFFFFF"/>
        </w:rPr>
        <w:t>0</w:t>
      </w:r>
      <w:r>
        <w:rPr>
          <w:rFonts w:ascii="方正仿宋_GBK" w:hAnsi="方正仿宋_GBK" w:eastAsia="方正仿宋_GBK" w:cs="方正仿宋_GBK"/>
          <w:b w:val="0"/>
          <w:bCs/>
          <w:color w:val="auto"/>
          <w:sz w:val="32"/>
          <w:szCs w:val="32"/>
          <w:highlight w:val="none"/>
          <w:shd w:val="clear" w:color="auto" w:fill="FFFFFF"/>
        </w:rPr>
        <w:t>万元，车均维护费</w:t>
      </w:r>
      <w:r>
        <w:rPr>
          <w:rFonts w:hint="default" w:ascii="Times New Roman" w:hAnsi="Times New Roman" w:eastAsia="方正仿宋_GBK"/>
          <w:b w:val="0"/>
          <w:bCs/>
          <w:color w:val="auto"/>
          <w:sz w:val="32"/>
          <w:szCs w:val="32"/>
          <w:highlight w:val="none"/>
          <w:shd w:val="clear" w:color="auto" w:fill="FFFFFF"/>
        </w:rPr>
        <w:t>2.50</w:t>
      </w:r>
      <w:r>
        <w:rPr>
          <w:rFonts w:ascii="方正仿宋_GBK" w:hAnsi="方正仿宋_GBK" w:eastAsia="方正仿宋_GBK" w:cs="方正仿宋_GBK"/>
          <w:b w:val="0"/>
          <w:bCs/>
          <w:color w:val="auto"/>
          <w:sz w:val="32"/>
          <w:szCs w:val="32"/>
          <w:highlight w:val="none"/>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highlight w:val="none"/>
          <w:shd w:val="clear" w:color="auto" w:fill="FFFFFF"/>
        </w:rPr>
      </w:pPr>
      <w:r>
        <w:rPr>
          <w:rStyle w:val="11"/>
          <w:rFonts w:hint="eastAsia" w:ascii="方正黑体_GBK" w:hAnsi="方正黑体_GBK" w:eastAsia="方正黑体_GBK" w:cs="方正黑体_GBK"/>
          <w:b w:val="0"/>
          <w:bCs/>
          <w:color w:val="auto"/>
          <w:sz w:val="32"/>
          <w:szCs w:val="32"/>
          <w:highlight w:val="none"/>
          <w:shd w:val="clear" w:color="auto" w:fill="FFFFFF"/>
        </w:rPr>
        <w:t>四、其他需要说明的事项</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（一）财政拨款会议费、培训费和差旅费情况说明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shd w:val="clear" w:color="auto" w:fill="FFFFFF"/>
        </w:rPr>
      </w:pPr>
      <w:r>
        <w:rPr>
          <w:rFonts w:hint="eastAsia" w:ascii="方正仿宋_GBK" w:hAnsi="方正仿宋_GBK" w:eastAsia="方正仿宋_GBK" w:cs="方正仿宋_GBK"/>
          <w:b w:val="0"/>
          <w:bCs/>
          <w:color w:val="auto"/>
          <w:sz w:val="32"/>
          <w:szCs w:val="32"/>
          <w:highlight w:val="none"/>
          <w:shd w:val="clear" w:color="auto" w:fill="FFFFFF"/>
        </w:rPr>
        <w:t>本年度会议费支出0.00万元，与2023年度相比，减少0.56万元，下降100.0%，主要原因是会议费在本级政府支出。本年度培训费支出6.81万元，与2023年度相比，增加3.77万元，增长124.0%，主要原因是加大了对职工必要业务的培训力度。本年度差旅费支出0.06万元，与2023年度相比，减少6.38万元，下降99.1%，主要原因是厉行节约，严控差旅费用支出。</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（二）机关运行经费情况说明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shd w:val="clear" w:color="auto" w:fill="FFFFFF"/>
        </w:rPr>
      </w:pPr>
      <w:r>
        <w:rPr>
          <w:rFonts w:hint="eastAsia" w:ascii="方正仿宋_GBK" w:hAnsi="方正仿宋_GBK" w:eastAsia="方正仿宋_GBK" w:cs="方正仿宋_GBK"/>
          <w:b w:val="0"/>
          <w:bCs/>
          <w:color w:val="auto"/>
          <w:sz w:val="32"/>
          <w:szCs w:val="32"/>
          <w:highlight w:val="none"/>
          <w:shd w:val="clear" w:color="auto" w:fill="FFFFFF"/>
        </w:rPr>
        <w:t>按照部门决算列报口径，我单位不在机关运行经费统计范围之内。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（三）国有资产占用情况说明</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color w:val="auto"/>
          <w:sz w:val="32"/>
          <w:szCs w:val="32"/>
          <w:highlight w:val="none"/>
          <w:shd w:val="clear" w:color="auto" w:fill="FFFFFF"/>
        </w:rPr>
      </w:pPr>
      <w:r>
        <w:rPr>
          <w:rFonts w:hint="eastAsia" w:ascii="方正仿宋_GBK" w:hAnsi="方正仿宋_GBK" w:eastAsia="方正仿宋_GBK" w:cs="方正仿宋_GBK"/>
          <w:b w:val="0"/>
          <w:bCs/>
          <w:color w:val="auto"/>
          <w:sz w:val="32"/>
          <w:szCs w:val="32"/>
          <w:highlight w:val="none"/>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color w:val="auto"/>
          <w:sz w:val="32"/>
          <w:szCs w:val="32"/>
          <w:highlight w:val="none"/>
          <w:shd w:val="clear" w:color="auto" w:fill="FFFFFF"/>
        </w:rPr>
      </w:pPr>
      <w:r>
        <w:rPr>
          <w:rFonts w:hint="eastAsia" w:ascii="方正楷体_GBK" w:hAnsi="方正楷体_GBK" w:eastAsia="方正楷体_GBK" w:cs="方正楷体_GBK"/>
          <w:b w:val="0"/>
          <w:bCs/>
          <w:color w:val="auto"/>
          <w:sz w:val="32"/>
          <w:szCs w:val="32"/>
          <w:highlight w:val="none"/>
          <w:shd w:val="clear" w:color="auto" w:fill="FFFFFF"/>
        </w:rPr>
        <w:t>（四）政府采购支出情况说明</w:t>
      </w:r>
    </w:p>
    <w:p>
      <w:pPr>
        <w:pStyle w:val="12"/>
        <w:keepNext w:val="0"/>
        <w:keepLines w:val="0"/>
        <w:pageBreakBefore w:val="0"/>
        <w:widowControl/>
        <w:kinsoku/>
        <w:wordWrap/>
        <w:overflowPunct/>
        <w:topLinePunct w:val="0"/>
        <w:autoSpaceDE w:val="0"/>
        <w:autoSpaceDN/>
        <w:bidi w:val="0"/>
        <w:adjustRightInd/>
        <w:snapToGrid/>
        <w:spacing w:line="560" w:lineRule="exact"/>
        <w:ind w:left="638" w:leftChars="266" w:firstLine="0" w:firstLineChars="0"/>
        <w:jc w:val="both"/>
        <w:textAlignment w:val="auto"/>
        <w:rPr>
          <w:rStyle w:val="11"/>
          <w:rFonts w:hint="eastAsia" w:ascii="黑体" w:hAnsi="黑体" w:eastAsia="黑体" w:cs="黑体"/>
          <w:b w:val="0"/>
          <w:bCs/>
          <w:color w:val="auto"/>
          <w:sz w:val="32"/>
          <w:szCs w:val="32"/>
          <w:highlight w:val="none"/>
          <w:shd w:val="clear" w:color="auto" w:fill="FFFFFF"/>
          <w:lang w:val="en-US" w:eastAsia="zh-CN" w:bidi="ar-SA"/>
        </w:rPr>
      </w:pPr>
      <w:r>
        <w:rPr>
          <w:rFonts w:hint="eastAsia" w:ascii="方正仿宋_GBK" w:hAnsi="方正仿宋_GBK" w:eastAsia="方正仿宋_GBK" w:cs="方正仿宋_GBK"/>
          <w:b w:val="0"/>
          <w:bCs/>
          <w:color w:val="auto"/>
          <w:sz w:val="32"/>
          <w:szCs w:val="32"/>
          <w:highlight w:val="none"/>
          <w:shd w:val="clear" w:color="auto" w:fill="FFFFFF"/>
        </w:rPr>
        <w:t>2024年度我单位未发生政府采购事项，无相关经费支出。</w:t>
      </w:r>
      <w:r>
        <w:rPr>
          <w:rStyle w:val="11"/>
          <w:rFonts w:hint="eastAsia" w:ascii="方正黑体_GBK" w:hAnsi="方正黑体_GBK" w:eastAsia="方正黑体_GBK" w:cs="方正黑体_GBK"/>
          <w:b w:val="0"/>
          <w:bCs/>
          <w:color w:val="auto"/>
          <w:sz w:val="32"/>
          <w:szCs w:val="32"/>
          <w:highlight w:val="none"/>
          <w:shd w:val="clear" w:color="auto" w:fill="FFFFFF"/>
        </w:rPr>
        <w:t>五、</w:t>
      </w:r>
      <w:r>
        <w:rPr>
          <w:rStyle w:val="11"/>
          <w:rFonts w:hint="eastAsia" w:ascii="方正黑体_GBK" w:hAnsi="方正黑体_GBK" w:eastAsia="方正黑体_GBK" w:cs="方正黑体_GBK"/>
          <w:b w:val="0"/>
          <w:bCs/>
          <w:color w:val="auto"/>
          <w:sz w:val="32"/>
          <w:szCs w:val="32"/>
          <w:highlight w:val="none"/>
          <w:shd w:val="clear" w:color="auto" w:fill="FFFFFF"/>
          <w:lang w:eastAsia="zh-CN"/>
        </w:rPr>
        <w:t>预算</w:t>
      </w:r>
      <w:r>
        <w:rPr>
          <w:rStyle w:val="11"/>
          <w:rFonts w:hint="eastAsia" w:ascii="方正黑体_GBK" w:hAnsi="方正黑体_GBK" w:eastAsia="方正黑体_GBK" w:cs="方正黑体_GBK"/>
          <w:b w:val="0"/>
          <w:bCs/>
          <w:color w:val="auto"/>
          <w:sz w:val="32"/>
          <w:szCs w:val="32"/>
          <w:highlight w:val="none"/>
          <w:shd w:val="clear" w:color="auto" w:fill="FFFFFF"/>
          <w:lang w:val="en-US" w:eastAsia="zh-CN" w:bidi="ar-SA"/>
        </w:rPr>
        <w:t>绩效管理情况说明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（一）单位自评情况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根据预算绩效管理要求，我单位对整体绩效开展了绩效自评，涉及财政拨款资金</w:t>
      </w:r>
      <w:r>
        <w:rPr>
          <w:rFonts w:hint="eastAsia" w:ascii="方正仿宋_GBK" w:hAnsi="方正仿宋_GBK" w:eastAsia="方正仿宋_GBK" w:cs="方正仿宋_GBK"/>
          <w:b w:val="0"/>
          <w:bCs/>
          <w:color w:val="auto"/>
          <w:sz w:val="32"/>
          <w:szCs w:val="32"/>
          <w:highlight w:val="none"/>
          <w:shd w:val="clear" w:color="auto" w:fill="FFFFFF"/>
          <w:lang w:val="en-US" w:eastAsia="zh-CN"/>
        </w:rPr>
        <w:t>574.03</w:t>
      </w:r>
      <w:r>
        <w:rPr>
          <w:rFonts w:hint="eastAsia" w:ascii="方正仿宋_GBK" w:hAnsi="方正仿宋_GBK" w:eastAsia="方正仿宋_GBK" w:cs="方正仿宋_GBK"/>
          <w:b w:val="0"/>
          <w:bCs/>
          <w:color w:val="auto"/>
          <w:sz w:val="32"/>
          <w:szCs w:val="32"/>
          <w:highlight w:val="none"/>
          <w:shd w:val="clear" w:color="auto" w:fill="FFFFFF"/>
          <w:lang w:eastAsia="zh-CN"/>
        </w:rPr>
        <w:t>万元。单位整体绩效自评表，详见附件2重庆市荣昌区荣隆镇农业服务中心2024年度单位整体绩效自评表。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（二）单位绩效评价情况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我单位未组织开展绩效评价。</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楷体" w:hAnsi="楷体" w:eastAsia="楷体" w:cs="楷体"/>
          <w:b w:val="0"/>
          <w:bCs/>
          <w:color w:val="auto"/>
          <w:sz w:val="32"/>
          <w:szCs w:val="32"/>
          <w:highlight w:val="none"/>
          <w:shd w:val="clear" w:color="auto" w:fill="FFFFFF"/>
          <w:lang w:eastAsia="zh-CN"/>
        </w:rPr>
      </w:pPr>
      <w:r>
        <w:rPr>
          <w:rFonts w:hint="eastAsia" w:ascii="楷体" w:hAnsi="楷体" w:eastAsia="楷体" w:cs="楷体"/>
          <w:b w:val="0"/>
          <w:bCs/>
          <w:color w:val="auto"/>
          <w:sz w:val="32"/>
          <w:szCs w:val="32"/>
          <w:highlight w:val="none"/>
          <w:shd w:val="clear" w:color="auto" w:fill="FFFFFF"/>
          <w:lang w:eastAsia="zh-CN"/>
        </w:rPr>
        <w:t>（三）财政绩效评价情况</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color w:val="auto"/>
          <w:sz w:val="32"/>
          <w:szCs w:val="32"/>
          <w:highlight w:val="none"/>
          <w:shd w:val="clear" w:color="auto" w:fill="FFFFFF"/>
          <w:lang w:eastAsia="zh-CN"/>
        </w:rPr>
      </w:pPr>
      <w:r>
        <w:rPr>
          <w:rFonts w:hint="eastAsia" w:ascii="方正仿宋_GBK" w:hAnsi="方正仿宋_GBK" w:eastAsia="方正仿宋_GBK" w:cs="方正仿宋_GBK"/>
          <w:b w:val="0"/>
          <w:bCs/>
          <w:color w:val="auto"/>
          <w:sz w:val="32"/>
          <w:szCs w:val="32"/>
          <w:highlight w:val="none"/>
          <w:shd w:val="clear" w:color="auto" w:fill="FFFFFF"/>
          <w:lang w:eastAsia="zh-CN"/>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Style w:val="11"/>
          <w:rFonts w:hint="default" w:ascii="方正黑体_GBK" w:hAnsi="方正黑体_GBK" w:eastAsia="方正黑体_GBK" w:cs="方正黑体_GBK"/>
          <w:b w:val="0"/>
          <w:bCs/>
          <w:color w:val="auto"/>
          <w:sz w:val="32"/>
          <w:szCs w:val="32"/>
          <w:highlight w:val="none"/>
          <w:shd w:val="clear" w:color="auto" w:fill="FFFFFF"/>
          <w:lang w:val="en-US" w:eastAsia="zh-CN" w:bidi="ar-SA"/>
        </w:rPr>
      </w:pPr>
      <w:r>
        <w:rPr>
          <w:rStyle w:val="11"/>
          <w:rFonts w:hint="eastAsia" w:ascii="方正黑体_GBK" w:hAnsi="方正黑体_GBK" w:eastAsia="方正黑体_GBK" w:cs="方正黑体_GBK"/>
          <w:b w:val="0"/>
          <w:bCs/>
          <w:color w:val="auto"/>
          <w:sz w:val="32"/>
          <w:szCs w:val="32"/>
          <w:highlight w:val="none"/>
          <w:shd w:val="clear" w:color="auto" w:fill="FFFFFF"/>
          <w:lang w:val="en-US" w:eastAsia="zh-CN" w:bidi="ar-SA"/>
        </w:rPr>
        <w:t>六、专业名词解释</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楷体" w:hAnsi="楷体" w:eastAsia="楷体" w:cs="楷体"/>
          <w:b w:val="0"/>
          <w:bCs/>
          <w:color w:val="auto"/>
          <w:sz w:val="32"/>
          <w:szCs w:val="32"/>
          <w:highlight w:val="none"/>
          <w:shd w:val="clear" w:color="auto" w:fill="FFFFFF"/>
        </w:rPr>
        <w:t>（一）财政拨款收入：</w:t>
      </w:r>
      <w:r>
        <w:rPr>
          <w:rFonts w:ascii="方正仿宋_GBK" w:hAnsi="方正仿宋_GBK" w:eastAsia="方正仿宋_GBK" w:cs="方正仿宋_GBK"/>
          <w:b w:val="0"/>
          <w:bCs/>
          <w:color w:val="auto"/>
          <w:sz w:val="32"/>
          <w:szCs w:val="32"/>
          <w:highlight w:val="none"/>
          <w:shd w:val="clear" w:color="auto" w:fill="FFFFFF"/>
        </w:rPr>
        <w:t>指本年度从本级财政部门取得的财政拨款。</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（二）事业收入</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指事业单位开展专业业务活动及其辅助活动取得的</w:t>
      </w:r>
      <w:r>
        <w:rPr>
          <w:rFonts w:hint="eastAsia" w:ascii="方正仿宋_GBK" w:hAnsi="方正仿宋_GBK" w:eastAsia="方正仿宋_GBK" w:cs="方正仿宋_GBK"/>
          <w:b w:val="0"/>
          <w:bCs/>
          <w:color w:val="auto"/>
          <w:sz w:val="32"/>
          <w:szCs w:val="32"/>
          <w:highlight w:val="none"/>
          <w:shd w:val="clear" w:color="auto" w:fill="FFFFFF"/>
          <w:lang w:eastAsia="zh-CN"/>
        </w:rPr>
        <w:t>收入</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（三）经营收入</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指事业单位在专业业务活动及其辅助活动之外开展非独立核算经营活动取得的</w:t>
      </w:r>
      <w:r>
        <w:rPr>
          <w:rFonts w:hint="eastAsia" w:ascii="方正仿宋_GBK" w:hAnsi="方正仿宋_GBK" w:eastAsia="方正仿宋_GBK" w:cs="方正仿宋_GBK"/>
          <w:b w:val="0"/>
          <w:bCs/>
          <w:color w:val="auto"/>
          <w:sz w:val="32"/>
          <w:szCs w:val="32"/>
          <w:highlight w:val="none"/>
          <w:shd w:val="clear" w:color="auto" w:fill="FFFFFF"/>
          <w:lang w:eastAsia="zh-CN"/>
        </w:rPr>
        <w:t>收入</w:t>
      </w:r>
      <w:r>
        <w:rPr>
          <w:rFonts w:ascii="方正仿宋_GBK" w:hAnsi="方正仿宋_GBK" w:eastAsia="方正仿宋_GBK" w:cs="方正仿宋_GBK"/>
          <w:b w:val="0"/>
          <w:bCs/>
          <w:color w:val="auto"/>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（四）其他收入</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（五）使用非财政拨款结余</w:t>
      </w:r>
      <w:r>
        <w:rPr>
          <w:rStyle w:val="11"/>
          <w:rFonts w:hint="eastAsia" w:ascii="楷体" w:hAnsi="楷体" w:eastAsia="楷体" w:cs="楷体"/>
          <w:b w:val="0"/>
          <w:bCs/>
          <w:color w:val="auto"/>
          <w:sz w:val="32"/>
          <w:szCs w:val="32"/>
          <w:highlight w:val="none"/>
          <w:shd w:val="clear" w:color="auto" w:fill="FFFFFF"/>
          <w:lang w:eastAsia="zh-CN"/>
        </w:rPr>
        <w:t>（含专用结余）</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w:t>
      </w:r>
      <w:r>
        <w:rPr>
          <w:rFonts w:hint="eastAsia" w:ascii="方正仿宋_GBK" w:hAnsi="方正仿宋_GBK" w:eastAsia="方正仿宋_GBK" w:cs="方正仿宋_GBK"/>
          <w:b w:val="0"/>
          <w:bCs/>
          <w:color w:val="auto"/>
          <w:sz w:val="32"/>
          <w:szCs w:val="32"/>
          <w:highlight w:val="none"/>
          <w:shd w:val="clear" w:color="auto" w:fill="FFFFFF"/>
          <w:lang w:eastAsia="zh-CN"/>
        </w:rPr>
        <w:t>事业单位按照预算管理要求使用非财政拨款结余弥补收支差额的金额，以及使用专用结余安排支出的金额。</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（六）年初结转和结余</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指单位上年结转本年使用的基本支出结转、项目支出结转和结余、经营结余。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（七）结余分配</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指单位按照国家有关规定，缴纳所得税、提取专用基金、转入非财政拨款结余等当年结余的分配情况。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（八）年末结转和结余</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指单位结转下年的基本支出结转、项目支出结转和结余、经营结余。</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（九）基本支出</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（十）项目支出</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指在基本支出之外为完成特定行政任务和事业发展目标所发生的支出。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（十一）经营支出</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指事业单位在专业业务活动及其辅助活动之外开展非独立核算经营活动发生的支出。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（十二）“三公”经费</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（十三）机关运行经费</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（十四）工资福利支出（支出经济分类科目类级）</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（十五）商品和服务支出（支出经济分类科目类级）</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反映单位购买商品和服务的支出（不包括用于购置固定资产的支出、战略性和应急储备支出）。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Style w:val="11"/>
          <w:rFonts w:ascii="楷体" w:hAnsi="楷体" w:eastAsia="楷体" w:cs="楷体"/>
          <w:b w:val="0"/>
          <w:bCs/>
          <w:color w:val="auto"/>
          <w:sz w:val="32"/>
          <w:szCs w:val="32"/>
          <w:highlight w:val="none"/>
          <w:shd w:val="clear" w:color="auto" w:fill="FFFFFF"/>
        </w:rPr>
        <w:t>（十六）对个人和家庭的补助（支出经济分类科目类级）</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反映用于对个人和家庭的补助支出。</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shd w:val="clear" w:color="auto" w:fill="FFFFFF"/>
        </w:rPr>
      </w:pPr>
      <w:r>
        <w:rPr>
          <w:rStyle w:val="11"/>
          <w:rFonts w:ascii="楷体" w:hAnsi="楷体" w:eastAsia="楷体" w:cs="楷体"/>
          <w:b w:val="0"/>
          <w:bCs/>
          <w:color w:val="auto"/>
          <w:sz w:val="32"/>
          <w:szCs w:val="32"/>
          <w:highlight w:val="none"/>
          <w:shd w:val="clear" w:color="auto" w:fill="FFFFFF"/>
        </w:rPr>
        <w:t>（十七）其他资本性支出（支出经济分类科目类级）</w:t>
      </w:r>
      <w:r>
        <w:rPr>
          <w:rFonts w:ascii="楷体" w:hAnsi="楷体" w:eastAsia="楷体" w:cs="楷体"/>
          <w:b w:val="0"/>
          <w:bCs/>
          <w:color w:val="auto"/>
          <w:sz w:val="32"/>
          <w:szCs w:val="32"/>
          <w:highlight w:val="none"/>
          <w:shd w:val="clear" w:color="auto" w:fill="FFFFFF"/>
        </w:rPr>
        <w:t>：</w:t>
      </w:r>
      <w:r>
        <w:rPr>
          <w:rFonts w:ascii="方正仿宋_GBK" w:hAnsi="方正仿宋_GBK" w:eastAsia="方正仿宋_GBK" w:cs="方正仿宋_GBK"/>
          <w:b w:val="0"/>
          <w:bCs/>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eastAsia" w:ascii="方正黑体_GBK" w:hAnsi="方正黑体_GBK" w:eastAsia="方正黑体_GBK" w:cs="方正黑体_GBK"/>
          <w:b w:val="0"/>
          <w:bCs/>
          <w:color w:val="auto"/>
          <w:sz w:val="32"/>
          <w:szCs w:val="32"/>
          <w:highlight w:val="none"/>
          <w:shd w:val="clear" w:color="auto" w:fill="FFFFFF"/>
        </w:rPr>
      </w:pPr>
      <w:r>
        <w:rPr>
          <w:rStyle w:val="11"/>
          <w:rFonts w:hint="eastAsia" w:ascii="方正黑体_GBK" w:hAnsi="方正黑体_GBK" w:eastAsia="方正黑体_GBK" w:cs="方正黑体_GBK"/>
          <w:b w:val="0"/>
          <w:bCs/>
          <w:color w:val="auto"/>
          <w:sz w:val="32"/>
          <w:szCs w:val="32"/>
          <w:highlight w:val="none"/>
          <w:shd w:val="clear" w:color="auto" w:fill="FFFFFF"/>
          <w:lang w:eastAsia="zh-CN"/>
        </w:rPr>
        <w:t>七</w:t>
      </w:r>
      <w:r>
        <w:rPr>
          <w:rStyle w:val="11"/>
          <w:rFonts w:hint="eastAsia" w:ascii="方正黑体_GBK" w:hAnsi="方正黑体_GBK" w:eastAsia="方正黑体_GBK" w:cs="方正黑体_GBK"/>
          <w:b w:val="0"/>
          <w:bCs/>
          <w:color w:val="auto"/>
          <w:sz w:val="32"/>
          <w:szCs w:val="32"/>
          <w:highlight w:val="none"/>
          <w:shd w:val="clear" w:color="auto" w:fill="FFFFFF"/>
        </w:rPr>
        <w:t>、决算公开联系方式及信息反馈渠道</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方正仿宋_GBK" w:hAnsi="方正仿宋_GBK" w:eastAsia="方正仿宋_GBK" w:cs="方正仿宋_GBK"/>
          <w:b w:val="0"/>
          <w:bCs/>
          <w:color w:val="auto"/>
          <w:sz w:val="32"/>
          <w:szCs w:val="32"/>
          <w:highlight w:val="none"/>
        </w:rPr>
      </w:pPr>
      <w:r>
        <w:rPr>
          <w:rFonts w:ascii="方正仿宋_GBK" w:hAnsi="方正仿宋_GBK" w:eastAsia="方正仿宋_GBK" w:cs="方正仿宋_GBK"/>
          <w:b w:val="0"/>
          <w:bCs/>
          <w:color w:val="auto"/>
          <w:sz w:val="32"/>
          <w:szCs w:val="32"/>
          <w:highlight w:val="none"/>
          <w:shd w:val="clear" w:color="auto" w:fill="FFFFFF"/>
        </w:rPr>
        <w:t>本</w:t>
      </w:r>
      <w:r>
        <w:rPr>
          <w:rFonts w:hint="eastAsia" w:ascii="方正仿宋_GBK" w:hAnsi="方正仿宋_GBK" w:eastAsia="方正仿宋_GBK" w:cs="方正仿宋_GBK"/>
          <w:b w:val="0"/>
          <w:bCs/>
          <w:color w:val="auto"/>
          <w:sz w:val="32"/>
          <w:szCs w:val="32"/>
          <w:highlight w:val="none"/>
          <w:shd w:val="clear" w:color="auto" w:fill="FFFFFF"/>
          <w:lang w:eastAsia="zh-CN"/>
        </w:rPr>
        <w:t>单位</w:t>
      </w:r>
      <w:r>
        <w:rPr>
          <w:rFonts w:ascii="方正仿宋_GBK" w:hAnsi="方正仿宋_GBK" w:eastAsia="方正仿宋_GBK" w:cs="方正仿宋_GBK"/>
          <w:b w:val="0"/>
          <w:bCs/>
          <w:color w:val="auto"/>
          <w:sz w:val="32"/>
          <w:szCs w:val="32"/>
          <w:highlight w:val="none"/>
          <w:shd w:val="clear" w:color="auto" w:fill="FFFFFF"/>
        </w:rPr>
        <w:t>决算公开信息反馈和联系方式：</w:t>
      </w:r>
      <w:r>
        <w:rPr>
          <w:rFonts w:hint="eastAsia" w:ascii="方正仿宋_GBK" w:hAnsi="方正仿宋_GBK" w:eastAsia="方正仿宋_GBK" w:cs="方正仿宋_GBK"/>
          <w:b w:val="0"/>
          <w:bCs/>
          <w:color w:val="auto"/>
          <w:sz w:val="32"/>
          <w:szCs w:val="32"/>
          <w:highlight w:val="none"/>
          <w:shd w:val="clear" w:color="auto" w:fill="FFFFFF"/>
          <w:lang w:eastAsia="zh-CN"/>
        </w:rPr>
        <w:t>李庆蕊</w:t>
      </w:r>
      <w:r>
        <w:rPr>
          <w:rFonts w:hint="eastAsia" w:ascii="方正仿宋_GBK" w:hAnsi="方正仿宋_GBK" w:eastAsia="方正仿宋_GBK" w:cs="方正仿宋_GBK"/>
          <w:b w:val="0"/>
          <w:bCs/>
          <w:color w:val="auto"/>
          <w:sz w:val="32"/>
          <w:szCs w:val="32"/>
          <w:highlight w:val="none"/>
          <w:shd w:val="clear" w:color="auto" w:fill="FFFFFF"/>
        </w:rPr>
        <w:t>023-</w:t>
      </w:r>
      <w:r>
        <w:rPr>
          <w:rFonts w:hint="eastAsia" w:ascii="方正仿宋_GBK" w:hAnsi="方正仿宋_GBK" w:eastAsia="方正仿宋_GBK" w:cs="方正仿宋_GBK"/>
          <w:b w:val="0"/>
          <w:bCs/>
          <w:color w:val="auto"/>
          <w:sz w:val="32"/>
          <w:szCs w:val="32"/>
          <w:highlight w:val="none"/>
          <w:shd w:val="clear" w:color="auto" w:fill="FFFFFF"/>
          <w:lang w:val="en-US" w:eastAsia="zh-CN"/>
        </w:rPr>
        <w:t>46551008</w:t>
      </w:r>
      <w:r>
        <w:rPr>
          <w:rFonts w:ascii="方正仿宋_GBK" w:hAnsi="方正仿宋_GBK" w:eastAsia="方正仿宋_GBK" w:cs="方正仿宋_GBK"/>
          <w:b w:val="0"/>
          <w:bCs/>
          <w:color w:val="auto"/>
          <w:sz w:val="32"/>
          <w:szCs w:val="32"/>
          <w:highlight w:val="none"/>
          <w:shd w:val="clear" w:color="auto" w:fill="FFFFFF"/>
        </w:rPr>
        <w:t>。</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left="0" w:leftChars="0" w:firstLine="0" w:firstLineChars="0"/>
        <w:jc w:val="both"/>
        <w:textAlignment w:val="auto"/>
        <w:rPr>
          <w:rStyle w:val="11"/>
          <w:rFonts w:ascii="方正仿宋_GBK" w:hAnsi="方正仿宋_GBK" w:eastAsia="方正仿宋_GBK" w:cs="方正仿宋_GBK"/>
          <w:sz w:val="32"/>
          <w:szCs w:val="32"/>
          <w:shd w:val="clear" w:color="auto" w:fill="FFFF00"/>
        </w:rPr>
      </w:pP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1918" w:leftChars="266" w:hanging="1280" w:hangingChars="400"/>
        <w:jc w:val="both"/>
        <w:textAlignment w:val="auto"/>
        <w:rPr>
          <w:rFonts w:hint="eastAsia" w:ascii="方正仿宋_GBK" w:hAnsi="方正仿宋_GBK" w:eastAsia="方正仿宋_GBK" w:cs="方正仿宋_GBK"/>
          <w:color w:val="auto"/>
          <w:sz w:val="32"/>
          <w:szCs w:val="32"/>
          <w:shd w:val="clear" w:color="auto" w:fill="FFFFFF"/>
          <w:lang w:val="en-US" w:eastAsia="zh-CN"/>
        </w:rPr>
      </w:pPr>
      <w:r>
        <w:rPr>
          <w:rFonts w:hint="eastAsia" w:ascii="方正仿宋_GBK" w:hAnsi="方正仿宋_GBK" w:eastAsia="方正仿宋_GBK" w:cs="方正仿宋_GBK"/>
          <w:color w:val="auto"/>
          <w:sz w:val="32"/>
          <w:szCs w:val="32"/>
          <w:shd w:val="clear" w:color="auto" w:fill="FFFFFF"/>
          <w:lang w:val="en-US" w:eastAsia="zh-CN"/>
        </w:rPr>
        <w:t>附件：1.重庆市荣昌区荣隆镇农业服务中心2024年度决算公开报表</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left="1918" w:leftChars="266" w:hanging="1280" w:hangingChars="400"/>
        <w:jc w:val="both"/>
        <w:textAlignment w:val="auto"/>
        <w:rPr>
          <w:rStyle w:val="11"/>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color w:val="auto"/>
          <w:sz w:val="32"/>
          <w:szCs w:val="32"/>
          <w:shd w:val="clear" w:color="auto" w:fill="FFFFFF"/>
          <w:lang w:val="en-US" w:eastAsia="zh-CN"/>
        </w:rPr>
        <w:t xml:space="preserve">      2.重庆市荣昌区荣隆镇农业服务中心2024年度单位整体绩效自评表</w:t>
      </w:r>
    </w:p>
    <w:p>
      <w:pPr>
        <w:pStyle w:val="12"/>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1"/>
          <w:rFonts w:ascii="方正仿宋_GBK" w:hAnsi="方正仿宋_GBK" w:eastAsia="方正仿宋_GBK" w:cs="方正仿宋_GBK"/>
          <w:sz w:val="32"/>
          <w:szCs w:val="32"/>
          <w:shd w:val="clear" w:color="auto" w:fill="FFFF00"/>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left"/>
              <w:textAlignment w:val="bottom"/>
              <w:rPr>
                <w:rFonts w:hint="default" w:cs="宋体"/>
                <w:b/>
                <w:color w:val="000000"/>
                <w:sz w:val="32"/>
                <w:szCs w:val="32"/>
              </w:rPr>
            </w:pPr>
            <w:r>
              <w:rPr>
                <w:rFonts w:hint="eastAsia" w:ascii="方正黑体_GBK" w:hAnsi="方正黑体_GBK" w:eastAsia="方正黑体_GBK" w:cs="方正黑体_GBK"/>
                <w:b w:val="0"/>
                <w:bCs/>
                <w:color w:val="000000"/>
                <w:sz w:val="32"/>
                <w:szCs w:val="32"/>
                <w:lang w:eastAsia="zh-CN"/>
              </w:rPr>
              <w:t>附件</w:t>
            </w:r>
            <w:r>
              <w:rPr>
                <w:rFonts w:hint="eastAsia" w:ascii="方正黑体_GBK" w:hAnsi="方正黑体_GBK" w:eastAsia="方正黑体_GBK" w:cs="方正黑体_GBK"/>
                <w:b w:val="0"/>
                <w:bCs/>
                <w:color w:val="000000"/>
                <w:sz w:val="32"/>
                <w:szCs w:val="32"/>
                <w:lang w:val="en-US" w:eastAsia="zh-CN"/>
              </w:rPr>
              <w:t xml:space="preserve">1                                 </w:t>
            </w: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重庆市荣昌区荣隆镇农业服务中心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574.03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133.99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20.85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574.03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574.03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574.03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574.03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重庆市荣昌区荣隆镇农业服务中心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574.03</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574.03</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394.56</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394.56</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8"/>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重庆市荣昌区荣隆镇农业服务中心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574.03</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574.03</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394.56</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394.56</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21.89</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重庆市荣昌区荣隆镇农业服务中心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133.99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20.85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394.56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574.03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574.03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重庆市荣昌区荣隆镇农业服务中心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574.03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574.03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133.99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46.89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20.85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394.56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2130104</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394.56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394.56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21.89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firstLine="600" w:firstLineChars="300"/>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bookmarkStart w:id="0" w:name="_GoBack"/>
      <w:bookmarkEnd w:id="0"/>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重庆市荣昌区荣隆镇农业服务中心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424.54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91.38</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92.32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200.42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482.65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91.38</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重庆市荣昌区荣隆镇农业服务中心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重庆市荣昌区荣隆镇农业服务中心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重庆市荣昌区荣隆镇农业服务中心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6.81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tbl>
      <w:tblPr>
        <w:tblStyle w:val="8"/>
        <w:tblW w:w="15320" w:type="dxa"/>
        <w:tblInd w:w="0" w:type="dxa"/>
        <w:shd w:val="clear" w:color="auto" w:fill="auto"/>
        <w:tblLayout w:type="fixed"/>
        <w:tblCellMar>
          <w:top w:w="0" w:type="dxa"/>
          <w:left w:w="0" w:type="dxa"/>
          <w:bottom w:w="0" w:type="dxa"/>
          <w:right w:w="0" w:type="dxa"/>
        </w:tblCellMar>
      </w:tblPr>
      <w:tblGrid>
        <w:gridCol w:w="2425"/>
        <w:gridCol w:w="1855"/>
        <w:gridCol w:w="1791"/>
        <w:gridCol w:w="1379"/>
        <w:gridCol w:w="971"/>
        <w:gridCol w:w="1359"/>
        <w:gridCol w:w="1073"/>
        <w:gridCol w:w="1374"/>
        <w:gridCol w:w="764"/>
        <w:gridCol w:w="1132"/>
        <w:gridCol w:w="1197"/>
      </w:tblGrid>
      <w:tr>
        <w:tblPrEx>
          <w:shd w:val="clear" w:color="auto" w:fill="auto"/>
          <w:tblLayout w:type="fixed"/>
          <w:tblCellMar>
            <w:top w:w="0" w:type="dxa"/>
            <w:left w:w="0" w:type="dxa"/>
            <w:bottom w:w="0" w:type="dxa"/>
            <w:right w:w="0" w:type="dxa"/>
          </w:tblCellMar>
        </w:tblPrEx>
        <w:trPr>
          <w:trHeight w:val="8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ascii="微软雅黑" w:hAnsi="微软雅黑" w:eastAsia="微软雅黑" w:cs="微软雅黑"/>
                <w:b/>
                <w:i w:val="0"/>
                <w:color w:val="000000"/>
                <w:sz w:val="40"/>
                <w:szCs w:val="40"/>
                <w:u w:val="none"/>
              </w:rPr>
            </w:pPr>
            <w:r>
              <w:rPr>
                <w:rFonts w:hint="eastAsia" w:ascii="方正黑体_GBK" w:hAnsi="方正黑体_GBK" w:eastAsia="方正黑体_GBK" w:cs="方正黑体_GBK"/>
                <w:b w:val="0"/>
                <w:bCs/>
                <w:i w:val="0"/>
                <w:color w:val="000000"/>
                <w:kern w:val="0"/>
                <w:sz w:val="32"/>
                <w:szCs w:val="32"/>
                <w:u w:val="none"/>
                <w:lang w:val="en-US" w:eastAsia="zh-CN" w:bidi="ar"/>
              </w:rPr>
              <w:t xml:space="preserve">附件2                         </w:t>
            </w:r>
            <w:r>
              <w:rPr>
                <w:rFonts w:hint="eastAsia" w:ascii="微软雅黑" w:hAnsi="微软雅黑" w:eastAsia="微软雅黑" w:cs="微软雅黑"/>
                <w:b/>
                <w:i w:val="0"/>
                <w:color w:val="000000"/>
                <w:kern w:val="0"/>
                <w:sz w:val="40"/>
                <w:szCs w:val="40"/>
                <w:u w:val="none"/>
                <w:lang w:val="en-US" w:eastAsia="zh-CN" w:bidi="ar"/>
              </w:rPr>
              <w:t>2024年度单位整体绩效自评表</w:t>
            </w: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项目名称：</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重庆市荣昌区荣隆镇农业服务中心整体自评</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项目编码：</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50015300024P000075</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b/>
                <w:i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项目主管单位：</w:t>
            </w:r>
          </w:p>
        </w:tc>
        <w:tc>
          <w:tcPr>
            <w:tcW w:w="364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911-重庆市荣昌区荣隆镇人民政府</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财政归口处室：</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002-预算科</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单位联系人：</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陈洁</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1197" w:type="dxa"/>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17338309833</w:t>
            </w: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Layout w:type="fixed"/>
          <w:tblCellMar>
            <w:top w:w="0" w:type="dxa"/>
            <w:left w:w="0" w:type="dxa"/>
            <w:bottom w:w="0" w:type="dxa"/>
            <w:right w:w="0" w:type="dxa"/>
          </w:tblCellMar>
        </w:tblPrEx>
        <w:trPr>
          <w:trHeight w:val="500" w:hRule="atLeast"/>
        </w:trPr>
        <w:tc>
          <w:tcPr>
            <w:tcW w:w="42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center"/>
              <w:rPr>
                <w:rFonts w:hint="eastAsia" w:ascii="宋体" w:hAnsi="宋体" w:eastAsia="宋体" w:cs="宋体"/>
                <w:i w:val="0"/>
                <w:color w:val="000000"/>
                <w:sz w:val="22"/>
                <w:szCs w:val="22"/>
                <w:u w:val="none"/>
              </w:rPr>
            </w:pPr>
          </w:p>
        </w:tc>
        <w:tc>
          <w:tcPr>
            <w:tcW w:w="317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年初预算数</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全年（调整）预算数</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全年执行数</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执行率权重</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执行率得分</w:t>
            </w: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年度总金额</w:t>
            </w:r>
          </w:p>
        </w:tc>
        <w:tc>
          <w:tcPr>
            <w:tcW w:w="185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5,495,847.79 </w:t>
            </w:r>
          </w:p>
        </w:tc>
        <w:tc>
          <w:tcPr>
            <w:tcW w:w="9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5,740,309.59 </w:t>
            </w:r>
          </w:p>
        </w:tc>
        <w:tc>
          <w:tcPr>
            <w:tcW w:w="10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5,740,309.59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其中：财政拨款</w:t>
            </w:r>
          </w:p>
        </w:tc>
        <w:tc>
          <w:tcPr>
            <w:tcW w:w="185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5,495,847.79 </w:t>
            </w:r>
          </w:p>
        </w:tc>
        <w:tc>
          <w:tcPr>
            <w:tcW w:w="9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5,740,309.59 </w:t>
            </w:r>
          </w:p>
        </w:tc>
        <w:tc>
          <w:tcPr>
            <w:tcW w:w="10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5,740,309.59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10.00 </w:t>
            </w: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nil"/>
            </w:tcBorders>
            <w:shd w:val="clear" w:color="auto" w:fill="auto"/>
            <w:tcMar>
              <w:top w:w="14" w:type="dxa"/>
              <w:left w:w="14" w:type="dxa"/>
              <w:right w:w="14"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一般公共预算</w:t>
            </w:r>
          </w:p>
        </w:tc>
        <w:tc>
          <w:tcPr>
            <w:tcW w:w="1855"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79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5,495,847.79 </w:t>
            </w:r>
          </w:p>
        </w:tc>
        <w:tc>
          <w:tcPr>
            <w:tcW w:w="971"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59"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5,740,309.59 </w:t>
            </w:r>
          </w:p>
        </w:tc>
        <w:tc>
          <w:tcPr>
            <w:tcW w:w="1073" w:type="dxa"/>
            <w:tcBorders>
              <w:top w:val="single" w:color="000000" w:sz="4" w:space="0"/>
              <w:left w:val="single" w:color="000000" w:sz="4" w:space="0"/>
              <w:bottom w:val="single" w:color="000000" w:sz="4" w:space="0"/>
              <w:right w:val="nil"/>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374" w:type="dxa"/>
            <w:tcBorders>
              <w:top w:val="single" w:color="000000" w:sz="4" w:space="0"/>
              <w:left w:val="nil"/>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5,740,309.59 </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rPr>
                <w:rFonts w:hint="eastAsia" w:ascii="宋体" w:hAnsi="宋体" w:eastAsia="宋体" w:cs="宋体"/>
                <w:i w:val="0"/>
                <w:color w:val="000000"/>
                <w:sz w:val="22"/>
                <w:szCs w:val="22"/>
                <w:u w:val="none"/>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righ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Layout w:type="fixed"/>
          <w:tblCellMar>
            <w:top w:w="0" w:type="dxa"/>
            <w:left w:w="0" w:type="dxa"/>
            <w:bottom w:w="0" w:type="dxa"/>
            <w:right w:w="0" w:type="dxa"/>
          </w:tblCellMar>
        </w:tblPrEx>
        <w:trPr>
          <w:trHeight w:val="500" w:hRule="atLeast"/>
        </w:trPr>
        <w:tc>
          <w:tcPr>
            <w:tcW w:w="74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477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trHeight w:val="1600" w:hRule="atLeast"/>
        </w:trPr>
        <w:tc>
          <w:tcPr>
            <w:tcW w:w="7450"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2024年我镇农业服务中心主要做好如下工作：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一是推动国家级玉米制种基地创建。紧扣市委“一号工程”，服务全区战略，紧盯制种关键点，加快创建国家级玉米制种基地。创新种业发展，拓展基地建设，联合石碾镇共同打造1万亩集中连片的南方玉米制种核心区，延伸产业链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二是推动城乡融合发展。统筹落实乡村振兴和新型城镇化战略，重点打造以产业为共同发展纽带的城乡融合发展先行区。落实乡村振兴战略，加快推进基础设施一体化发展，坚守耕地红线，推进高标准农田建设。迭代升级和美乡村，扎实推进农村厕所革命，在聚集区域打造小院，加快更新场镇建设，加快城乡危房改造步伐，完成老旧小区及场镇品质提升一体化项目建设，不断完善公共文化服务体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三是推动生态文明建设。加强生态环境保护和治理，落实“河长制”，改善水环境治理，完成曹子冲煤矿和长田坎煤矿地质环境治理恢复。推动绿色转型发展，持续开展农村垃圾整治工作，创建市级、区级垃圾分类示范村和市级绿色示范村。</w:t>
            </w:r>
          </w:p>
        </w:tc>
        <w:tc>
          <w:tcPr>
            <w:tcW w:w="4777" w:type="dxa"/>
            <w:gridSpan w:val="4"/>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jc w:val="left"/>
              <w:rPr>
                <w:rFonts w:hint="eastAsia" w:ascii="宋体" w:hAnsi="宋体" w:eastAsia="宋体" w:cs="宋体"/>
                <w:i w:val="0"/>
                <w:color w:val="000000"/>
                <w:sz w:val="22"/>
                <w:szCs w:val="22"/>
                <w:u w:val="none"/>
              </w:rPr>
            </w:pPr>
          </w:p>
        </w:tc>
        <w:tc>
          <w:tcPr>
            <w:tcW w:w="3093" w:type="dxa"/>
            <w:gridSpan w:val="3"/>
            <w:tcBorders>
              <w:top w:val="single" w:color="000000" w:sz="4" w:space="0"/>
              <w:left w:val="single" w:color="000000" w:sz="4" w:space="0"/>
              <w:bottom w:val="single" w:color="000000" w:sz="4" w:space="0"/>
              <w:right w:val="single" w:color="000000" w:sz="4" w:space="0"/>
            </w:tcBorders>
            <w:shd w:val="clear" w:color="auto" w:fill="auto"/>
            <w:tcMar>
              <w:top w:w="14" w:type="dxa"/>
              <w:left w:w="14" w:type="dxa"/>
              <w:right w:w="14" w:type="dxa"/>
            </w:tcMar>
            <w:vAlign w:val="top"/>
          </w:tcPr>
          <w:p>
            <w:pPr>
              <w:keepNext w:val="0"/>
              <w:keepLines w:val="0"/>
              <w:widowControl/>
              <w:suppressLineNumbers w:val="0"/>
              <w:jc w:val="left"/>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2024年我镇农业服务中心主要完成了如下工作：</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一是推动国家级玉米制种基地创建。紧扣市委“一号工程”，服务全区战略，紧盯制种关键点，加快创建国家级玉米制种基地。创新种业发展，拓展基地建设，联合石碾镇共同打造1万亩集中连片的南方玉米制种核心区，延伸产业链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二是推动城乡融合发展。统筹落实乡村振兴和新型城镇化战略，重点打造以产业为共同发展纽带的城乡融合发展先行区。落实乡村振兴战略，加快推进基础设施一体化发展，坚守耕地红线，推进高标准农田建设。迭代升级和美乡村，扎实推进农村厕所革命，在聚集区域打造小院，加快更新场镇建设，加快城乡危房改造步伐，完成老旧小区及场镇品质提升一体化项目建设，不断完善公共文化服务体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三是推动生态文明建设。加强生态环境保护和治理，落实“河长制”，改善水环境治理，完成曹子冲煤矿和长田坎煤矿地质环境治理恢复。推动绿色转型发展，持续开展农村垃圾整治工作，创建市级、区级垃圾分类示范村和市级绿色示范村。</w:t>
            </w:r>
          </w:p>
        </w:tc>
      </w:tr>
      <w:tr>
        <w:tblPrEx>
          <w:shd w:val="clear" w:color="auto" w:fill="auto"/>
          <w:tblLayout w:type="fixed"/>
          <w:tblCellMar>
            <w:top w:w="0" w:type="dxa"/>
            <w:left w:w="0" w:type="dxa"/>
            <w:bottom w:w="0" w:type="dxa"/>
            <w:right w:w="0" w:type="dxa"/>
          </w:tblCellMar>
        </w:tblPrEx>
        <w:trPr>
          <w:trHeight w:val="600" w:hRule="atLeast"/>
        </w:trPr>
        <w:tc>
          <w:tcPr>
            <w:tcW w:w="1532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偏离度（%）</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是否核心指标</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创建市级绿色示范村</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农村公路建设里程</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农村公路养护里程</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公里</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144.94</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144.94</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衔接乡村振兴产业到户户数</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农村人居环境改善</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污水处理站运行情况</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否</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群众满意度</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137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971"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c>
          <w:tcPr>
            <w:tcW w:w="1073"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37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64"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132"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keepNext w:val="0"/>
              <w:keepLines w:val="0"/>
              <w:widowControl/>
              <w:suppressLineNumbers w:val="0"/>
              <w:ind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w:t>
            </w: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tcMar>
              <w:top w:w="14" w:type="dxa"/>
              <w:left w:w="14" w:type="dxa"/>
              <w:right w:w="14" w:type="dxa"/>
            </w:tcMar>
            <w:vAlign w:val="center"/>
          </w:tcPr>
          <w:p>
            <w:pPr>
              <w:jc w:val="left"/>
              <w:rPr>
                <w:rFonts w:hint="eastAsia" w:ascii="宋体" w:hAnsi="宋体" w:eastAsia="宋体" w:cs="宋体"/>
                <w:i w:val="0"/>
                <w:color w:val="000000"/>
                <w:sz w:val="22"/>
                <w:szCs w:val="22"/>
                <w:u w:val="none"/>
              </w:rPr>
            </w:pPr>
          </w:p>
        </w:tc>
      </w:tr>
    </w:tbl>
    <w:p>
      <w:pPr>
        <w:rPr>
          <w:rFonts w:hint="default"/>
          <w:sz w:val="18"/>
          <w:szCs w:val="18"/>
        </w:rPr>
      </w:pP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438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3360"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7A752A"/>
    <w:multiLevelType w:val="singleLevel"/>
    <w:tmpl w:val="7E7A752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75B04"/>
    <w:rsid w:val="001D3BB7"/>
    <w:rsid w:val="002B254B"/>
    <w:rsid w:val="0034050A"/>
    <w:rsid w:val="0044504F"/>
    <w:rsid w:val="00466C9B"/>
    <w:rsid w:val="00486CFC"/>
    <w:rsid w:val="00491DDD"/>
    <w:rsid w:val="00550ABE"/>
    <w:rsid w:val="005B1480"/>
    <w:rsid w:val="00623A85"/>
    <w:rsid w:val="006709C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5EB5070"/>
    <w:rsid w:val="06194FF1"/>
    <w:rsid w:val="0687519C"/>
    <w:rsid w:val="06A2550B"/>
    <w:rsid w:val="06F80EE2"/>
    <w:rsid w:val="07001CCA"/>
    <w:rsid w:val="071E7CD4"/>
    <w:rsid w:val="075678DB"/>
    <w:rsid w:val="079D7CC7"/>
    <w:rsid w:val="08051BCA"/>
    <w:rsid w:val="086C12F4"/>
    <w:rsid w:val="08705944"/>
    <w:rsid w:val="08BA052C"/>
    <w:rsid w:val="08DB07BA"/>
    <w:rsid w:val="091A2DFB"/>
    <w:rsid w:val="09547587"/>
    <w:rsid w:val="0969353F"/>
    <w:rsid w:val="098305D0"/>
    <w:rsid w:val="09B1218B"/>
    <w:rsid w:val="0A1C6EBB"/>
    <w:rsid w:val="0A3317EA"/>
    <w:rsid w:val="0A5C4B69"/>
    <w:rsid w:val="0A64514A"/>
    <w:rsid w:val="0A86124A"/>
    <w:rsid w:val="0AB54CC0"/>
    <w:rsid w:val="0B0C512F"/>
    <w:rsid w:val="0B9335CE"/>
    <w:rsid w:val="0BF2311A"/>
    <w:rsid w:val="0C7927C4"/>
    <w:rsid w:val="0C844FCD"/>
    <w:rsid w:val="0C9B098C"/>
    <w:rsid w:val="0D673E11"/>
    <w:rsid w:val="0DDA54E4"/>
    <w:rsid w:val="0DE87D16"/>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E968E4"/>
    <w:rsid w:val="13FD55AB"/>
    <w:rsid w:val="141D6D5F"/>
    <w:rsid w:val="14200702"/>
    <w:rsid w:val="14370EA1"/>
    <w:rsid w:val="145D6F41"/>
    <w:rsid w:val="14685B46"/>
    <w:rsid w:val="153C68A1"/>
    <w:rsid w:val="163A6CEE"/>
    <w:rsid w:val="16E63EFC"/>
    <w:rsid w:val="170D4AA9"/>
    <w:rsid w:val="173708E3"/>
    <w:rsid w:val="176516BE"/>
    <w:rsid w:val="17C374FC"/>
    <w:rsid w:val="182E4AB6"/>
    <w:rsid w:val="18347804"/>
    <w:rsid w:val="189079DC"/>
    <w:rsid w:val="189B0D0B"/>
    <w:rsid w:val="18B43F7C"/>
    <w:rsid w:val="191C433B"/>
    <w:rsid w:val="194A1770"/>
    <w:rsid w:val="19B906A4"/>
    <w:rsid w:val="1A296A87"/>
    <w:rsid w:val="1A5B67C7"/>
    <w:rsid w:val="1AA637A2"/>
    <w:rsid w:val="1B6F15B6"/>
    <w:rsid w:val="1BAA2EDC"/>
    <w:rsid w:val="1C9F4199"/>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152FBE"/>
    <w:rsid w:val="21556F04"/>
    <w:rsid w:val="22403BD3"/>
    <w:rsid w:val="228E0962"/>
    <w:rsid w:val="235417B6"/>
    <w:rsid w:val="24B16F67"/>
    <w:rsid w:val="24B92327"/>
    <w:rsid w:val="24C14514"/>
    <w:rsid w:val="2533755C"/>
    <w:rsid w:val="25791755"/>
    <w:rsid w:val="26396DF4"/>
    <w:rsid w:val="27167136"/>
    <w:rsid w:val="271B442C"/>
    <w:rsid w:val="27B23302"/>
    <w:rsid w:val="29310A5F"/>
    <w:rsid w:val="29C37A35"/>
    <w:rsid w:val="2A076083"/>
    <w:rsid w:val="2A3D7062"/>
    <w:rsid w:val="2A73162E"/>
    <w:rsid w:val="2ACC0F81"/>
    <w:rsid w:val="2B167953"/>
    <w:rsid w:val="2B200583"/>
    <w:rsid w:val="2B4B6BD5"/>
    <w:rsid w:val="2B8209DE"/>
    <w:rsid w:val="2B821C91"/>
    <w:rsid w:val="2BF81A22"/>
    <w:rsid w:val="2C636760"/>
    <w:rsid w:val="2C6762A3"/>
    <w:rsid w:val="2DF41D09"/>
    <w:rsid w:val="2E0538D4"/>
    <w:rsid w:val="2F1B7739"/>
    <w:rsid w:val="2FCA4B37"/>
    <w:rsid w:val="2FE029D7"/>
    <w:rsid w:val="2FF06E00"/>
    <w:rsid w:val="30586FEC"/>
    <w:rsid w:val="315F0B22"/>
    <w:rsid w:val="31D84415"/>
    <w:rsid w:val="32285F6F"/>
    <w:rsid w:val="32770556"/>
    <w:rsid w:val="329C0913"/>
    <w:rsid w:val="32AA0460"/>
    <w:rsid w:val="3337290D"/>
    <w:rsid w:val="33C929A1"/>
    <w:rsid w:val="33E31118"/>
    <w:rsid w:val="33EF7674"/>
    <w:rsid w:val="340301CF"/>
    <w:rsid w:val="340A7176"/>
    <w:rsid w:val="342D7BC6"/>
    <w:rsid w:val="34F25BD2"/>
    <w:rsid w:val="352930DB"/>
    <w:rsid w:val="35573069"/>
    <w:rsid w:val="355D15E0"/>
    <w:rsid w:val="355F6038"/>
    <w:rsid w:val="358C217E"/>
    <w:rsid w:val="36C9128A"/>
    <w:rsid w:val="375D6A17"/>
    <w:rsid w:val="37841E99"/>
    <w:rsid w:val="37BF1123"/>
    <w:rsid w:val="37C16356"/>
    <w:rsid w:val="383C3F15"/>
    <w:rsid w:val="38BE4696"/>
    <w:rsid w:val="38C264EC"/>
    <w:rsid w:val="3939115E"/>
    <w:rsid w:val="39AA49DC"/>
    <w:rsid w:val="39AB7AFE"/>
    <w:rsid w:val="39B82A39"/>
    <w:rsid w:val="39C42CA8"/>
    <w:rsid w:val="39DC4FD6"/>
    <w:rsid w:val="39F03D7A"/>
    <w:rsid w:val="39F33306"/>
    <w:rsid w:val="3A0149F5"/>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B37C09"/>
    <w:rsid w:val="3FCD675E"/>
    <w:rsid w:val="4004000C"/>
    <w:rsid w:val="40BD5482"/>
    <w:rsid w:val="411B6CE5"/>
    <w:rsid w:val="412070D7"/>
    <w:rsid w:val="41314E40"/>
    <w:rsid w:val="41E0734B"/>
    <w:rsid w:val="42667F1B"/>
    <w:rsid w:val="426C1EA8"/>
    <w:rsid w:val="42736402"/>
    <w:rsid w:val="42E86A87"/>
    <w:rsid w:val="43307B09"/>
    <w:rsid w:val="434452BB"/>
    <w:rsid w:val="436D44AF"/>
    <w:rsid w:val="439A3EB9"/>
    <w:rsid w:val="43A2191B"/>
    <w:rsid w:val="43BB152F"/>
    <w:rsid w:val="445C3F79"/>
    <w:rsid w:val="44C37687"/>
    <w:rsid w:val="453971BA"/>
    <w:rsid w:val="45CB699A"/>
    <w:rsid w:val="46423C66"/>
    <w:rsid w:val="465B470D"/>
    <w:rsid w:val="469D6AD4"/>
    <w:rsid w:val="471E6C84"/>
    <w:rsid w:val="4748792B"/>
    <w:rsid w:val="475D719D"/>
    <w:rsid w:val="47674801"/>
    <w:rsid w:val="48225EF7"/>
    <w:rsid w:val="488F422B"/>
    <w:rsid w:val="48E36915"/>
    <w:rsid w:val="48EB6572"/>
    <w:rsid w:val="495B1384"/>
    <w:rsid w:val="495C4A24"/>
    <w:rsid w:val="497135DF"/>
    <w:rsid w:val="4A263DF2"/>
    <w:rsid w:val="4A2F278B"/>
    <w:rsid w:val="4A6F6675"/>
    <w:rsid w:val="4B135857"/>
    <w:rsid w:val="4B7951CB"/>
    <w:rsid w:val="4B7C315C"/>
    <w:rsid w:val="4C9316A8"/>
    <w:rsid w:val="4D1F53CA"/>
    <w:rsid w:val="4DAC4ACA"/>
    <w:rsid w:val="4DBE01D2"/>
    <w:rsid w:val="4F037220"/>
    <w:rsid w:val="4F0C6BA3"/>
    <w:rsid w:val="4F186D58"/>
    <w:rsid w:val="50BD00FA"/>
    <w:rsid w:val="50F06B6E"/>
    <w:rsid w:val="51D21804"/>
    <w:rsid w:val="52234D33"/>
    <w:rsid w:val="522F6E0C"/>
    <w:rsid w:val="52463BA1"/>
    <w:rsid w:val="529C6295"/>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3C1C09"/>
    <w:rsid w:val="56530F5D"/>
    <w:rsid w:val="567700D3"/>
    <w:rsid w:val="569E5A73"/>
    <w:rsid w:val="56FF7E9E"/>
    <w:rsid w:val="578867FC"/>
    <w:rsid w:val="5842572D"/>
    <w:rsid w:val="59716032"/>
    <w:rsid w:val="5A3B59D6"/>
    <w:rsid w:val="5A522848"/>
    <w:rsid w:val="5AD134D8"/>
    <w:rsid w:val="5BF41F67"/>
    <w:rsid w:val="5C263CE4"/>
    <w:rsid w:val="5C5D2777"/>
    <w:rsid w:val="5CF66BF3"/>
    <w:rsid w:val="5D290C69"/>
    <w:rsid w:val="5DA80C2C"/>
    <w:rsid w:val="5F2D4A41"/>
    <w:rsid w:val="60C74F6C"/>
    <w:rsid w:val="60E33485"/>
    <w:rsid w:val="61015958"/>
    <w:rsid w:val="61025A59"/>
    <w:rsid w:val="613D5BBC"/>
    <w:rsid w:val="61536C39"/>
    <w:rsid w:val="62944DD7"/>
    <w:rsid w:val="6319381F"/>
    <w:rsid w:val="6352032B"/>
    <w:rsid w:val="63C25DC5"/>
    <w:rsid w:val="63C62057"/>
    <w:rsid w:val="64571EF5"/>
    <w:rsid w:val="64FB113D"/>
    <w:rsid w:val="656152C6"/>
    <w:rsid w:val="657D543F"/>
    <w:rsid w:val="658736DA"/>
    <w:rsid w:val="6587477F"/>
    <w:rsid w:val="658C3A08"/>
    <w:rsid w:val="65C031CA"/>
    <w:rsid w:val="65CE6852"/>
    <w:rsid w:val="66267C04"/>
    <w:rsid w:val="663F505A"/>
    <w:rsid w:val="66AF5D7C"/>
    <w:rsid w:val="66EE5541"/>
    <w:rsid w:val="67924660"/>
    <w:rsid w:val="68407834"/>
    <w:rsid w:val="6883293E"/>
    <w:rsid w:val="688412AD"/>
    <w:rsid w:val="68EB1B71"/>
    <w:rsid w:val="68F14B4A"/>
    <w:rsid w:val="693F56EE"/>
    <w:rsid w:val="69527E1A"/>
    <w:rsid w:val="6967732B"/>
    <w:rsid w:val="696C0310"/>
    <w:rsid w:val="6A3B7366"/>
    <w:rsid w:val="6A6C7940"/>
    <w:rsid w:val="6A9F1565"/>
    <w:rsid w:val="6AAD2300"/>
    <w:rsid w:val="6B474EF5"/>
    <w:rsid w:val="6C0A5AC5"/>
    <w:rsid w:val="6C560CAE"/>
    <w:rsid w:val="6C576495"/>
    <w:rsid w:val="6CEB481F"/>
    <w:rsid w:val="6D903FF5"/>
    <w:rsid w:val="6DA955B8"/>
    <w:rsid w:val="6DE346AB"/>
    <w:rsid w:val="6DE5391A"/>
    <w:rsid w:val="6E774BCF"/>
    <w:rsid w:val="6EFD1324"/>
    <w:rsid w:val="6F1C34CC"/>
    <w:rsid w:val="6F5A53AC"/>
    <w:rsid w:val="6FAC003D"/>
    <w:rsid w:val="6FD926BF"/>
    <w:rsid w:val="6FE55E12"/>
    <w:rsid w:val="6FFB2E76"/>
    <w:rsid w:val="7039075C"/>
    <w:rsid w:val="708F6F7F"/>
    <w:rsid w:val="70D94BD3"/>
    <w:rsid w:val="71574775"/>
    <w:rsid w:val="71C34D91"/>
    <w:rsid w:val="72DB435C"/>
    <w:rsid w:val="72E2613A"/>
    <w:rsid w:val="72F771F4"/>
    <w:rsid w:val="73934AD2"/>
    <w:rsid w:val="73AD1A0B"/>
    <w:rsid w:val="750837F0"/>
    <w:rsid w:val="754758CF"/>
    <w:rsid w:val="75595ECD"/>
    <w:rsid w:val="75611D7A"/>
    <w:rsid w:val="764F62AB"/>
    <w:rsid w:val="765C45EC"/>
    <w:rsid w:val="768A7619"/>
    <w:rsid w:val="772E1EBA"/>
    <w:rsid w:val="77822D27"/>
    <w:rsid w:val="7786063D"/>
    <w:rsid w:val="77ED4553"/>
    <w:rsid w:val="781926BC"/>
    <w:rsid w:val="79105036"/>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 w:val="7FF34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paragraph" w:styleId="7">
    <w:name w:val="Title"/>
    <w:basedOn w:val="1"/>
    <w:next w:val="1"/>
    <w:qFormat/>
    <w:uiPriority w:val="0"/>
    <w:pPr>
      <w:spacing w:before="240" w:beforeAutospacing="0" w:after="60" w:afterAutospacing="0"/>
      <w:ind w:left="0" w:right="0"/>
      <w:jc w:val="center"/>
      <w:outlineLvl w:val="0"/>
    </w:pPr>
    <w:rPr>
      <w:rFonts w:hint="eastAsia" w:ascii="Cambria" w:hAnsi="Cambria" w:eastAsia="宋体" w:cs="宋体"/>
      <w:b/>
      <w:kern w:val="0"/>
      <w:sz w:val="24"/>
      <w:szCs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2"/>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8</TotalTime>
  <ScaleCrop>false</ScaleCrop>
  <LinksUpToDate>false</LinksUpToDate>
  <CharactersWithSpaces>26313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2025-09-23T03:00:23Z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ies>
</file>