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eastAsia="zh-CN"/>
        </w:rPr>
        <w:t>经办人：</w:t>
      </w:r>
      <w:r>
        <w:rPr>
          <w:rFonts w:hint="eastAsia" w:ascii="方正小标宋_GBK" w:hAnsi="方正小标宋_GBK" w:eastAsia="方正小标宋_GBK" w:cs="方正小标宋_GBK"/>
          <w:b w:val="0"/>
          <w:bCs w:val="0"/>
          <w:sz w:val="36"/>
          <w:szCs w:val="36"/>
          <w:lang w:val="en-US" w:eastAsia="zh-CN"/>
        </w:rPr>
        <w:t xml:space="preserve">             单位负责人：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rPr>
        <w:t>重庆市荣昌区荣隆镇人民政府</w:t>
      </w: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b w:val="0"/>
          <w:bCs w:val="0"/>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小标宋_GBK" w:hAnsi="方正小标宋_GBK" w:eastAsia="方正小标宋_GBK" w:cs="方正小标宋_GBK"/>
          <w:b w:val="0"/>
          <w:bCs/>
          <w:sz w:val="32"/>
          <w:szCs w:val="32"/>
          <w:shd w:val="clear" w:color="auto" w:fill="FFFFFF"/>
        </w:rPr>
      </w:pPr>
      <w:r>
        <w:rPr>
          <w:rStyle w:val="10"/>
          <w:rFonts w:hint="eastAsia" w:ascii="方正小标宋_GBK" w:hAnsi="方正小标宋_GBK" w:eastAsia="方正小标宋_GBK" w:cs="方正小标宋_GBK"/>
          <w:b w:val="0"/>
          <w:bCs/>
          <w:sz w:val="32"/>
          <w:szCs w:val="32"/>
          <w:shd w:val="clear" w:color="auto" w:fill="FFFFFF"/>
        </w:rPr>
        <w:t>一、</w:t>
      </w:r>
      <w:r>
        <w:rPr>
          <w:rStyle w:val="10"/>
          <w:rFonts w:hint="eastAsia" w:ascii="方正小标宋_GBK" w:hAnsi="方正小标宋_GBK" w:eastAsia="方正小标宋_GBK" w:cs="方正小标宋_GBK"/>
          <w:b w:val="0"/>
          <w:bCs/>
          <w:sz w:val="32"/>
          <w:szCs w:val="32"/>
          <w:shd w:val="clear" w:color="auto" w:fill="FFFFFF"/>
          <w:lang w:eastAsia="zh-CN"/>
        </w:rPr>
        <w:t>部门</w:t>
      </w:r>
      <w:r>
        <w:rPr>
          <w:rStyle w:val="10"/>
          <w:rFonts w:hint="eastAsia" w:ascii="方正小标宋_GBK" w:hAnsi="方正小标宋_GBK" w:eastAsia="方正小标宋_GBK" w:cs="方正小标宋_GBK"/>
          <w:b w:val="0"/>
          <w:bCs/>
          <w:sz w:val="32"/>
          <w:szCs w:val="32"/>
          <w:shd w:val="clear" w:color="auto" w:fill="FFFFFF"/>
        </w:rPr>
        <w:t>基本情况</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重庆市荣昌区荣隆镇人民政府的主要职能职责是：制定和组织实施经济、科技和社会发展计划，组织指导各行生产，协调本镇与外地区经济交流与合作，抓好招商引资；制定组织村镇规划，部署重点工程建设，地方道路，公共设施、水利设施，负债土地、林木等；负责本区域类民政、计划生育、文化教育、卫生体育等社会公益事业的综合性工作；组织本级财政税收和财政收入，完成国家计划，增强财政实力；完成上级政府交办其他事项。</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聚焦党的建设、经济发展、民生服务、平安法治等主要职能，荣隆镇统筹设置5个内设机构，分别为：基层治理综合指挥室，党的建设办公室，经济发展办公室，民生服务办公室，平安法治办公室。</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left="0" w:right="0" w:rightChars="0" w:firstLine="640" w:firstLineChars="200"/>
        <w:jc w:val="left"/>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从预算单位构成看，纳入本部门2024年度决算编制的二级预算单位主要包括重庆市荣昌区荣隆镇人民政府（本级）、重庆市荣昌区荣隆镇文化服务中心、重庆市荣昌区荣隆镇农业服务中心、重庆市荣昌区荣隆镇劳动就业和社会保障服务所、重庆市荣昌区荣隆镇退役军人服务站、重庆市荣昌区荣隆镇综合行政执法大队、重庆市荣昌区荣隆镇建设环保服务中心、重庆市荣昌区荣隆镇畜牧服务中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小标宋_GBK" w:hAnsi="方正小标宋_GBK" w:eastAsia="方正小标宋_GBK" w:cs="方正小标宋_GBK"/>
          <w:b w:val="0"/>
          <w:bCs/>
          <w:sz w:val="32"/>
          <w:szCs w:val="32"/>
          <w:shd w:val="clear" w:color="auto" w:fill="FFFFFF"/>
        </w:rPr>
      </w:pPr>
      <w:r>
        <w:rPr>
          <w:rStyle w:val="10"/>
          <w:rFonts w:hint="eastAsia" w:ascii="方正小标宋_GBK" w:hAnsi="方正小标宋_GBK" w:eastAsia="方正小标宋_GBK" w:cs="方正小标宋_GBK"/>
          <w:b w:val="0"/>
          <w:bCs/>
          <w:sz w:val="32"/>
          <w:szCs w:val="32"/>
          <w:shd w:val="clear" w:color="auto" w:fill="FFFFFF"/>
        </w:rPr>
        <w:t>二、</w:t>
      </w:r>
      <w:r>
        <w:rPr>
          <w:rStyle w:val="10"/>
          <w:rFonts w:hint="eastAsia" w:ascii="方正小标宋_GBK" w:hAnsi="方正小标宋_GBK" w:eastAsia="方正小标宋_GBK" w:cs="方正小标宋_GBK"/>
          <w:b w:val="0"/>
          <w:bCs/>
          <w:sz w:val="32"/>
          <w:szCs w:val="32"/>
          <w:shd w:val="clear" w:color="auto" w:fill="FFFFFF"/>
          <w:lang w:eastAsia="zh-CN"/>
        </w:rPr>
        <w:t>部门</w:t>
      </w:r>
      <w:r>
        <w:rPr>
          <w:rStyle w:val="10"/>
          <w:rFonts w:hint="eastAsia" w:ascii="方正小标宋_GBK" w:hAnsi="方正小标宋_GBK" w:eastAsia="方正小标宋_GBK" w:cs="方正小标宋_GBK"/>
          <w:b w:val="0"/>
          <w:bCs/>
          <w:sz w:val="32"/>
          <w:szCs w:val="32"/>
          <w:shd w:val="clear" w:color="auto" w:fill="FFFFFF"/>
        </w:rPr>
        <w:t>决算</w:t>
      </w:r>
      <w:r>
        <w:rPr>
          <w:rStyle w:val="10"/>
          <w:rFonts w:hint="eastAsia" w:ascii="方正小标宋_GBK" w:hAnsi="方正小标宋_GBK" w:eastAsia="方正小标宋_GBK" w:cs="方正小标宋_GBK"/>
          <w:b w:val="0"/>
          <w:bCs/>
          <w:sz w:val="32"/>
          <w:szCs w:val="32"/>
          <w:shd w:val="clear" w:color="auto" w:fill="FFFFFF"/>
          <w:lang w:eastAsia="zh-CN"/>
        </w:rPr>
        <w:t>收支</w:t>
      </w:r>
      <w:r>
        <w:rPr>
          <w:rStyle w:val="10"/>
          <w:rFonts w:hint="eastAsia" w:ascii="方正小标宋_GBK" w:hAnsi="方正小标宋_GBK" w:eastAsia="方正小标宋_GBK" w:cs="方正小标宋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2024年度收</w:t>
      </w:r>
      <w:r>
        <w:rPr>
          <w:rFonts w:hint="eastAsia" w:ascii="方正仿宋_GBK" w:hAnsi="方正仿宋_GBK" w:eastAsia="方正仿宋_GBK" w:cs="方正仿宋_GBK"/>
          <w:color w:val="auto"/>
          <w:sz w:val="32"/>
          <w:szCs w:val="32"/>
          <w:shd w:val="clear" w:color="auto" w:fill="FFFFFF"/>
          <w:lang w:eastAsia="zh-CN"/>
        </w:rPr>
        <w:t>、支</w:t>
      </w:r>
      <w:r>
        <w:rPr>
          <w:rFonts w:hint="eastAsia"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eastAsia" w:ascii="方正仿宋_GBK" w:hAnsi="方正仿宋_GBK" w:eastAsia="方正仿宋_GBK" w:cs="方正仿宋_GBK"/>
          <w:color w:val="auto"/>
          <w:sz w:val="32"/>
          <w:szCs w:val="32"/>
          <w:shd w:val="clear" w:color="auto" w:fill="FFFFFF"/>
        </w:rPr>
        <w:t>6504.46万元。收、支与2023年度相比，减少635.97万元，下降8.9%，主要原因是厉行节约，严控经费支出，减少了政府行政大楼、农村公路建设等基础设施建设资金。</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lang w:val="en-US" w:eastAsia="zh-CN"/>
        </w:rPr>
        <w:t>1</w:t>
      </w:r>
      <w:r>
        <w:rPr>
          <w:rStyle w:val="10"/>
          <w:rFonts w:hint="eastAsia" w:ascii="方正仿宋_GBK" w:hAnsi="方正仿宋_GBK" w:eastAsia="方正仿宋_GBK" w:cs="方正仿宋_GBK"/>
          <w:color w:val="auto"/>
          <w:sz w:val="32"/>
          <w:szCs w:val="32"/>
          <w:shd w:val="clear" w:color="auto" w:fill="FFFFFF"/>
        </w:rPr>
        <w:t>.收入情况。</w:t>
      </w:r>
      <w:r>
        <w:rPr>
          <w:rFonts w:hint="eastAsia" w:ascii="方正仿宋_GBK" w:hAnsi="方正仿宋_GBK" w:eastAsia="方正仿宋_GBK" w:cs="方正仿宋_GBK"/>
          <w:color w:val="auto"/>
          <w:sz w:val="32"/>
          <w:szCs w:val="32"/>
          <w:shd w:val="clear" w:color="auto" w:fill="FFFFFF"/>
        </w:rPr>
        <w:t>2024年度收入合计6352.80万元，与2023年度相比，减少779.63万元，下降10.9%，主要原因是厉行节约，严控经费支出，减少了政府行政大楼、农村公路建设等基础设施建设资金。其中：财政拨款收入6352.80万元，占100.0%；事业收入0.00万元，占0.0%；经营收入0.00万元，占0.0%；其他收入0.00万元，占0.0%。此外，使用非财政拨款结余（含专用结余）0.00万元，年初结转和结余151.66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lang w:val="en-US" w:eastAsia="zh-CN"/>
        </w:rPr>
        <w:t>2</w:t>
      </w:r>
      <w:r>
        <w:rPr>
          <w:rStyle w:val="10"/>
          <w:rFonts w:hint="eastAsia" w:ascii="方正仿宋_GBK" w:hAnsi="方正仿宋_GBK" w:eastAsia="方正仿宋_GBK" w:cs="方正仿宋_GBK"/>
          <w:color w:val="auto"/>
          <w:sz w:val="32"/>
          <w:szCs w:val="32"/>
          <w:shd w:val="clear" w:color="auto" w:fill="FFFFFF"/>
        </w:rPr>
        <w:t>.支出情况。</w:t>
      </w:r>
      <w:r>
        <w:rPr>
          <w:rFonts w:hint="eastAsia" w:ascii="方正仿宋_GBK" w:hAnsi="方正仿宋_GBK" w:eastAsia="方正仿宋_GBK" w:cs="方正仿宋_GBK"/>
          <w:color w:val="auto"/>
          <w:sz w:val="32"/>
          <w:szCs w:val="32"/>
          <w:shd w:val="clear" w:color="auto" w:fill="FFFFFF"/>
        </w:rPr>
        <w:t>2024年度支出合计6504.46万元，与2023年度相比，减少635.97万元，下降8.9%，主要原因是厉行节约，严控经费支出，减少了政府行政大楼、农村公路建设等基础设施建设资金。其中：基本支出2880.82万元，占44.3%；项目支出3623.64万元，占55.7%；经营支出</w:t>
      </w:r>
      <w:r>
        <w:rPr>
          <w:rFonts w:hint="eastAsia" w:ascii="方正仿宋_GBK" w:hAnsi="方正仿宋_GBK" w:eastAsia="方正仿宋_GBK" w:cs="方正仿宋_GBK"/>
          <w:color w:val="auto"/>
          <w:sz w:val="32"/>
          <w:szCs w:val="32"/>
        </w:rPr>
        <w:t>0.00</w:t>
      </w:r>
      <w:r>
        <w:rPr>
          <w:rFonts w:hint="eastAsia" w:ascii="方正仿宋_GBK" w:hAnsi="方正仿宋_GBK" w:eastAsia="方正仿宋_GBK" w:cs="方正仿宋_GBK"/>
          <w:color w:val="auto"/>
          <w:sz w:val="32"/>
          <w:szCs w:val="32"/>
          <w:shd w:val="clear" w:color="auto" w:fill="FFFFFF"/>
        </w:rPr>
        <w:t>万元，占0.0%。此外，结余分配0.00万元。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lang w:val="en-US" w:eastAsia="zh-CN"/>
        </w:rPr>
        <w:t>3</w:t>
      </w:r>
      <w:r>
        <w:rPr>
          <w:rStyle w:val="10"/>
          <w:rFonts w:hint="eastAsia" w:ascii="方正仿宋_GBK" w:hAnsi="方正仿宋_GBK" w:eastAsia="方正仿宋_GBK" w:cs="方正仿宋_GBK"/>
          <w:color w:val="auto"/>
          <w:sz w:val="32"/>
          <w:szCs w:val="32"/>
          <w:shd w:val="clear" w:color="auto" w:fill="FFFFFF"/>
        </w:rPr>
        <w:t>.结转结余情况。</w:t>
      </w:r>
      <w:r>
        <w:rPr>
          <w:rFonts w:hint="eastAsia" w:ascii="方正仿宋_GBK" w:hAnsi="方正仿宋_GBK" w:eastAsia="方正仿宋_GBK" w:cs="方正仿宋_GBK"/>
          <w:color w:val="auto"/>
          <w:sz w:val="32"/>
          <w:szCs w:val="32"/>
          <w:shd w:val="clear" w:color="auto" w:fill="FFFFFF"/>
        </w:rPr>
        <w:t>2024年度年末结转和结余0.00万元，与2023年度相比，无增减，主要原因是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本年度本单位无财政应返还额度</w:t>
      </w:r>
      <w:r>
        <w:rPr>
          <w:rFonts w:hint="eastAsia"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2024年度财政拨款收、支总计均为6504.46万元。与2023年</w:t>
      </w:r>
      <w:r>
        <w:rPr>
          <w:rFonts w:hint="eastAsia" w:ascii="方正仿宋_GBK" w:hAnsi="方正仿宋_GBK" w:eastAsia="方正仿宋_GBK" w:cs="方正仿宋_GBK"/>
          <w:color w:val="auto"/>
          <w:sz w:val="32"/>
          <w:szCs w:val="32"/>
          <w:shd w:val="clear" w:color="auto" w:fill="FFFFFF"/>
          <w:lang w:eastAsia="zh-CN"/>
        </w:rPr>
        <w:t>度</w:t>
      </w:r>
      <w:r>
        <w:rPr>
          <w:rFonts w:hint="eastAsia" w:ascii="方正仿宋_GBK" w:hAnsi="方正仿宋_GBK" w:eastAsia="方正仿宋_GBK" w:cs="方正仿宋_GBK"/>
          <w:color w:val="auto"/>
          <w:sz w:val="32"/>
          <w:szCs w:val="32"/>
          <w:shd w:val="clear" w:color="auto" w:fill="FFFFFF"/>
        </w:rPr>
        <w:t>相比，财政拨款收、支总计各减少635.97万元，下降8.9%。主要原因是</w:t>
      </w:r>
      <w:r>
        <w:rPr>
          <w:rFonts w:hint="eastAsia" w:ascii="方正仿宋_GBK" w:hAnsi="方正仿宋_GBK" w:eastAsia="方正仿宋_GBK" w:cs="方正仿宋_GBK"/>
          <w:color w:val="auto"/>
          <w:sz w:val="32"/>
          <w:szCs w:val="32"/>
          <w:shd w:val="clear" w:color="auto" w:fill="FFFFFF"/>
          <w:lang w:eastAsia="zh-CN"/>
        </w:rPr>
        <w:t>厉行节约，严控经费支出，</w:t>
      </w:r>
      <w:r>
        <w:rPr>
          <w:rFonts w:hint="eastAsia"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了</w:t>
      </w:r>
      <w:r>
        <w:rPr>
          <w:rFonts w:hint="eastAsia" w:ascii="方正仿宋_GBK" w:hAnsi="方正仿宋_GBK" w:eastAsia="方正仿宋_GBK" w:cs="方正仿宋_GBK"/>
          <w:color w:val="auto"/>
          <w:sz w:val="32"/>
          <w:szCs w:val="32"/>
          <w:shd w:val="clear" w:color="auto" w:fill="FFFFFF"/>
        </w:rPr>
        <w:t>政府行政大楼、农村公路建设等基础设施建设资金。</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rPr>
        <w:t>2024年度一般公共预算财政拨款收入5457.16万元，与2023年度相比，减少1291.95万元，下降19.1%。主要原因是</w:t>
      </w:r>
      <w:r>
        <w:rPr>
          <w:rFonts w:hint="eastAsia" w:ascii="方正仿宋_GBK" w:hAnsi="方正仿宋_GBK" w:eastAsia="方正仿宋_GBK" w:cs="方正仿宋_GBK"/>
          <w:color w:val="auto"/>
          <w:sz w:val="32"/>
          <w:szCs w:val="32"/>
          <w:shd w:val="clear" w:color="auto" w:fill="FFFFFF"/>
          <w:lang w:eastAsia="zh-CN"/>
        </w:rPr>
        <w:t>厉行节约，严控经费支出，</w:t>
      </w:r>
      <w:r>
        <w:rPr>
          <w:rFonts w:hint="eastAsia"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了</w:t>
      </w:r>
      <w:r>
        <w:rPr>
          <w:rFonts w:hint="eastAsia" w:ascii="方正仿宋_GBK" w:hAnsi="方正仿宋_GBK" w:eastAsia="方正仿宋_GBK" w:cs="方正仿宋_GBK"/>
          <w:color w:val="auto"/>
          <w:sz w:val="32"/>
          <w:szCs w:val="32"/>
          <w:shd w:val="clear" w:color="auto" w:fill="FFFFFF"/>
        </w:rPr>
        <w:t>政府行政大楼、农村公路建设等基础设施建设资金。较年初预算数增加364.95万元，增长7.2%。主要原因是</w:t>
      </w:r>
      <w:r>
        <w:rPr>
          <w:rFonts w:hint="eastAsia" w:ascii="方正仿宋_GBK" w:hAnsi="方正仿宋_GBK" w:eastAsia="方正仿宋_GBK" w:cs="方正仿宋_GBK"/>
          <w:color w:val="auto"/>
          <w:sz w:val="32"/>
          <w:szCs w:val="32"/>
          <w:shd w:val="clear" w:color="auto" w:fill="FFFFFF"/>
          <w:lang w:eastAsia="zh-CN"/>
        </w:rPr>
        <w:t>增加了特色精品村、美丽宜居村建设等基础设施建设资金</w:t>
      </w:r>
      <w:r>
        <w:rPr>
          <w:rFonts w:hint="eastAsia" w:ascii="方正仿宋_GBK" w:hAnsi="方正仿宋_GBK" w:eastAsia="方正仿宋_GBK" w:cs="方正仿宋_GBK"/>
          <w:color w:val="auto"/>
          <w:sz w:val="32"/>
          <w:szCs w:val="32"/>
          <w:shd w:val="clear" w:color="auto" w:fill="FFFFFF"/>
        </w:rPr>
        <w:t>。此外，年初财政拨款结转和结余151.66万元。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rPr>
        <w:t>2024年度一般公共预算财政拨款支出5608.81万元，与2023年度相比，减少1148.30万元，下降17.0%。主要原因是</w:t>
      </w:r>
      <w:r>
        <w:rPr>
          <w:rFonts w:hint="eastAsia" w:ascii="方正仿宋_GBK" w:hAnsi="方正仿宋_GBK" w:eastAsia="方正仿宋_GBK" w:cs="方正仿宋_GBK"/>
          <w:color w:val="auto"/>
          <w:sz w:val="32"/>
          <w:szCs w:val="32"/>
          <w:shd w:val="clear" w:color="auto" w:fill="FFFFFF"/>
          <w:lang w:eastAsia="zh-CN"/>
        </w:rPr>
        <w:t>厉行节约，严控经费支出，</w:t>
      </w:r>
      <w:r>
        <w:rPr>
          <w:rFonts w:hint="eastAsia"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了</w:t>
      </w:r>
      <w:r>
        <w:rPr>
          <w:rFonts w:hint="eastAsia" w:ascii="方正仿宋_GBK" w:hAnsi="方正仿宋_GBK" w:eastAsia="方正仿宋_GBK" w:cs="方正仿宋_GBK"/>
          <w:color w:val="auto"/>
          <w:sz w:val="32"/>
          <w:szCs w:val="32"/>
          <w:shd w:val="clear" w:color="auto" w:fill="FFFFFF"/>
        </w:rPr>
        <w:t>政府行政大楼、农村公路建设等基础设施建设资金。较年初预算数增加516.60万元，增长10.1%。主要原因是增加了特色精品村、美丽宜居村建设等基础设施建设资金。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hint="eastAsia"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（1）一般公共服务支出1648.57万元，占29.4%，较年初预算数增加175.61万元，增长11.9%，主要原因是</w:t>
      </w:r>
      <w:r>
        <w:rPr>
          <w:rFonts w:hint="eastAsia" w:ascii="方正仿宋_GBK" w:hAnsi="方正仿宋_GBK" w:eastAsia="方正仿宋_GBK" w:cs="方正仿宋_GBK"/>
          <w:color w:val="auto"/>
          <w:sz w:val="32"/>
          <w:szCs w:val="32"/>
          <w:shd w:val="clear" w:color="auto" w:fill="FFFFFF"/>
          <w:lang w:eastAsia="zh-CN"/>
        </w:rPr>
        <w:t>增加了小院建设项目支出</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）公共安全支出91.63万元，占1.6%，较年初预算数增加48.04万元，增长110.2%，主要原因是</w:t>
      </w:r>
      <w:r>
        <w:rPr>
          <w:rFonts w:hint="eastAsia" w:ascii="方正仿宋_GBK" w:hAnsi="方正仿宋_GBK" w:eastAsia="方正仿宋_GBK" w:cs="方正仿宋_GBK"/>
          <w:color w:val="auto"/>
          <w:sz w:val="32"/>
          <w:szCs w:val="32"/>
          <w:shd w:val="clear" w:color="auto" w:fill="FFFFFF"/>
          <w:lang w:eastAsia="zh-CN"/>
        </w:rPr>
        <w:t>增加</w:t>
      </w:r>
      <w:r>
        <w:rPr>
          <w:rFonts w:hint="eastAsia" w:ascii="方正仿宋_GBK" w:hAnsi="方正仿宋_GBK" w:eastAsia="方正仿宋_GBK" w:cs="方正仿宋_GBK"/>
          <w:color w:val="auto"/>
          <w:sz w:val="32"/>
          <w:szCs w:val="32"/>
          <w:shd w:val="clear" w:color="auto" w:fill="FFFFFF"/>
        </w:rPr>
        <w:t>了</w:t>
      </w:r>
      <w:r>
        <w:rPr>
          <w:rFonts w:hint="eastAsia" w:ascii="方正仿宋_GBK" w:hAnsi="方正仿宋_GBK" w:eastAsia="方正仿宋_GBK" w:cs="方正仿宋_GBK"/>
          <w:color w:val="auto"/>
          <w:sz w:val="32"/>
          <w:szCs w:val="32"/>
          <w:shd w:val="clear" w:color="auto" w:fill="FFFFFF"/>
          <w:lang w:eastAsia="zh-CN"/>
        </w:rPr>
        <w:t>基层治理</w:t>
      </w:r>
      <w:r>
        <w:rPr>
          <w:rFonts w:hint="eastAsia" w:ascii="方正仿宋_GBK" w:hAnsi="方正仿宋_GBK" w:eastAsia="方正仿宋_GBK" w:cs="方正仿宋_GBK"/>
          <w:color w:val="auto"/>
          <w:sz w:val="32"/>
          <w:szCs w:val="32"/>
          <w:shd w:val="clear" w:color="auto" w:fill="FFFFFF"/>
        </w:rPr>
        <w:t>平安及法治建设项目</w:t>
      </w:r>
      <w:r>
        <w:rPr>
          <w:rFonts w:hint="eastAsia" w:ascii="方正仿宋_GBK" w:hAnsi="方正仿宋_GBK" w:eastAsia="方正仿宋_GBK" w:cs="方正仿宋_GBK"/>
          <w:color w:val="auto"/>
          <w:sz w:val="32"/>
          <w:szCs w:val="32"/>
          <w:shd w:val="clear" w:color="auto" w:fill="FFFFFF"/>
          <w:lang w:eastAsia="zh-CN"/>
        </w:rPr>
        <w:t>以及法制小院建设项目</w:t>
      </w:r>
      <w:r>
        <w:rPr>
          <w:rFonts w:hint="eastAsia" w:ascii="方正仿宋_GBK" w:hAnsi="方正仿宋_GBK" w:eastAsia="方正仿宋_GBK" w:cs="方正仿宋_GBK"/>
          <w:color w:val="auto"/>
          <w:sz w:val="32"/>
          <w:szCs w:val="32"/>
          <w:shd w:val="clear" w:color="auto" w:fill="FFFFFF"/>
        </w:rPr>
        <w:t>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rPr>
        <w:t>）教育支出11.07万元，占0.2%，较年初预算数减少2.11万元，下降16.0%，主要原因是</w:t>
      </w:r>
      <w:r>
        <w:rPr>
          <w:rFonts w:hint="eastAsia" w:ascii="方正仿宋_GBK" w:hAnsi="方正仿宋_GBK" w:eastAsia="方正仿宋_GBK" w:cs="方正仿宋_GBK"/>
          <w:color w:val="auto"/>
          <w:sz w:val="32"/>
          <w:szCs w:val="32"/>
          <w:shd w:val="clear" w:color="auto" w:fill="FFFFFF"/>
          <w:lang w:eastAsia="zh-CN"/>
        </w:rPr>
        <w:t>厉行节约，严控培训费用支出</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）文化旅游体育与传媒支出77.71万元，占1.4%，较年初预算数减少1.91万元，下降2.4%，主要原因是厉行节约，</w:t>
      </w:r>
      <w:r>
        <w:rPr>
          <w:rFonts w:hint="eastAsia" w:ascii="方正仿宋_GBK" w:hAnsi="方正仿宋_GBK" w:eastAsia="方正仿宋_GBK" w:cs="方正仿宋_GBK"/>
          <w:color w:val="auto"/>
          <w:sz w:val="32"/>
          <w:szCs w:val="32"/>
          <w:shd w:val="clear" w:color="auto" w:fill="FFFFFF"/>
          <w:lang w:eastAsia="zh-CN"/>
        </w:rPr>
        <w:t>严控</w:t>
      </w:r>
      <w:r>
        <w:rPr>
          <w:rFonts w:hint="eastAsia" w:ascii="方正仿宋_GBK" w:hAnsi="方正仿宋_GBK" w:eastAsia="方正仿宋_GBK" w:cs="方正仿宋_GBK"/>
          <w:color w:val="auto"/>
          <w:sz w:val="32"/>
          <w:szCs w:val="32"/>
          <w:shd w:val="clear" w:color="auto" w:fill="FFFFFF"/>
        </w:rPr>
        <w:t>宣传</w:t>
      </w:r>
      <w:r>
        <w:rPr>
          <w:rFonts w:hint="eastAsia" w:ascii="方正仿宋_GBK" w:hAnsi="方正仿宋_GBK" w:eastAsia="方正仿宋_GBK" w:cs="方正仿宋_GBK"/>
          <w:color w:val="auto"/>
          <w:sz w:val="32"/>
          <w:szCs w:val="32"/>
          <w:shd w:val="clear" w:color="auto" w:fill="FFFFFF"/>
          <w:lang w:eastAsia="zh-CN"/>
        </w:rPr>
        <w:t>费用</w:t>
      </w:r>
      <w:r>
        <w:rPr>
          <w:rFonts w:hint="eastAsia" w:ascii="方正仿宋_GBK" w:hAnsi="方正仿宋_GBK" w:eastAsia="方正仿宋_GBK" w:cs="方正仿宋_GBK"/>
          <w:color w:val="auto"/>
          <w:sz w:val="32"/>
          <w:szCs w:val="32"/>
          <w:shd w:val="clear" w:color="auto" w:fill="FFFFFF"/>
        </w:rPr>
        <w:t>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hint="eastAsia" w:ascii="方正仿宋_GBK" w:hAnsi="方正仿宋_GBK" w:eastAsia="方正仿宋_GBK" w:cs="方正仿宋_GBK"/>
          <w:color w:val="auto"/>
          <w:sz w:val="32"/>
          <w:szCs w:val="32"/>
          <w:shd w:val="clear" w:color="auto" w:fill="FFFFFF"/>
        </w:rPr>
        <w:t>就业支出936.57万元，占16.7%，较年初预算数减少6.13万元，下降0.7%，主要原因是减少了村级便民服务中心建设项目资金。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6</w:t>
      </w:r>
      <w:r>
        <w:rPr>
          <w:rFonts w:hint="eastAsia" w:ascii="方正仿宋_GBK" w:hAnsi="方正仿宋_GBK" w:eastAsia="方正仿宋_GBK" w:cs="方正仿宋_GBK"/>
          <w:color w:val="auto"/>
          <w:sz w:val="32"/>
          <w:szCs w:val="32"/>
          <w:shd w:val="clear" w:color="auto" w:fill="FFFFFF"/>
        </w:rPr>
        <w:t>）卫生健康支出155.03万元，占2.8%，较年初预算数增加14.79万元，增长10.6%，主要原因是增加了医疗保障服务</w:t>
      </w:r>
      <w:r>
        <w:rPr>
          <w:rFonts w:hint="eastAsia" w:ascii="方正仿宋_GBK" w:hAnsi="方正仿宋_GBK" w:eastAsia="方正仿宋_GBK" w:cs="方正仿宋_GBK"/>
          <w:color w:val="auto"/>
          <w:sz w:val="32"/>
          <w:szCs w:val="32"/>
          <w:shd w:val="clear" w:color="auto" w:fill="FFFFFF"/>
          <w:lang w:eastAsia="zh-CN"/>
        </w:rPr>
        <w:t>工程</w:t>
      </w:r>
      <w:r>
        <w:rPr>
          <w:rFonts w:hint="eastAsia" w:ascii="方正仿宋_GBK" w:hAnsi="方正仿宋_GBK" w:eastAsia="方正仿宋_GBK" w:cs="方正仿宋_GBK"/>
          <w:color w:val="auto"/>
          <w:sz w:val="32"/>
          <w:szCs w:val="32"/>
          <w:shd w:val="clear" w:color="auto" w:fill="FFFFFF"/>
        </w:rPr>
        <w:t>建设项目支出。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7</w:t>
      </w:r>
      <w:r>
        <w:rPr>
          <w:rFonts w:hint="eastAsia" w:ascii="方正仿宋_GBK" w:hAnsi="方正仿宋_GBK" w:eastAsia="方正仿宋_GBK" w:cs="方正仿宋_GBK"/>
          <w:color w:val="auto"/>
          <w:sz w:val="32"/>
          <w:szCs w:val="32"/>
          <w:shd w:val="clear" w:color="auto" w:fill="FFFFFF"/>
        </w:rPr>
        <w:t>）节能环保支出3.00万元，占0.1%，较年初预算数无增减。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8</w:t>
      </w:r>
      <w:r>
        <w:rPr>
          <w:rFonts w:hint="eastAsia" w:ascii="方正仿宋_GBK" w:hAnsi="方正仿宋_GBK" w:eastAsia="方正仿宋_GBK" w:cs="方正仿宋_GBK"/>
          <w:color w:val="auto"/>
          <w:sz w:val="32"/>
          <w:szCs w:val="32"/>
          <w:shd w:val="clear" w:color="auto" w:fill="FFFFFF"/>
        </w:rPr>
        <w:t>）城乡社区支出233.70万元，占4.2%，较年初预算数减少167.69万元，下降41.8%，主要原因是</w:t>
      </w:r>
      <w:r>
        <w:rPr>
          <w:rFonts w:hint="eastAsia" w:ascii="方正仿宋_GBK" w:hAnsi="方正仿宋_GBK" w:eastAsia="方正仿宋_GBK" w:cs="方正仿宋_GBK"/>
          <w:color w:val="auto"/>
          <w:sz w:val="32"/>
          <w:szCs w:val="32"/>
          <w:shd w:val="clear" w:color="auto" w:fill="FFFFFF"/>
          <w:lang w:eastAsia="zh-CN"/>
        </w:rPr>
        <w:t>减少了建设政府行政大楼支出</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rPr>
        <w:t>）农林水支出2067.91万元，占36.9%，较年初预算数增加437.72万元，增长26.9%，主要原因是</w:t>
      </w:r>
      <w:r>
        <w:rPr>
          <w:rFonts w:hint="eastAsia" w:ascii="方正仿宋_GBK" w:hAnsi="方正仿宋_GBK" w:eastAsia="方正仿宋_GBK" w:cs="方正仿宋_GBK"/>
          <w:color w:val="auto"/>
          <w:sz w:val="32"/>
          <w:szCs w:val="32"/>
          <w:shd w:val="clear" w:color="auto" w:fill="FFFFFF"/>
          <w:lang w:eastAsia="zh-CN"/>
        </w:rPr>
        <w:t>增加了培育种姜、佛手柑中药材等产业发展项目补助资金和种子加工生产线建设资金</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10</w:t>
      </w:r>
      <w:r>
        <w:rPr>
          <w:rFonts w:hint="eastAsia" w:ascii="方正仿宋_GBK" w:hAnsi="方正仿宋_GBK" w:eastAsia="方正仿宋_GBK" w:cs="方正仿宋_GBK"/>
          <w:color w:val="auto"/>
          <w:sz w:val="32"/>
          <w:szCs w:val="32"/>
          <w:shd w:val="clear" w:color="auto" w:fill="FFFFFF"/>
        </w:rPr>
        <w:t>）交通运输支出168.64万元，占3.0%，较年初预算数增加23.55万元，增长16.2%，主要原因是</w:t>
      </w:r>
      <w:r>
        <w:rPr>
          <w:rFonts w:hint="eastAsia" w:ascii="方正仿宋_GBK" w:hAnsi="方正仿宋_GBK" w:eastAsia="方正仿宋_GBK" w:cs="方正仿宋_GBK"/>
          <w:color w:val="auto"/>
          <w:sz w:val="32"/>
          <w:szCs w:val="32"/>
          <w:shd w:val="clear" w:color="auto" w:fill="FFFFFF"/>
          <w:lang w:eastAsia="zh-CN"/>
        </w:rPr>
        <w:t>增加了通院道路项目建设资金</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11</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rPr>
        <w:t>自然资源海洋气象等支出</w:t>
      </w:r>
      <w:r>
        <w:rPr>
          <w:rFonts w:hint="eastAsia" w:ascii="方正仿宋_GBK" w:hAnsi="方正仿宋_GBK" w:eastAsia="方正仿宋_GBK" w:cs="方正仿宋_GBK"/>
          <w:color w:val="auto"/>
          <w:sz w:val="32"/>
          <w:szCs w:val="32"/>
          <w:shd w:val="clear" w:color="auto" w:fill="FFFFFF"/>
        </w:rPr>
        <w:t>65.96万元，占1.2%，较年初预算数增加65.96万元，增长100.0%，主要原因是</w:t>
      </w:r>
      <w:r>
        <w:rPr>
          <w:rFonts w:hint="eastAsia" w:ascii="方正仿宋_GBK" w:hAnsi="方正仿宋_GBK" w:eastAsia="方正仿宋_GBK" w:cs="方正仿宋_GBK"/>
          <w:color w:val="auto"/>
          <w:sz w:val="32"/>
          <w:szCs w:val="32"/>
          <w:shd w:val="clear" w:color="auto" w:fill="FFFFFF"/>
          <w:lang w:eastAsia="zh-CN"/>
        </w:rPr>
        <w:t>增加支付了耕地恢复补足施工费用</w:t>
      </w:r>
      <w:r>
        <w:rPr>
          <w:rFonts w:hint="eastAsia" w:ascii="方正仿宋_GBK" w:hAnsi="方正仿宋_GBK" w:eastAsia="方正仿宋_GBK" w:cs="方正仿宋_GBK"/>
          <w:color w:val="auto"/>
          <w:sz w:val="32"/>
          <w:szCs w:val="32"/>
          <w:shd w:val="clear" w:color="auto" w:fill="FFFFFF"/>
        </w:rPr>
        <w:t>。</w:t>
      </w:r>
    </w:p>
    <w:p>
      <w:pPr>
        <w:keepNext w:val="0"/>
        <w:keepLines w:val="0"/>
        <w:pageBreakBefore w:val="0"/>
        <w:widowControl/>
        <w:kinsoku/>
        <w:wordWrap/>
        <w:overflowPunct/>
        <w:topLinePunct w:val="0"/>
        <w:autoSpaceDN/>
        <w:bidi w:val="0"/>
        <w:adjustRightInd/>
        <w:spacing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12</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shd w:val="clear" w:color="auto" w:fill="FFFFFF"/>
        </w:rPr>
        <w:t>149.04万元，占2.7%，较年初预算数减少71.21万元，下降32.3%，主要原因是</w:t>
      </w:r>
      <w:r>
        <w:rPr>
          <w:rFonts w:hint="eastAsia" w:ascii="方正仿宋_GBK" w:hAnsi="方正仿宋_GBK" w:eastAsia="方正仿宋_GBK" w:cs="方正仿宋_GBK"/>
          <w:color w:val="auto"/>
          <w:sz w:val="32"/>
          <w:szCs w:val="32"/>
          <w:shd w:val="clear" w:color="auto" w:fill="FFFFFF"/>
          <w:lang w:eastAsia="zh-CN"/>
        </w:rPr>
        <w:t>减少了新民社区老旧小区配套基础设施改造工程的项目资金</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rPr>
        <w:t>2024年度年末一般公共预算财政拨款结转和结余0.00万元，与2023年度相比，无增减，主要原因是项目资金已及时支付，无财政应返还额度。</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2024年度一般公共财政拨款基本支出2880.82万元。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其中：人员经费2492.58万元，与2023年度相比，减少109.41万元，下降4.2%，主要原因是</w:t>
      </w:r>
      <w:r>
        <w:rPr>
          <w:rFonts w:hint="eastAsia" w:ascii="方正仿宋_GBK" w:hAnsi="方正仿宋_GBK" w:eastAsia="方正仿宋_GBK" w:cs="方正仿宋_GBK"/>
          <w:color w:val="auto"/>
          <w:sz w:val="32"/>
          <w:szCs w:val="32"/>
          <w:shd w:val="clear" w:color="auto" w:fill="FFFFFF"/>
          <w:lang w:eastAsia="zh-CN"/>
        </w:rPr>
        <w:t>厉行节约，严控人员经费支出</w:t>
      </w:r>
      <w:r>
        <w:rPr>
          <w:rFonts w:hint="eastAsia"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基本工资、津贴补贴、奖金、其他工资福利（包括临聘人员工资、绩效考核、应休未休年休假补助、公务员平时考核奖励金）、住房公积金</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公用经费388.24万元，与2023年度相比，减少13.40万元，下降3.3%，主要原因是厉行节约，严控公用经费支出。公用经费用途主要包括</w:t>
      </w:r>
      <w:r>
        <w:rPr>
          <w:rFonts w:hint="eastAsia" w:ascii="方正仿宋_GBK" w:hAnsi="方正仿宋_GBK" w:eastAsia="方正仿宋_GBK" w:cs="方正仿宋_GBK"/>
          <w:color w:val="auto"/>
          <w:sz w:val="32"/>
          <w:szCs w:val="32"/>
          <w:shd w:val="clear" w:color="auto" w:fill="FFFFFF"/>
          <w:lang w:eastAsia="zh-CN"/>
        </w:rPr>
        <w:t>办公费、印刷费、水费、电费、邮电费、差旅费、维修（护）费、会议费、培训费、公务接待费、专用材料费、劳务费、工会经费、公务车用车运行维护费、其他交通费用</w:t>
      </w:r>
      <w:r>
        <w:rPr>
          <w:rFonts w:hint="eastAsia"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政府性基金预算财政拨款年初结转结余0.00万元，年末结转结余0.00万元。本年收入895.65万元，与2023年度相比，增加512.34万元，增长133.7%，主要原因是增加新民社区老旧小区改造工程建设资金。本年支出895.65万元，与2023年度相比，增加512.34万元，增长133.7%，主要原因是增加新民社区老旧小区改造工程建设资金。</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小标宋_GBK" w:hAnsi="方正小标宋_GBK" w:eastAsia="方正小标宋_GBK" w:cs="方正小标宋_GBK"/>
          <w:b w:val="0"/>
          <w:bCs/>
          <w:sz w:val="32"/>
          <w:szCs w:val="32"/>
          <w:shd w:val="clear" w:color="auto" w:fill="FFFFFF"/>
        </w:rPr>
      </w:pPr>
      <w:r>
        <w:rPr>
          <w:rStyle w:val="10"/>
          <w:rFonts w:hint="eastAsia" w:ascii="方正小标宋_GBK" w:hAnsi="方正小标宋_GBK" w:eastAsia="方正小标宋_GBK" w:cs="方正小标宋_GBK"/>
          <w:b w:val="0"/>
          <w:bCs/>
          <w:sz w:val="32"/>
          <w:szCs w:val="32"/>
          <w:shd w:val="clear" w:color="auto" w:fill="FFFFFF"/>
        </w:rPr>
        <w:t>三、</w:t>
      </w:r>
      <w:r>
        <w:rPr>
          <w:rStyle w:val="10"/>
          <w:rFonts w:hint="eastAsia" w:ascii="方正小标宋_GBK" w:hAnsi="方正小标宋_GBK" w:eastAsia="方正小标宋_GBK" w:cs="方正小标宋_GBK"/>
          <w:b w:val="0"/>
          <w:bCs/>
          <w:sz w:val="32"/>
          <w:szCs w:val="32"/>
          <w:shd w:val="clear" w:color="auto" w:fill="FFFFFF"/>
          <w:lang w:eastAsia="zh-CN"/>
        </w:rPr>
        <w:t>财政拨款</w:t>
      </w:r>
      <w:r>
        <w:rPr>
          <w:rStyle w:val="10"/>
          <w:rFonts w:hint="eastAsia" w:ascii="方正小标宋_GBK" w:hAnsi="方正小标宋_GBK" w:eastAsia="方正小标宋_GBK" w:cs="方正小标宋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2024年度“三公”经费支出共计16.33万元，较年初预算数减少11.67万元，下降41.7%，主要原因是</w:t>
      </w:r>
      <w:r>
        <w:rPr>
          <w:rFonts w:hint="eastAsia" w:ascii="方正仿宋_GBK" w:hAnsi="方正仿宋_GBK" w:eastAsia="方正仿宋_GBK" w:cs="方正仿宋_GBK"/>
          <w:color w:val="auto"/>
          <w:sz w:val="32"/>
          <w:szCs w:val="32"/>
          <w:shd w:val="clear" w:color="auto" w:fill="FFFFFF"/>
          <w:lang w:eastAsia="zh-CN"/>
        </w:rPr>
        <w:t>厉行节约，严控“三公”经费支出</w:t>
      </w:r>
      <w:r>
        <w:rPr>
          <w:rFonts w:hint="eastAsia" w:ascii="方正仿宋_GBK" w:hAnsi="方正仿宋_GBK" w:eastAsia="方正仿宋_GBK" w:cs="方正仿宋_GBK"/>
          <w:color w:val="auto"/>
          <w:sz w:val="32"/>
          <w:szCs w:val="32"/>
          <w:shd w:val="clear" w:color="auto" w:fill="FFFFFF"/>
        </w:rPr>
        <w:t>。较上年支出数减少20.03万元，下降55.1%，主要原因是</w:t>
      </w:r>
      <w:r>
        <w:rPr>
          <w:rFonts w:hint="eastAsia" w:ascii="方正仿宋_GBK" w:hAnsi="方正仿宋_GBK" w:eastAsia="方正仿宋_GBK" w:cs="方正仿宋_GBK"/>
          <w:color w:val="auto"/>
          <w:sz w:val="32"/>
          <w:szCs w:val="32"/>
          <w:shd w:val="clear" w:color="auto" w:fill="FFFFFF"/>
          <w:lang w:eastAsia="zh-CN"/>
        </w:rPr>
        <w:t>厉行节约，严控“三公”经费支出</w:t>
      </w:r>
      <w:r>
        <w:rPr>
          <w:rFonts w:hint="eastAsia"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2024年度本部门因公出国（境）费用0.00万元。费用支出较年初预算数无增减，主要原因是202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年度未发生因公出国（境）费用。与2023年度相比，无增减，主要原因是202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年度未发生因公出国（境）费用。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车购置费0.00万元。费用支出较年初预算数无增减，主要原因是202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车购置费</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。较上年支出数减少13.08万元，下降100.0%，主要原因是202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车购置费</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车运行维护费11.94万元，主要用于工作产生的公务用车燃料费、维修费、过路过桥费、保险费等支出。费用支出较年初预算数减少3.06万元，下降20.4%，主要原因是</w:t>
      </w:r>
      <w:r>
        <w:rPr>
          <w:rFonts w:hint="eastAsia" w:ascii="方正仿宋_GBK" w:hAnsi="方正仿宋_GBK" w:eastAsia="方正仿宋_GBK" w:cs="方正仿宋_GBK"/>
          <w:color w:val="auto"/>
          <w:sz w:val="32"/>
          <w:szCs w:val="32"/>
          <w:shd w:val="clear" w:color="auto" w:fill="FFFFFF"/>
          <w:lang w:eastAsia="zh-CN"/>
        </w:rPr>
        <w:t>厉行节约，严控</w:t>
      </w: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车运行维护费。较上年支出数增加1.66万元，增长16.2%，主要原因是</w:t>
      </w:r>
      <w:r>
        <w:rPr>
          <w:rFonts w:hint="eastAsia" w:ascii="方正仿宋_GBK" w:hAnsi="方正仿宋_GBK" w:eastAsia="方正仿宋_GBK" w:cs="方正仿宋_GBK"/>
          <w:color w:val="auto"/>
          <w:sz w:val="32"/>
          <w:szCs w:val="32"/>
          <w:shd w:val="clear" w:color="auto" w:fill="FFFFFF"/>
          <w:lang w:eastAsia="zh-CN"/>
        </w:rPr>
        <w:t>下村用车情况增多，车辆维修费用增加</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公务接待费4.39万元，主要用于接待接待客商。费用支出较年初预算数减少8.61万元，下降66.2%，主要原因是</w:t>
      </w:r>
      <w:r>
        <w:rPr>
          <w:rFonts w:hint="eastAsia" w:ascii="方正仿宋_GBK" w:hAnsi="方正仿宋_GBK" w:eastAsia="方正仿宋_GBK" w:cs="方正仿宋_GBK"/>
          <w:color w:val="auto"/>
          <w:sz w:val="32"/>
          <w:szCs w:val="32"/>
          <w:shd w:val="clear" w:color="auto" w:fill="FFFFFF"/>
          <w:lang w:eastAsia="zh-CN"/>
        </w:rPr>
        <w:t>严格落实中央八项规定精神，严控公务接待支出</w:t>
      </w:r>
      <w:r>
        <w:rPr>
          <w:rFonts w:hint="eastAsia" w:ascii="方正仿宋_GBK" w:hAnsi="方正仿宋_GBK" w:eastAsia="方正仿宋_GBK" w:cs="方正仿宋_GBK"/>
          <w:color w:val="auto"/>
          <w:sz w:val="32"/>
          <w:szCs w:val="32"/>
          <w:shd w:val="clear" w:color="auto" w:fill="FFFFFF"/>
        </w:rPr>
        <w:t>。较上年支出数减少8.61万元，下降66.2%，主要原因是</w:t>
      </w:r>
      <w:r>
        <w:rPr>
          <w:rFonts w:hint="eastAsia" w:ascii="方正仿宋_GBK" w:hAnsi="方正仿宋_GBK" w:eastAsia="方正仿宋_GBK" w:cs="方正仿宋_GBK"/>
          <w:color w:val="auto"/>
          <w:sz w:val="32"/>
          <w:szCs w:val="32"/>
          <w:shd w:val="clear" w:color="auto" w:fill="FFFFFF"/>
          <w:lang w:eastAsia="zh-CN"/>
        </w:rPr>
        <w:t>严格落实中央八项规定精神，严控公务接待支出</w:t>
      </w:r>
      <w:r>
        <w:rPr>
          <w:rFonts w:hint="eastAsia"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本部门因公出国（境）共计0个团组，0人；公务用车购置0辆，公务车保有量为6辆；国内公务接待59批次423人，其中：国内外事接待0批次，0人；国（境）外公务接待0批次，0人。2024年本部门人均接待费103.75元，车均购置费0万元，车均维护费1.99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小标宋_GBK" w:hAnsi="方正小标宋_GBK" w:eastAsia="方正小标宋_GBK" w:cs="方正小标宋_GBK"/>
          <w:b w:val="0"/>
          <w:bCs/>
          <w:sz w:val="32"/>
          <w:szCs w:val="32"/>
          <w:shd w:val="clear" w:color="auto" w:fill="FFFFFF"/>
        </w:rPr>
      </w:pPr>
      <w:r>
        <w:rPr>
          <w:rStyle w:val="10"/>
          <w:rFonts w:hint="eastAsia" w:ascii="方正小标宋_GBK" w:hAnsi="方正小标宋_GBK" w:eastAsia="方正小标宋_GBK" w:cs="方正小标宋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（一）财政拨款会议费、培训费和差旅费情况说明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年度会议费支出13.94万元，与2023年度相比，增加11.20万元，增长408.8%，主要原因是本年中心工作增加，网格员会议等必要会议增加，会议费用增加。本年度培训费支出24.63万元，与2023年度相比，增加10.53万元，增长74.7%，主要原因是本年中心工作增加，必要业务培训增加，培训费用增加。本年度差旅费支出16.15万元，与2023年度相比，减少97.92万元，下降85.8%，主要原因是厉行节约，严控外出工作情况，差旅费用减少。</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（二）机关运行经费情况说明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本部门机关运行经费支出173.82万元，机关运行经费主要用于开支办公费、水费、电费、邮电费、差旅费、会议费、培训费、公务接待费、工会经费、公务用车运行维护费以及其他交通费用。机关运行经费较上年支出数减少4.12万元，下降2.3%，主要原因是厉行节约，严控办公费、水电费等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（三）国有资产占用情况说明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截至2024年12月31日，本部门共有车辆6辆，其中，副部（省）级及以上领导用车0辆、主要负责人用车0辆、机要通信用车0辆、应急保障用车3辆、执法执勤用车0辆，特种专业技术用车3辆，离退休干部用车0辆。单价100万元（含）以上专用设备0台（套）。</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（四）政府采购支出情况说明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本部门政府采购支出总额17.24万元，其中：政府采购货物支出17.24万元、政府采购工程支出0.00万元、政府采购服务支出0.00万元。授予中小企业合同金额17.24万元，占政府采购支出总额的100.0%，其中：授予小微企业合同金额17.24万元，占政府采购支出总额的100.0%。主要用于采购基层治理平安及法治建设项目配套设备。</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小标宋_GBK" w:hAnsi="方正小标宋_GBK" w:eastAsia="方正小标宋_GBK" w:cs="方正小标宋_GBK"/>
          <w:b w:val="0"/>
          <w:bCs/>
          <w:sz w:val="32"/>
          <w:szCs w:val="32"/>
          <w:shd w:val="clear" w:color="auto" w:fill="FFFFFF"/>
        </w:rPr>
      </w:pPr>
      <w:r>
        <w:rPr>
          <w:rStyle w:val="10"/>
          <w:rFonts w:hint="eastAsia" w:ascii="方正小标宋_GBK" w:hAnsi="方正小标宋_GBK" w:eastAsia="方正小标宋_GBK" w:cs="方正小标宋_GBK"/>
          <w:b w:val="0"/>
          <w:bCs/>
          <w:sz w:val="32"/>
          <w:szCs w:val="32"/>
          <w:shd w:val="clear" w:color="auto" w:fill="FFFFFF"/>
        </w:rPr>
        <w:t>五、预算绩效管理情况说明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楷体_GBK" w:hAnsi="方正楷体_GBK" w:eastAsia="方正楷体_GBK" w:cs="方正楷体_GBK"/>
          <w:color w:val="auto"/>
          <w:sz w:val="32"/>
          <w:szCs w:val="32"/>
          <w:shd w:val="clear" w:color="auto" w:fill="FFFFFF"/>
          <w:lang w:val="en-US" w:eastAsia="zh-CN"/>
        </w:rPr>
      </w:pPr>
      <w:r>
        <w:rPr>
          <w:rFonts w:hint="eastAsia" w:ascii="方正楷体_GBK" w:hAnsi="方正楷体_GBK" w:eastAsia="方正楷体_GBK" w:cs="方正楷体_GBK"/>
          <w:color w:val="auto"/>
          <w:sz w:val="32"/>
          <w:szCs w:val="32"/>
          <w:shd w:val="clear" w:color="auto" w:fill="FFFFFF"/>
        </w:rPr>
        <w:t>（一）</w:t>
      </w:r>
      <w:r>
        <w:rPr>
          <w:rFonts w:hint="eastAsia" w:ascii="方正楷体_GBK" w:hAnsi="方正楷体_GBK" w:eastAsia="方正楷体_GBK" w:cs="方正楷体_GBK"/>
          <w:color w:val="auto"/>
          <w:sz w:val="32"/>
          <w:szCs w:val="32"/>
          <w:shd w:val="clear" w:color="auto" w:fill="FFFFFF"/>
          <w:lang w:eastAsia="zh-CN"/>
        </w:rPr>
        <w:t>单位</w:t>
      </w:r>
      <w:r>
        <w:rPr>
          <w:rFonts w:hint="eastAsia" w:ascii="方正楷体_GBK" w:hAnsi="方正楷体_GBK" w:eastAsia="方正楷体_GBK" w:cs="方正楷体_GBK"/>
          <w:color w:val="auto"/>
          <w:sz w:val="32"/>
          <w:szCs w:val="32"/>
          <w:shd w:val="clear" w:color="auto" w:fill="FFFFFF"/>
        </w:rPr>
        <w:t>自评情况</w:t>
      </w:r>
    </w:p>
    <w:p>
      <w:pPr>
        <w:pStyle w:val="12"/>
        <w:keepNext w:val="0"/>
        <w:keepLines w:val="0"/>
        <w:pageBreakBefore w:val="0"/>
        <w:widowControl/>
        <w:kinsoku/>
        <w:wordWrap/>
        <w:overflowPunct/>
        <w:topLinePunct w:val="0"/>
        <w:autoSpaceDN/>
        <w:bidi w:val="0"/>
        <w:adjustRightInd/>
        <w:snapToGrid/>
        <w:spacing w:before="0" w:beforeAutospacing="0" w:afterAutospacing="0"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bidi="ar"/>
        </w:rPr>
        <w:t>根据预算绩效管理要求，我单位对整体绩效开展了绩效自评，涉及财政拨款资金</w:t>
      </w:r>
      <w:r>
        <w:rPr>
          <w:rFonts w:hint="eastAsia" w:ascii="方正仿宋_GBK" w:hAnsi="方正仿宋_GBK" w:eastAsia="方正仿宋_GBK" w:cs="方正仿宋_GBK"/>
          <w:sz w:val="32"/>
          <w:szCs w:val="32"/>
          <w:shd w:val="clear" w:color="auto" w:fill="FFFFFF"/>
          <w:lang w:val="en-US" w:eastAsia="zh-CN" w:bidi="ar"/>
        </w:rPr>
        <w:t>6504.46</w:t>
      </w:r>
      <w:r>
        <w:rPr>
          <w:rFonts w:hint="eastAsia" w:ascii="方正仿宋_GBK" w:hAnsi="方正仿宋_GBK" w:eastAsia="方正仿宋_GBK" w:cs="方正仿宋_GBK"/>
          <w:sz w:val="32"/>
          <w:szCs w:val="32"/>
          <w:shd w:val="clear" w:color="auto" w:fill="FFFFFF"/>
          <w:lang w:bidi="ar"/>
        </w:rPr>
        <w:t>万元</w:t>
      </w:r>
      <w:r>
        <w:rPr>
          <w:rFonts w:hint="eastAsia" w:ascii="方正仿宋_GBK" w:hAnsi="方正仿宋_GBK" w:eastAsia="方正仿宋_GBK" w:cs="方正仿宋_GBK"/>
          <w:sz w:val="32"/>
          <w:szCs w:val="32"/>
          <w:shd w:val="clear" w:color="auto" w:fill="FFFFFF"/>
          <w:lang w:val="en-US" w:eastAsia="zh-CN" w:bidi="ar"/>
        </w:rPr>
        <w:t>。单位整体绩效自评表，详见附件2重庆市荣昌区荣隆镇人民政府2024年度单位整体绩效自评表。</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（二）单位绩效评价情况</w:t>
      </w:r>
    </w:p>
    <w:p>
      <w:pPr>
        <w:pStyle w:val="11"/>
        <w:keepNext w:val="0"/>
        <w:keepLines w:val="0"/>
        <w:pageBreakBefore w:val="0"/>
        <w:widowControl/>
        <w:kinsoku/>
        <w:wordWrap/>
        <w:overflowPunct/>
        <w:topLinePunct w:val="0"/>
        <w:autoSpaceDE w:val="0"/>
        <w:autoSpaceDN/>
        <w:bidi w:val="0"/>
        <w:adjustRightInd/>
        <w:snapToGrid/>
        <w:spacing w:afterAutospacing="0" w:line="596" w:lineRule="exact"/>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eastAsia="zh-CN"/>
        </w:rPr>
        <w:t>我</w:t>
      </w:r>
      <w:r>
        <w:rPr>
          <w:rFonts w:hint="eastAsia" w:ascii="方正仿宋_GBK" w:hAnsi="方正仿宋_GBK" w:eastAsia="方正仿宋_GBK" w:cs="方正仿宋_GBK"/>
          <w:color w:val="auto"/>
          <w:sz w:val="32"/>
          <w:szCs w:val="32"/>
          <w:shd w:val="clear" w:color="auto" w:fill="FFFFFF"/>
          <w:lang w:val="en-US" w:eastAsia="zh-CN"/>
        </w:rPr>
        <w:t>单位</w:t>
      </w:r>
      <w:r>
        <w:rPr>
          <w:rFonts w:hint="eastAsia" w:ascii="方正仿宋_GBK" w:hAnsi="方正仿宋_GBK" w:eastAsia="方正仿宋_GBK" w:cs="方正仿宋_GBK"/>
          <w:color w:val="auto"/>
          <w:sz w:val="32"/>
          <w:szCs w:val="32"/>
          <w:shd w:val="clear" w:color="auto" w:fill="FFFFFF"/>
          <w:lang w:eastAsia="zh-CN"/>
        </w:rPr>
        <w:t>未组织开展绩效评价。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（三）财政绩效评价情况</w:t>
      </w:r>
    </w:p>
    <w:p>
      <w:pPr>
        <w:pStyle w:val="16"/>
        <w:keepNext w:val="0"/>
        <w:keepLines w:val="0"/>
        <w:pageBreakBefore w:val="0"/>
        <w:widowControl/>
        <w:kinsoku/>
        <w:wordWrap/>
        <w:overflowPunct/>
        <w:topLinePunct w:val="0"/>
        <w:autoSpaceDE w:val="0"/>
        <w:autoSpaceDN/>
        <w:bidi w:val="0"/>
        <w:adjustRightInd/>
        <w:snapToGrid/>
        <w:spacing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区</w:t>
      </w:r>
      <w:r>
        <w:rPr>
          <w:rFonts w:hint="eastAsia" w:ascii="方正仿宋_GBK" w:hAnsi="方正仿宋_GBK" w:eastAsia="方正仿宋_GBK" w:cs="方正仿宋_GBK"/>
          <w:sz w:val="32"/>
          <w:szCs w:val="32"/>
          <w:shd w:val="clear" w:color="auto" w:fill="FFFFFF"/>
          <w:lang w:eastAsia="zh-CN" w:bidi="ar"/>
        </w:rPr>
        <w:t>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六</w:t>
      </w:r>
      <w:r>
        <w:rPr>
          <w:rStyle w:val="10"/>
          <w:rFonts w:hint="eastAsia" w:ascii="方正黑体_GBK" w:hAnsi="方正黑体_GBK" w:eastAsia="方正黑体_GBK" w:cs="方正黑体_GBK"/>
          <w:b w:val="0"/>
          <w:bCs/>
          <w:sz w:val="32"/>
          <w:szCs w:val="32"/>
          <w:shd w:val="clear" w:color="auto" w:fill="FFFFFF"/>
        </w:rPr>
        <w:t>、专业名词解释</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本部门决算公开信息反馈和联系方式：</w:t>
      </w:r>
      <w:r>
        <w:rPr>
          <w:rFonts w:hint="eastAsia" w:ascii="方正仿宋_GBK" w:hAnsi="方正仿宋_GBK" w:eastAsia="方正仿宋_GBK" w:cs="方正仿宋_GBK"/>
          <w:color w:val="auto"/>
          <w:sz w:val="32"/>
          <w:szCs w:val="32"/>
          <w:shd w:val="clear" w:color="auto" w:fill="FFFFFF"/>
          <w:lang w:eastAsia="zh-CN"/>
        </w:rPr>
        <w:t>李庆蕊</w:t>
      </w:r>
      <w:r>
        <w:rPr>
          <w:rFonts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46551008。</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p>
    <w:p>
      <w:pPr>
        <w:pStyle w:val="6"/>
        <w:snapToGrid w:val="0"/>
        <w:spacing w:before="0" w:beforeAutospacing="0" w:after="0" w:afterAutospacing="0" w:line="596" w:lineRule="exact"/>
        <w:ind w:left="1918" w:leftChars="266" w:hanging="1280" w:hangingChars="4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附件：1.重庆市荣昌区荣隆镇人民政府2024年度决算公开报表</w:t>
      </w:r>
    </w:p>
    <w:p>
      <w:pPr>
        <w:pStyle w:val="6"/>
        <w:snapToGrid w:val="0"/>
        <w:spacing w:before="0" w:beforeAutospacing="0" w:after="0" w:afterAutospacing="0" w:line="596" w:lineRule="exact"/>
        <w:ind w:left="1918" w:leftChars="266" w:hanging="1280" w:hangingChars="4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 xml:space="preserve">      2.重庆市荣昌区荣隆镇人民政府2024年度单位整体绩效自评表</w:t>
      </w:r>
    </w:p>
    <w:p>
      <w:pPr>
        <w:rPr>
          <w:rFonts w:hint="default"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left"/>
              <w:textAlignment w:val="bottom"/>
              <w:rPr>
                <w:rFonts w:hint="default" w:cs="宋体"/>
                <w:b/>
                <w:color w:val="000000"/>
                <w:sz w:val="32"/>
                <w:szCs w:val="32"/>
              </w:rPr>
            </w:pPr>
            <w:r>
              <w:rPr>
                <w:rFonts w:hint="eastAsia" w:ascii="方正黑体_GBK" w:hAnsi="方正黑体_GBK" w:eastAsia="方正黑体_GBK" w:cs="方正黑体_GBK"/>
                <w:b w:val="0"/>
                <w:bCs/>
                <w:color w:val="000000"/>
                <w:sz w:val="32"/>
                <w:szCs w:val="32"/>
                <w:lang w:eastAsia="zh-CN"/>
              </w:rPr>
              <w:t>附件</w:t>
            </w:r>
            <w:r>
              <w:rPr>
                <w:rFonts w:hint="eastAsia" w:ascii="方正黑体_GBK" w:hAnsi="方正黑体_GBK" w:eastAsia="方正黑体_GBK" w:cs="方正黑体_GBK"/>
                <w:b w:val="0"/>
                <w:bCs/>
                <w:color w:val="000000"/>
                <w:sz w:val="32"/>
                <w:szCs w:val="32"/>
                <w:lang w:val="en-US" w:eastAsia="zh-CN"/>
              </w:rPr>
              <w:t xml:space="preserve">1 </w:t>
            </w:r>
            <w:r>
              <w:rPr>
                <w:rFonts w:hint="eastAsia" w:cs="宋体"/>
                <w:b/>
                <w:color w:val="000000"/>
                <w:sz w:val="32"/>
                <w:szCs w:val="32"/>
                <w:lang w:val="en-US" w:eastAsia="zh-CN"/>
              </w:rPr>
              <w:t xml:space="preserve">                                  </w:t>
            </w: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重庆市荣昌区荣隆镇人民政府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5,457.16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895.65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2,067.91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168.64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6,352.80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6,504.46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6,504.46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6,504.46</w:t>
            </w:r>
            <w:r>
              <w:rPr>
                <w:rFonts w:ascii="Times New Roman" w:hAnsi="Times New Roman"/>
                <w:color w:val="000000"/>
                <w:sz w:val="20"/>
                <w:u w:color="auto"/>
              </w:rPr>
              <w:t xml:space="preserve"> </w:t>
            </w:r>
          </w:p>
        </w:tc>
      </w:tr>
    </w:tbl>
    <w:p>
      <w:pPr>
        <w:spacing w:line="240" w:lineRule="exact"/>
        <w:rPr>
          <w:rFonts w:cs="宋体"/>
          <w:sz w:val="20"/>
          <w:szCs w:val="20"/>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重庆市荣昌区荣隆镇人民政府</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6,352.80</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6,352.80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1,648.57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1,648.57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1,572.34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1,572.34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935.47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935.47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525.28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525.28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93.53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93.53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568.98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568.98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105.52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105.52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144.34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144.34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250.62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250.62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1,970.26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1,970.26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1,005.74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1,005.74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640.41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640.41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172.65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172.65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180.98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180.98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323.86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323.86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贷款奖补和贴息</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168.64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168.64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168.64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168.64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138.86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138.86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861.18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861.18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重庆市荣昌区荣隆镇人民政府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6,504.46</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2,880.82</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3,623.64</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1,648.57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1,047.06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601.51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1,572.34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1,047.06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525.28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935.47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935.47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525.28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525.28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936.57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712.58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223.99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93.53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568.98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568.98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105.52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105.52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252.45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144.34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144.34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144.34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250.62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131.42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2,067.91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640.41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1,427.50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1,005.74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640.41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365.33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640.41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640.41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172.65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172.65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180.98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180.98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323.86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323.86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贷款奖补和贴息</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697.64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697.64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267.64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267.64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168.64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168.64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168.64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168.64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138.86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138.86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138.86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861.18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861.18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重庆市荣昌区荣隆镇人民政府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5,457.16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1,648.57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1,648.57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895.65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936.57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936.57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16.92</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2,067.91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2,067.91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878.72</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6,352.80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6,504.46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5,608.81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895.65</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6,504.46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6,504.46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5,608.81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895.65</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重庆市荣昌区荣隆镇人民政府</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5,608.81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2,880.82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2,727.99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1,648.57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1,047.06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1,572.34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1,047.06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525.28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935.47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935.47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525.28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525.28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111.59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111.59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91.63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91.63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712.58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93.53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91.55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91.55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568.98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568.98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211.01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105.52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252.45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54.29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144.34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144.34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144.34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41.12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41.12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233.70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114.50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2,067.91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640.41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1,427.50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1,005.74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640.41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365.33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640.41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640.41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172.65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172.65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323.86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168.36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贷款奖补和贴息</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697.64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267.64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168.64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168.64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147.45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149.04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138.86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138.86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138.86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重庆市荣昌区荣隆镇人民政府</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301.19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558.71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2,492.58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388.24</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重庆市荣昌区荣隆镇人民政府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895.65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895.65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895.65</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16.92</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878.72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878.72</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861.18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861.18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861.18</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2290402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861.18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861.18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861.18</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17.54</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17.54</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重庆市荣昌区荣隆镇人民政府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重庆市荣昌区荣隆镇人民政府</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173.82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173.82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17.24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17.24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17.24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17.24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16.15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tbl>
      <w:tblPr>
        <w:tblW w:w="15320" w:type="dxa"/>
        <w:tblInd w:w="0" w:type="dxa"/>
        <w:shd w:val="clear"/>
        <w:tblLayout w:type="fixed"/>
        <w:tblCellMar>
          <w:top w:w="0" w:type="dxa"/>
          <w:left w:w="0" w:type="dxa"/>
          <w:bottom w:w="0" w:type="dxa"/>
          <w:right w:w="0" w:type="dxa"/>
        </w:tblCellMar>
      </w:tblPr>
      <w:tblGrid>
        <w:gridCol w:w="2550"/>
        <w:gridCol w:w="1356"/>
        <w:gridCol w:w="1268"/>
        <w:gridCol w:w="1529"/>
        <w:gridCol w:w="890"/>
        <w:gridCol w:w="1546"/>
        <w:gridCol w:w="1211"/>
        <w:gridCol w:w="1516"/>
        <w:gridCol w:w="801"/>
        <w:gridCol w:w="1188"/>
        <w:gridCol w:w="1465"/>
      </w:tblGrid>
      <w:tr>
        <w:tblPrEx>
          <w:shd w:val="clear"/>
          <w:tblLayout w:type="fixed"/>
          <w:tblCellMar>
            <w:top w:w="0" w:type="dxa"/>
            <w:left w:w="0" w:type="dxa"/>
            <w:bottom w:w="0" w:type="dxa"/>
            <w:right w:w="0" w:type="dxa"/>
          </w:tblCellMar>
        </w:tblPrEx>
        <w:trPr>
          <w:trHeight w:val="8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left"/>
              <w:textAlignment w:val="center"/>
              <w:rPr>
                <w:rFonts w:ascii="微软雅黑" w:hAnsi="微软雅黑" w:eastAsia="微软雅黑" w:cs="微软雅黑"/>
                <w:b/>
                <w:i w:val="0"/>
                <w:color w:val="000000"/>
                <w:sz w:val="40"/>
                <w:szCs w:val="40"/>
                <w:u w:val="none"/>
              </w:rPr>
            </w:pPr>
            <w:r>
              <w:rPr>
                <w:rFonts w:hint="eastAsia" w:ascii="方正黑体_GBK" w:hAnsi="方正黑体_GBK" w:eastAsia="方正黑体_GBK" w:cs="方正黑体_GBK"/>
                <w:b w:val="0"/>
                <w:bCs/>
                <w:i w:val="0"/>
                <w:color w:val="000000"/>
                <w:kern w:val="0"/>
                <w:sz w:val="32"/>
                <w:szCs w:val="32"/>
                <w:u w:val="none"/>
                <w:bdr w:val="none" w:color="auto" w:sz="0" w:space="0"/>
                <w:lang w:val="en-US" w:eastAsia="zh-CN" w:bidi="ar"/>
              </w:rPr>
              <w:t xml:space="preserve">附件2                       </w:t>
            </w:r>
            <w:r>
              <w:rPr>
                <w:rFonts w:hint="eastAsia" w:ascii="微软雅黑" w:hAnsi="微软雅黑" w:eastAsia="微软雅黑" w:cs="微软雅黑"/>
                <w:b/>
                <w:i w:val="0"/>
                <w:color w:val="000000"/>
                <w:kern w:val="0"/>
                <w:sz w:val="40"/>
                <w:szCs w:val="40"/>
                <w:u w:val="none"/>
                <w:bdr w:val="none" w:color="auto" w:sz="0" w:space="0"/>
                <w:lang w:val="en-US" w:eastAsia="zh-CN" w:bidi="ar"/>
              </w:rPr>
              <w:t>2024年度单位整体绩效自评表</w:t>
            </w: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项目名称：</w:t>
            </w:r>
          </w:p>
        </w:tc>
        <w:tc>
          <w:tcPr>
            <w:tcW w:w="2624"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重庆市荣昌区荣隆镇人民政府整体自评</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项目编码：</w:t>
            </w:r>
          </w:p>
        </w:tc>
        <w:tc>
          <w:tcPr>
            <w:tcW w:w="2436"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50015300024P000075</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自评总分：</w:t>
            </w:r>
          </w:p>
        </w:tc>
        <w:tc>
          <w:tcPr>
            <w:tcW w:w="2317"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项目主管</w:t>
            </w:r>
            <w:r>
              <w:rPr>
                <w:rFonts w:hint="eastAsia" w:cs="宋体"/>
                <w:b/>
                <w:i w:val="0"/>
                <w:color w:val="000000"/>
                <w:kern w:val="0"/>
                <w:sz w:val="22"/>
                <w:szCs w:val="22"/>
                <w:u w:val="none"/>
                <w:bdr w:val="none" w:color="auto" w:sz="0" w:space="0"/>
                <w:lang w:val="en-US" w:eastAsia="zh-CN" w:bidi="ar"/>
              </w:rPr>
              <w:t>单位</w:t>
            </w:r>
            <w:r>
              <w:rPr>
                <w:rFonts w:hint="eastAsia" w:ascii="宋体" w:hAnsi="宋体" w:eastAsia="宋体" w:cs="宋体"/>
                <w:b/>
                <w:i w:val="0"/>
                <w:color w:val="000000"/>
                <w:kern w:val="0"/>
                <w:sz w:val="22"/>
                <w:szCs w:val="22"/>
                <w:u w:val="none"/>
                <w:bdr w:val="none" w:color="auto" w:sz="0" w:space="0"/>
                <w:lang w:val="en-US" w:eastAsia="zh-CN" w:bidi="ar"/>
              </w:rPr>
              <w:t>：</w:t>
            </w:r>
          </w:p>
        </w:tc>
        <w:tc>
          <w:tcPr>
            <w:tcW w:w="2624"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911-重庆市荣昌区荣隆镇人民政府</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bookmarkStart w:id="0" w:name="_GoBack"/>
            <w:bookmarkEnd w:id="0"/>
            <w:r>
              <w:rPr>
                <w:rFonts w:hint="eastAsia" w:ascii="宋体" w:hAnsi="宋体" w:eastAsia="宋体" w:cs="宋体"/>
                <w:b/>
                <w:i w:val="0"/>
                <w:color w:val="000000"/>
                <w:kern w:val="0"/>
                <w:sz w:val="22"/>
                <w:szCs w:val="22"/>
                <w:u w:val="none"/>
                <w:bdr w:val="none" w:color="auto" w:sz="0" w:space="0"/>
                <w:lang w:val="en-US" w:eastAsia="zh-CN" w:bidi="ar"/>
              </w:rPr>
              <w:t>财政归口处室：</w:t>
            </w:r>
          </w:p>
        </w:tc>
        <w:tc>
          <w:tcPr>
            <w:tcW w:w="2436"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002-预算科</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bdr w:val="none" w:color="auto" w:sz="0" w:space="0"/>
                <w:lang w:val="en-US" w:eastAsia="zh-CN" w:bidi="ar"/>
              </w:rPr>
              <w:t>单位</w:t>
            </w:r>
            <w:r>
              <w:rPr>
                <w:rFonts w:hint="eastAsia" w:ascii="宋体" w:hAnsi="宋体" w:eastAsia="宋体" w:cs="宋体"/>
                <w:b/>
                <w:i w:val="0"/>
                <w:color w:val="000000"/>
                <w:kern w:val="0"/>
                <w:sz w:val="22"/>
                <w:szCs w:val="22"/>
                <w:u w:val="none"/>
                <w:bdr w:val="none" w:color="auto" w:sz="0" w:space="0"/>
                <w:lang w:val="en-US" w:eastAsia="zh-CN" w:bidi="ar"/>
              </w:rPr>
              <w:t>联系人：</w:t>
            </w:r>
          </w:p>
        </w:tc>
        <w:tc>
          <w:tcPr>
            <w:tcW w:w="2317"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陈洁</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联系电话：</w:t>
            </w:r>
          </w:p>
        </w:tc>
        <w:tc>
          <w:tcPr>
            <w:tcW w:w="1465" w:type="dxa"/>
            <w:tcBorders>
              <w:top w:val="single" w:color="000000" w:sz="4" w:space="0"/>
              <w:left w:val="single" w:color="000000" w:sz="4" w:space="0"/>
              <w:bottom w:val="single" w:color="000000" w:sz="4" w:space="0"/>
              <w:right w:val="single" w:color="000000" w:sz="4" w:space="0"/>
            </w:tcBorders>
            <w:shd w:val="clear"/>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906"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797"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年初预算数</w:t>
            </w:r>
          </w:p>
        </w:tc>
        <w:tc>
          <w:tcPr>
            <w:tcW w:w="2436"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全年（调整）预算数</w:t>
            </w:r>
          </w:p>
        </w:tc>
        <w:tc>
          <w:tcPr>
            <w:tcW w:w="2727"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全年执行数</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执行率权重</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nil"/>
            </w:tcBorders>
            <w:shd w:val="clear"/>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年度总金额</w:t>
            </w:r>
          </w:p>
        </w:tc>
        <w:tc>
          <w:tcPr>
            <w:tcW w:w="1356" w:type="dxa"/>
            <w:tcBorders>
              <w:top w:val="single" w:color="000000" w:sz="4" w:space="0"/>
              <w:left w:val="nil"/>
              <w:bottom w:val="single" w:color="000000" w:sz="4" w:space="0"/>
              <w:right w:val="single" w:color="000000" w:sz="4" w:space="0"/>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8"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29" w:type="dxa"/>
            <w:tcBorders>
              <w:top w:val="single" w:color="000000" w:sz="4" w:space="0"/>
              <w:left w:val="nil"/>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59,945,059.85 </w:t>
            </w:r>
          </w:p>
        </w:tc>
        <w:tc>
          <w:tcPr>
            <w:tcW w:w="890"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46" w:type="dxa"/>
            <w:tcBorders>
              <w:top w:val="single" w:color="000000" w:sz="4" w:space="0"/>
              <w:left w:val="nil"/>
              <w:bottom w:val="single" w:color="000000" w:sz="4" w:space="0"/>
              <w:right w:val="single" w:color="000000" w:sz="4" w:space="0"/>
            </w:tcBorders>
            <w:shd w:val="clear"/>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65,044,576.58 </w:t>
            </w:r>
          </w:p>
        </w:tc>
        <w:tc>
          <w:tcPr>
            <w:tcW w:w="1211"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16" w:type="dxa"/>
            <w:tcBorders>
              <w:top w:val="single" w:color="000000" w:sz="4" w:space="0"/>
              <w:left w:val="nil"/>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65,044,576.58 </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nil"/>
            </w:tcBorders>
            <w:shd w:val="clear"/>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其中：财政拨款</w:t>
            </w:r>
          </w:p>
        </w:tc>
        <w:tc>
          <w:tcPr>
            <w:tcW w:w="1356" w:type="dxa"/>
            <w:tcBorders>
              <w:top w:val="single" w:color="000000" w:sz="4" w:space="0"/>
              <w:left w:val="nil"/>
              <w:bottom w:val="single" w:color="000000" w:sz="4" w:space="0"/>
              <w:right w:val="single" w:color="000000" w:sz="4" w:space="0"/>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8"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29" w:type="dxa"/>
            <w:tcBorders>
              <w:top w:val="single" w:color="000000" w:sz="4" w:space="0"/>
              <w:left w:val="nil"/>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59,945,059.85 </w:t>
            </w:r>
          </w:p>
        </w:tc>
        <w:tc>
          <w:tcPr>
            <w:tcW w:w="890"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46" w:type="dxa"/>
            <w:tcBorders>
              <w:top w:val="single" w:color="000000" w:sz="4" w:space="0"/>
              <w:left w:val="nil"/>
              <w:bottom w:val="single" w:color="000000" w:sz="4" w:space="0"/>
              <w:right w:val="single" w:color="000000" w:sz="4" w:space="0"/>
            </w:tcBorders>
            <w:shd w:val="clear"/>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65,044,576.58 </w:t>
            </w:r>
          </w:p>
        </w:tc>
        <w:tc>
          <w:tcPr>
            <w:tcW w:w="1211"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16" w:type="dxa"/>
            <w:tcBorders>
              <w:top w:val="single" w:color="000000" w:sz="4" w:space="0"/>
              <w:left w:val="nil"/>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65,044,576.58 </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nil"/>
            </w:tcBorders>
            <w:shd w:val="clear"/>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一般公共预算</w:t>
            </w:r>
          </w:p>
        </w:tc>
        <w:tc>
          <w:tcPr>
            <w:tcW w:w="1356" w:type="dxa"/>
            <w:tcBorders>
              <w:top w:val="single" w:color="000000" w:sz="4" w:space="0"/>
              <w:left w:val="nil"/>
              <w:bottom w:val="single" w:color="000000" w:sz="4" w:space="0"/>
              <w:right w:val="single" w:color="000000" w:sz="4" w:space="0"/>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8"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29" w:type="dxa"/>
            <w:tcBorders>
              <w:top w:val="single" w:color="000000" w:sz="4" w:space="0"/>
              <w:left w:val="nil"/>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50,922,138.35 </w:t>
            </w:r>
          </w:p>
        </w:tc>
        <w:tc>
          <w:tcPr>
            <w:tcW w:w="890"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46" w:type="dxa"/>
            <w:tcBorders>
              <w:top w:val="single" w:color="000000" w:sz="4" w:space="0"/>
              <w:left w:val="nil"/>
              <w:bottom w:val="single" w:color="000000" w:sz="4" w:space="0"/>
              <w:right w:val="single" w:color="000000" w:sz="4" w:space="0"/>
            </w:tcBorders>
            <w:shd w:val="clear"/>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56,088,113.01 </w:t>
            </w:r>
          </w:p>
        </w:tc>
        <w:tc>
          <w:tcPr>
            <w:tcW w:w="1211"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16" w:type="dxa"/>
            <w:tcBorders>
              <w:top w:val="single" w:color="000000" w:sz="4" w:space="0"/>
              <w:left w:val="nil"/>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56,088,113.01 </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703" w:type="dxa"/>
            <w:gridSpan w:val="4"/>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年初绩效目标</w:t>
            </w:r>
          </w:p>
        </w:tc>
        <w:tc>
          <w:tcPr>
            <w:tcW w:w="5163" w:type="dxa"/>
            <w:gridSpan w:val="4"/>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全年（调整）绩效目标</w:t>
            </w:r>
          </w:p>
        </w:tc>
        <w:tc>
          <w:tcPr>
            <w:tcW w:w="3454" w:type="dxa"/>
            <w:gridSpan w:val="3"/>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703" w:type="dxa"/>
            <w:gridSpan w:val="4"/>
            <w:tcBorders>
              <w:top w:val="single" w:color="000000" w:sz="4" w:space="0"/>
              <w:left w:val="single" w:color="000000" w:sz="4" w:space="0"/>
              <w:bottom w:val="single" w:color="000000" w:sz="4" w:space="0"/>
              <w:right w:val="single" w:color="000000" w:sz="4" w:space="0"/>
            </w:tcBorders>
            <w:shd w:val="clear"/>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我镇2024年经济社会发展主要预期目标是：地区生产总值增长7.2%；工业增加值增长9%；全社会固定资产投资增长10%，其中工业投资增长16%以上；社会消费品零售总额增长8%；城镇和农村常住居民人均可支配收入分别增长6%、7.5%。为实现上述目标，保障经济社会稳定运行，保证民政、教育、文化、体育、劳动就业、社会保障等工作有序开展，今年重点做好以下六个方面的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一是推动经济稳定增长，持续开展招商引资专项行动，深入扩大有效投资，持续优化营商环境，培育壮大企业主体。</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二是推动国家级玉米制种基地创建。紧扣市委“一号工程”，服务全区战略，紧盯制种关键点，加快创建国家级玉米制种基地。创新种业发展，拓展基地建设，联合石碾镇共同打造1万亩集中连片的南方玉米制种核心区，延伸产业链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三是推动城乡融合发展。统筹落实乡村振兴和新型城镇化战略，重点打造以产业为共同发展纽带的城乡融合发展先行区。落实乡村振兴战略，加快推进基础设施一体化发展，坚守耕地红线，推进高标准农田建设。迭代升级和美乡村，扎实推进农村厕所革命，在聚集区域打造小院，加快更新场镇建设，加快城乡危房改造步伐，完成老旧小区及场镇品质提升一体化项目建设，不断完善公共文化服务体系。</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四是推动生态文明建设。加强生态环境保护和治理，落实“河长制”，改善水环境治理，完成曹子冲煤矿和长田坎煤矿地质环境治理恢复。推动绿色转型发展，持续开展农村垃圾整治工作，创建市级、区级垃圾分类示范村和市级绿色示范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五是推动民生提质增效。抓好保障服务，聚焦“两不愁三保障”及饮水安全成效，做实入户走访和帮扶，推动社保扩面工作，确保全民基本医保、城乡养老保险参保率稳定在95%以上。抓好社会服务，加快养老服务体系建设，推动适老化改造逐步全覆盖，完成沙坝子村党群服务中心改扩建工作，提升基层党建服务能力，扎实做好退役军人、卫生计生、未成年人保护等工作。抓好安全保障，完善镇应急救援队伍建设，推进道路交通、建设施工、危化品等重点领域专项整治。</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六是推动政府自身建设。强化政治建设、法治建设、服务建设和作风建设，加强政务信息公开，自觉接受社会各界的监督，深入践行“四下基层”优良作风，常态化开展廉政警示教育及谈话。</w:t>
            </w:r>
          </w:p>
        </w:tc>
        <w:tc>
          <w:tcPr>
            <w:tcW w:w="5163" w:type="dxa"/>
            <w:gridSpan w:val="4"/>
            <w:tcBorders>
              <w:top w:val="single" w:color="000000" w:sz="4" w:space="0"/>
              <w:left w:val="single" w:color="000000" w:sz="4" w:space="0"/>
              <w:bottom w:val="single" w:color="000000" w:sz="4" w:space="0"/>
              <w:right w:val="single" w:color="000000" w:sz="4" w:space="0"/>
            </w:tcBorders>
            <w:shd w:val="clear"/>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454" w:type="dxa"/>
            <w:gridSpan w:val="3"/>
            <w:tcBorders>
              <w:top w:val="single" w:color="000000" w:sz="4" w:space="0"/>
              <w:left w:val="single" w:color="000000" w:sz="4" w:space="0"/>
              <w:bottom w:val="single" w:color="000000" w:sz="4" w:space="0"/>
              <w:right w:val="single" w:color="000000" w:sz="4" w:space="0"/>
            </w:tcBorders>
            <w:shd w:val="clear"/>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我镇2024年经济社会发展：地区生产总值增长6%；工业增加值增长4%；全社会固定资产投资增长50%，其中工业投资增长50%以上；社会消费品零售总额增长4%；城镇和农村常住居民人均可支配收入分别增长5%、6%。为实现上述目标，保障经济社会稳定运行，保证民政、教育、文化、体育、劳动就业、社会保障等工作有序开展，今年重点做好以下六个方面的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一是推动经济稳定增长，持续开展招商引资专项行动，深入扩大有效投资，持续优化营商环境，培育壮大企业主体。</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二是推动国家级玉米制种基地创建。紧扣市委“一号工程”，服务全区战略，紧盯制种关键点，加快创建国家级玉米制种基地。创新种业发展，拓展基地建设，联合石碾镇共同打造1万亩集中连片的南方玉米制种核心区，延伸产业链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三是推动城乡融合发展。统筹落实乡村振兴和新型城镇化战略，重点打造以产业为共同发展纽带的城乡融合发展先行区。落实乡村振兴战略，加快推进基础设施一体化发展，坚守耕地红线，推进高标准农田建设。迭代升级和美乡村，扎实推进农村厕所革命，在聚集区域打造小院，加快更新场镇建设，加快城乡危房改造步伐，完成老旧小区及场镇品质提升一体化项目建设，不断完善公共文化服务体系。</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四是推动生态文明建设。加强生态环境保护和治理，落实“河长制”，改善水环境治理，完成曹子冲煤矿和长田坎煤矿地质环境治理恢复。推动绿色转型发展，持续开展农村垃圾整治工作，创建市级、区级垃圾分类示范村和市级绿色示范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五是推动民生提质增效。抓好保障服务，聚焦“两不愁三保障”及饮水安全成效，做实入户走访和帮扶，推动社保扩面工作，确保全民基本医保、城乡养老保险参保率稳定在95%以上。抓好社会服务，加快养老服务体系建设，推动适老化改造逐步全覆盖，完成沙坝子村党群服务中心改扩建工作，提升基层党建服务能力，扎实做好退役军人、卫生计生、未成年人保护等工作。抓好安全保障，完善镇应急救援队伍建设，推进道路交通、建设施工、危化品等重点领域专项整治。</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六是推动政府自身建设。强化政治建设、法治建设、服务建设和作风建设，加强政务信息公开，自觉接受社会各界的监督，深入践行“四下基层”优良作风，常态化开展廉政警示教育及谈话。</w:t>
            </w:r>
          </w:p>
        </w:tc>
      </w:tr>
      <w:tr>
        <w:tblPrEx>
          <w:shd w:val="clear"/>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指标名称</w:t>
            </w:r>
          </w:p>
        </w:tc>
        <w:tc>
          <w:tcPr>
            <w:tcW w:w="135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计量单位</w:t>
            </w:r>
          </w:p>
        </w:tc>
        <w:tc>
          <w:tcPr>
            <w:tcW w:w="126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指标性质</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指标值</w:t>
            </w:r>
          </w:p>
        </w:tc>
        <w:tc>
          <w:tcPr>
            <w:tcW w:w="8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全年完成值</w:t>
            </w:r>
          </w:p>
        </w:tc>
        <w:tc>
          <w:tcPr>
            <w:tcW w:w="154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偏离度（%）</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得分系数（%）</w:t>
            </w:r>
          </w:p>
        </w:tc>
        <w:tc>
          <w:tcPr>
            <w:tcW w:w="151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指标权重</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指标得分</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是否核心指标</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说明</w:t>
            </w: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创建市级绿色示范村</w:t>
            </w:r>
          </w:p>
        </w:tc>
        <w:tc>
          <w:tcPr>
            <w:tcW w:w="135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126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1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农村公路建设里程</w:t>
            </w:r>
          </w:p>
        </w:tc>
        <w:tc>
          <w:tcPr>
            <w:tcW w:w="135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公里</w:t>
            </w:r>
          </w:p>
        </w:tc>
        <w:tc>
          <w:tcPr>
            <w:tcW w:w="126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4.48</w:t>
            </w:r>
          </w:p>
        </w:tc>
        <w:tc>
          <w:tcPr>
            <w:tcW w:w="8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4.48</w:t>
            </w:r>
          </w:p>
        </w:tc>
        <w:tc>
          <w:tcPr>
            <w:tcW w:w="154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1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农村公路养护里程</w:t>
            </w:r>
          </w:p>
        </w:tc>
        <w:tc>
          <w:tcPr>
            <w:tcW w:w="135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公里</w:t>
            </w:r>
          </w:p>
        </w:tc>
        <w:tc>
          <w:tcPr>
            <w:tcW w:w="126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144.94</w:t>
            </w:r>
          </w:p>
        </w:tc>
        <w:tc>
          <w:tcPr>
            <w:tcW w:w="8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144.94</w:t>
            </w:r>
          </w:p>
        </w:tc>
        <w:tc>
          <w:tcPr>
            <w:tcW w:w="154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1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太阳能路灯安装数量</w:t>
            </w:r>
          </w:p>
        </w:tc>
        <w:tc>
          <w:tcPr>
            <w:tcW w:w="135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盏</w:t>
            </w:r>
          </w:p>
        </w:tc>
        <w:tc>
          <w:tcPr>
            <w:tcW w:w="126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c>
          <w:tcPr>
            <w:tcW w:w="8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c>
          <w:tcPr>
            <w:tcW w:w="154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1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衔接乡村振兴产业到户户数</w:t>
            </w:r>
          </w:p>
        </w:tc>
        <w:tc>
          <w:tcPr>
            <w:tcW w:w="135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户</w:t>
            </w:r>
          </w:p>
        </w:tc>
        <w:tc>
          <w:tcPr>
            <w:tcW w:w="126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w:t>
            </w:r>
          </w:p>
        </w:tc>
        <w:tc>
          <w:tcPr>
            <w:tcW w:w="8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w:t>
            </w:r>
          </w:p>
        </w:tc>
        <w:tc>
          <w:tcPr>
            <w:tcW w:w="154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1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新建、改建便民服务中心</w:t>
            </w:r>
          </w:p>
        </w:tc>
        <w:tc>
          <w:tcPr>
            <w:tcW w:w="135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126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1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场镇品质改善状况</w:t>
            </w:r>
          </w:p>
        </w:tc>
        <w:tc>
          <w:tcPr>
            <w:tcW w:w="135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8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154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1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第五次经济普查完成率</w:t>
            </w:r>
          </w:p>
        </w:tc>
        <w:tc>
          <w:tcPr>
            <w:tcW w:w="135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8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154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1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基本公共服务保障率</w:t>
            </w:r>
          </w:p>
        </w:tc>
        <w:tc>
          <w:tcPr>
            <w:tcW w:w="135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8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154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1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敬老院运行状况</w:t>
            </w:r>
          </w:p>
        </w:tc>
        <w:tc>
          <w:tcPr>
            <w:tcW w:w="135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8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154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1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困难群众基本生活保障力度</w:t>
            </w:r>
          </w:p>
        </w:tc>
        <w:tc>
          <w:tcPr>
            <w:tcW w:w="135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8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154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1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农村人居环境改善</w:t>
            </w:r>
          </w:p>
        </w:tc>
        <w:tc>
          <w:tcPr>
            <w:tcW w:w="135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8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154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1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污水处理站运行情况</w:t>
            </w:r>
          </w:p>
        </w:tc>
        <w:tc>
          <w:tcPr>
            <w:tcW w:w="135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8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154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1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5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群众满意度</w:t>
            </w:r>
          </w:p>
        </w:tc>
        <w:tc>
          <w:tcPr>
            <w:tcW w:w="135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8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154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16"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146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rPr>
          <w:rFonts w:hint="default" w:cs="宋体"/>
          <w:sz w:val="18"/>
          <w:szCs w:val="18"/>
        </w:rPr>
      </w:pP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02AD5"/>
    <w:rsid w:val="001632EC"/>
    <w:rsid w:val="00261065"/>
    <w:rsid w:val="002B0854"/>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C516D1"/>
    <w:rsid w:val="03E3214F"/>
    <w:rsid w:val="044C50BA"/>
    <w:rsid w:val="047B052C"/>
    <w:rsid w:val="04D16E17"/>
    <w:rsid w:val="0508241C"/>
    <w:rsid w:val="05330C16"/>
    <w:rsid w:val="05667907"/>
    <w:rsid w:val="058A19FF"/>
    <w:rsid w:val="05BC6D49"/>
    <w:rsid w:val="05F23933"/>
    <w:rsid w:val="06194FF1"/>
    <w:rsid w:val="06A2550B"/>
    <w:rsid w:val="06F80EE2"/>
    <w:rsid w:val="06FC2D4B"/>
    <w:rsid w:val="07001CCA"/>
    <w:rsid w:val="072B0CFB"/>
    <w:rsid w:val="075678DB"/>
    <w:rsid w:val="079D7CC7"/>
    <w:rsid w:val="07D409E7"/>
    <w:rsid w:val="07F6088A"/>
    <w:rsid w:val="08051BCA"/>
    <w:rsid w:val="086C12F4"/>
    <w:rsid w:val="087B3940"/>
    <w:rsid w:val="08BA052C"/>
    <w:rsid w:val="08DB07BA"/>
    <w:rsid w:val="0969353F"/>
    <w:rsid w:val="098305D0"/>
    <w:rsid w:val="098A0877"/>
    <w:rsid w:val="09B0379E"/>
    <w:rsid w:val="0A5C4B69"/>
    <w:rsid w:val="0A86124A"/>
    <w:rsid w:val="0AB54CC0"/>
    <w:rsid w:val="0B9335CE"/>
    <w:rsid w:val="0C1E7F8C"/>
    <w:rsid w:val="0C7927C4"/>
    <w:rsid w:val="0C9B098C"/>
    <w:rsid w:val="0CEF39A7"/>
    <w:rsid w:val="0D673E11"/>
    <w:rsid w:val="0D9E5EF7"/>
    <w:rsid w:val="0DC356F2"/>
    <w:rsid w:val="0DDA54E4"/>
    <w:rsid w:val="0E3A5F83"/>
    <w:rsid w:val="0E74421A"/>
    <w:rsid w:val="0EA46639"/>
    <w:rsid w:val="0EA747FB"/>
    <w:rsid w:val="0EC6180C"/>
    <w:rsid w:val="0F497FB6"/>
    <w:rsid w:val="0F836721"/>
    <w:rsid w:val="0FA25D96"/>
    <w:rsid w:val="0FDA23F3"/>
    <w:rsid w:val="107B59E5"/>
    <w:rsid w:val="10DB36BC"/>
    <w:rsid w:val="10EC0126"/>
    <w:rsid w:val="10F70B9A"/>
    <w:rsid w:val="111445C7"/>
    <w:rsid w:val="114278C6"/>
    <w:rsid w:val="1158083A"/>
    <w:rsid w:val="11643A4B"/>
    <w:rsid w:val="11891492"/>
    <w:rsid w:val="11ED0F98"/>
    <w:rsid w:val="11F03528"/>
    <w:rsid w:val="12882A9C"/>
    <w:rsid w:val="12C921C4"/>
    <w:rsid w:val="12F52ECF"/>
    <w:rsid w:val="13861CE9"/>
    <w:rsid w:val="13871C70"/>
    <w:rsid w:val="139D5716"/>
    <w:rsid w:val="13A71CB4"/>
    <w:rsid w:val="13AF1D43"/>
    <w:rsid w:val="13CE1647"/>
    <w:rsid w:val="13DA0C25"/>
    <w:rsid w:val="13FD55AB"/>
    <w:rsid w:val="14200702"/>
    <w:rsid w:val="14907817"/>
    <w:rsid w:val="15871FCB"/>
    <w:rsid w:val="15A369EB"/>
    <w:rsid w:val="15AD6907"/>
    <w:rsid w:val="163A6CEE"/>
    <w:rsid w:val="173708E3"/>
    <w:rsid w:val="174C19C7"/>
    <w:rsid w:val="17710B68"/>
    <w:rsid w:val="17C374FC"/>
    <w:rsid w:val="180954D8"/>
    <w:rsid w:val="189079DC"/>
    <w:rsid w:val="189B0D0B"/>
    <w:rsid w:val="18B43F7C"/>
    <w:rsid w:val="192D225A"/>
    <w:rsid w:val="194A1770"/>
    <w:rsid w:val="19B906A4"/>
    <w:rsid w:val="19C97AB6"/>
    <w:rsid w:val="1B6F15B6"/>
    <w:rsid w:val="1BAA2EDC"/>
    <w:rsid w:val="1C5C0973"/>
    <w:rsid w:val="1CA55E64"/>
    <w:rsid w:val="1D014A01"/>
    <w:rsid w:val="1D022362"/>
    <w:rsid w:val="1D1B04B0"/>
    <w:rsid w:val="1D6534C4"/>
    <w:rsid w:val="1D9D71E5"/>
    <w:rsid w:val="1DBD4681"/>
    <w:rsid w:val="1DBD6767"/>
    <w:rsid w:val="1DC52125"/>
    <w:rsid w:val="1DD26311"/>
    <w:rsid w:val="1DF765D8"/>
    <w:rsid w:val="1E00732C"/>
    <w:rsid w:val="1E374ACB"/>
    <w:rsid w:val="1E5E27E3"/>
    <w:rsid w:val="1EA33588"/>
    <w:rsid w:val="1ECF0A66"/>
    <w:rsid w:val="1EF67CA4"/>
    <w:rsid w:val="1F020D3A"/>
    <w:rsid w:val="1F2C5189"/>
    <w:rsid w:val="1F4B0B02"/>
    <w:rsid w:val="1F644A99"/>
    <w:rsid w:val="1FBB35CD"/>
    <w:rsid w:val="1FCD26AF"/>
    <w:rsid w:val="20642787"/>
    <w:rsid w:val="207958D2"/>
    <w:rsid w:val="21556F04"/>
    <w:rsid w:val="216503F3"/>
    <w:rsid w:val="21867506"/>
    <w:rsid w:val="22403BD3"/>
    <w:rsid w:val="22874939"/>
    <w:rsid w:val="23DA37D9"/>
    <w:rsid w:val="24657C5A"/>
    <w:rsid w:val="248E6819"/>
    <w:rsid w:val="249C3455"/>
    <w:rsid w:val="24B92327"/>
    <w:rsid w:val="24C14514"/>
    <w:rsid w:val="2533755C"/>
    <w:rsid w:val="25512F94"/>
    <w:rsid w:val="25791755"/>
    <w:rsid w:val="259D0D5F"/>
    <w:rsid w:val="25AB6BE9"/>
    <w:rsid w:val="2616700A"/>
    <w:rsid w:val="26396DF4"/>
    <w:rsid w:val="27167136"/>
    <w:rsid w:val="278A1074"/>
    <w:rsid w:val="27B23302"/>
    <w:rsid w:val="28BF4D00"/>
    <w:rsid w:val="29310A5F"/>
    <w:rsid w:val="29C37A35"/>
    <w:rsid w:val="2A076083"/>
    <w:rsid w:val="2A377C6C"/>
    <w:rsid w:val="2A73162E"/>
    <w:rsid w:val="2A752A85"/>
    <w:rsid w:val="2B167953"/>
    <w:rsid w:val="2B200583"/>
    <w:rsid w:val="2B220436"/>
    <w:rsid w:val="2B5065A5"/>
    <w:rsid w:val="2B8209DE"/>
    <w:rsid w:val="2C202DDC"/>
    <w:rsid w:val="2C6762A3"/>
    <w:rsid w:val="2D1757CE"/>
    <w:rsid w:val="2E0951DD"/>
    <w:rsid w:val="2EBF7B3E"/>
    <w:rsid w:val="2EDE1934"/>
    <w:rsid w:val="2F347400"/>
    <w:rsid w:val="2FCA4B37"/>
    <w:rsid w:val="2FE029D7"/>
    <w:rsid w:val="2FF06E00"/>
    <w:rsid w:val="2FF82D15"/>
    <w:rsid w:val="30411DF5"/>
    <w:rsid w:val="304B318E"/>
    <w:rsid w:val="30562E26"/>
    <w:rsid w:val="30586FEC"/>
    <w:rsid w:val="30EC7046"/>
    <w:rsid w:val="30F6319D"/>
    <w:rsid w:val="315F0B22"/>
    <w:rsid w:val="319D022C"/>
    <w:rsid w:val="31A963C1"/>
    <w:rsid w:val="31C90022"/>
    <w:rsid w:val="31D84415"/>
    <w:rsid w:val="321719BE"/>
    <w:rsid w:val="32285F6F"/>
    <w:rsid w:val="322D5E52"/>
    <w:rsid w:val="326C53A8"/>
    <w:rsid w:val="326E2D19"/>
    <w:rsid w:val="32770556"/>
    <w:rsid w:val="329C0913"/>
    <w:rsid w:val="32AA0460"/>
    <w:rsid w:val="3337290D"/>
    <w:rsid w:val="334F1C52"/>
    <w:rsid w:val="33B8322C"/>
    <w:rsid w:val="33E31118"/>
    <w:rsid w:val="33EF7674"/>
    <w:rsid w:val="342D7BC6"/>
    <w:rsid w:val="34475F39"/>
    <w:rsid w:val="34D92688"/>
    <w:rsid w:val="352930DB"/>
    <w:rsid w:val="354746A6"/>
    <w:rsid w:val="35573069"/>
    <w:rsid w:val="355F6038"/>
    <w:rsid w:val="358C217E"/>
    <w:rsid w:val="35937598"/>
    <w:rsid w:val="36573308"/>
    <w:rsid w:val="36A7315A"/>
    <w:rsid w:val="36C9128A"/>
    <w:rsid w:val="372E3953"/>
    <w:rsid w:val="373C1B6D"/>
    <w:rsid w:val="37841E99"/>
    <w:rsid w:val="37BF1123"/>
    <w:rsid w:val="37BF6A99"/>
    <w:rsid w:val="37E01793"/>
    <w:rsid w:val="383C3F15"/>
    <w:rsid w:val="38BE4696"/>
    <w:rsid w:val="3939115E"/>
    <w:rsid w:val="39B82A39"/>
    <w:rsid w:val="39C42CA8"/>
    <w:rsid w:val="39D30432"/>
    <w:rsid w:val="39DC4FD6"/>
    <w:rsid w:val="39F03D7A"/>
    <w:rsid w:val="39F33306"/>
    <w:rsid w:val="3A2C1C67"/>
    <w:rsid w:val="3A9E4162"/>
    <w:rsid w:val="3AD52D0B"/>
    <w:rsid w:val="3B1705E5"/>
    <w:rsid w:val="3B18334B"/>
    <w:rsid w:val="3B36794F"/>
    <w:rsid w:val="3B785041"/>
    <w:rsid w:val="3BFF0CBF"/>
    <w:rsid w:val="3C566AD6"/>
    <w:rsid w:val="3C6A5B02"/>
    <w:rsid w:val="3CD45FD0"/>
    <w:rsid w:val="3CDB1612"/>
    <w:rsid w:val="3D2757A1"/>
    <w:rsid w:val="3D3D4FC4"/>
    <w:rsid w:val="3D4F4B8B"/>
    <w:rsid w:val="3D642F1C"/>
    <w:rsid w:val="3D6F0CC9"/>
    <w:rsid w:val="3DDF3AB1"/>
    <w:rsid w:val="3E1D0952"/>
    <w:rsid w:val="3E29341C"/>
    <w:rsid w:val="3E425883"/>
    <w:rsid w:val="3E42660A"/>
    <w:rsid w:val="3E7555B1"/>
    <w:rsid w:val="3E787ED9"/>
    <w:rsid w:val="3EEC37F3"/>
    <w:rsid w:val="3F032E93"/>
    <w:rsid w:val="3F0527E5"/>
    <w:rsid w:val="3F4814B0"/>
    <w:rsid w:val="3F5E5D98"/>
    <w:rsid w:val="3F694D83"/>
    <w:rsid w:val="3F885DCC"/>
    <w:rsid w:val="3FCD675E"/>
    <w:rsid w:val="3FD86860"/>
    <w:rsid w:val="3FE6522B"/>
    <w:rsid w:val="3FF50C02"/>
    <w:rsid w:val="4004000C"/>
    <w:rsid w:val="40D54604"/>
    <w:rsid w:val="411B6CE5"/>
    <w:rsid w:val="412070D7"/>
    <w:rsid w:val="41314E40"/>
    <w:rsid w:val="41626EA7"/>
    <w:rsid w:val="41B60C4E"/>
    <w:rsid w:val="41CD3EB3"/>
    <w:rsid w:val="41E0734B"/>
    <w:rsid w:val="426554D0"/>
    <w:rsid w:val="426C1EA8"/>
    <w:rsid w:val="42736402"/>
    <w:rsid w:val="42E86A87"/>
    <w:rsid w:val="43044CD9"/>
    <w:rsid w:val="432D144E"/>
    <w:rsid w:val="43307B09"/>
    <w:rsid w:val="43470647"/>
    <w:rsid w:val="438D0E97"/>
    <w:rsid w:val="43A2413C"/>
    <w:rsid w:val="43AE7676"/>
    <w:rsid w:val="43BB152F"/>
    <w:rsid w:val="43C76DE5"/>
    <w:rsid w:val="44101B00"/>
    <w:rsid w:val="44494994"/>
    <w:rsid w:val="44704D71"/>
    <w:rsid w:val="44860F6A"/>
    <w:rsid w:val="44B96DCF"/>
    <w:rsid w:val="44C37687"/>
    <w:rsid w:val="44DA3ECA"/>
    <w:rsid w:val="45282A00"/>
    <w:rsid w:val="45CB699A"/>
    <w:rsid w:val="463B264F"/>
    <w:rsid w:val="465B470D"/>
    <w:rsid w:val="469D6AD4"/>
    <w:rsid w:val="471E6C84"/>
    <w:rsid w:val="4748792B"/>
    <w:rsid w:val="475D719D"/>
    <w:rsid w:val="47674801"/>
    <w:rsid w:val="48225EF7"/>
    <w:rsid w:val="482C3987"/>
    <w:rsid w:val="48853AA4"/>
    <w:rsid w:val="488F422B"/>
    <w:rsid w:val="48E36915"/>
    <w:rsid w:val="495C4A24"/>
    <w:rsid w:val="497135DF"/>
    <w:rsid w:val="4A1605D9"/>
    <w:rsid w:val="4A263DF2"/>
    <w:rsid w:val="4A5E563C"/>
    <w:rsid w:val="4A6F6675"/>
    <w:rsid w:val="4ABF0746"/>
    <w:rsid w:val="4B0502DF"/>
    <w:rsid w:val="4B135857"/>
    <w:rsid w:val="4B33279E"/>
    <w:rsid w:val="4B7951CB"/>
    <w:rsid w:val="4B7C315C"/>
    <w:rsid w:val="4C90529C"/>
    <w:rsid w:val="4CCF773C"/>
    <w:rsid w:val="4CD80E24"/>
    <w:rsid w:val="4CEF3FD8"/>
    <w:rsid w:val="4DAC4ACA"/>
    <w:rsid w:val="4DBE01D2"/>
    <w:rsid w:val="4E7424CF"/>
    <w:rsid w:val="4EA27B9E"/>
    <w:rsid w:val="4ECB4355"/>
    <w:rsid w:val="4ECE0721"/>
    <w:rsid w:val="4EFC6D10"/>
    <w:rsid w:val="4F0C6BA3"/>
    <w:rsid w:val="4F10477D"/>
    <w:rsid w:val="4F186D58"/>
    <w:rsid w:val="4FEA65B7"/>
    <w:rsid w:val="5042146E"/>
    <w:rsid w:val="50F06B6E"/>
    <w:rsid w:val="510B57E0"/>
    <w:rsid w:val="510D580C"/>
    <w:rsid w:val="51D33EB1"/>
    <w:rsid w:val="51E86FB6"/>
    <w:rsid w:val="52234D33"/>
    <w:rsid w:val="52261ABA"/>
    <w:rsid w:val="522F6E0C"/>
    <w:rsid w:val="52463BA1"/>
    <w:rsid w:val="5298794F"/>
    <w:rsid w:val="52F163D4"/>
    <w:rsid w:val="531A2DB4"/>
    <w:rsid w:val="53452623"/>
    <w:rsid w:val="53744221"/>
    <w:rsid w:val="53C0244D"/>
    <w:rsid w:val="53DD4D4E"/>
    <w:rsid w:val="53E578CE"/>
    <w:rsid w:val="541330F0"/>
    <w:rsid w:val="54272666"/>
    <w:rsid w:val="5437262B"/>
    <w:rsid w:val="543B029D"/>
    <w:rsid w:val="54861779"/>
    <w:rsid w:val="54E47035"/>
    <w:rsid w:val="552256E1"/>
    <w:rsid w:val="554E5773"/>
    <w:rsid w:val="555A3CBC"/>
    <w:rsid w:val="5582012B"/>
    <w:rsid w:val="558E4E05"/>
    <w:rsid w:val="55BE2E85"/>
    <w:rsid w:val="55D82B6C"/>
    <w:rsid w:val="561D52C4"/>
    <w:rsid w:val="564C0BAB"/>
    <w:rsid w:val="5651697D"/>
    <w:rsid w:val="56530F5D"/>
    <w:rsid w:val="56692AE5"/>
    <w:rsid w:val="567700D3"/>
    <w:rsid w:val="56D87E66"/>
    <w:rsid w:val="56FF7E9E"/>
    <w:rsid w:val="57666460"/>
    <w:rsid w:val="578867FC"/>
    <w:rsid w:val="5842572D"/>
    <w:rsid w:val="58D871AC"/>
    <w:rsid w:val="59086BE1"/>
    <w:rsid w:val="59761B8F"/>
    <w:rsid w:val="5A3B59D6"/>
    <w:rsid w:val="5A5B0555"/>
    <w:rsid w:val="5A8B4216"/>
    <w:rsid w:val="5AD134D8"/>
    <w:rsid w:val="5B292A37"/>
    <w:rsid w:val="5B497C40"/>
    <w:rsid w:val="5B6503B1"/>
    <w:rsid w:val="5BD61A76"/>
    <w:rsid w:val="5BE630D4"/>
    <w:rsid w:val="5C061899"/>
    <w:rsid w:val="5C0F7EC4"/>
    <w:rsid w:val="5C263CE4"/>
    <w:rsid w:val="5C5D2777"/>
    <w:rsid w:val="5CF45530"/>
    <w:rsid w:val="5CF66BF3"/>
    <w:rsid w:val="5D290C69"/>
    <w:rsid w:val="5E0A13A6"/>
    <w:rsid w:val="5E4B03A7"/>
    <w:rsid w:val="5F2D4A41"/>
    <w:rsid w:val="604862F9"/>
    <w:rsid w:val="60C74F6C"/>
    <w:rsid w:val="60F81AB5"/>
    <w:rsid w:val="61025A59"/>
    <w:rsid w:val="61143D72"/>
    <w:rsid w:val="613D5BBC"/>
    <w:rsid w:val="61536C39"/>
    <w:rsid w:val="617E7CA4"/>
    <w:rsid w:val="61A032B0"/>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27E62"/>
    <w:rsid w:val="65CE6852"/>
    <w:rsid w:val="65EA7A7B"/>
    <w:rsid w:val="65EB6584"/>
    <w:rsid w:val="66267C04"/>
    <w:rsid w:val="663F505A"/>
    <w:rsid w:val="665E45E0"/>
    <w:rsid w:val="66827706"/>
    <w:rsid w:val="66967186"/>
    <w:rsid w:val="66C2755D"/>
    <w:rsid w:val="66EE5541"/>
    <w:rsid w:val="67924660"/>
    <w:rsid w:val="67A45F1E"/>
    <w:rsid w:val="67B3608E"/>
    <w:rsid w:val="683200C2"/>
    <w:rsid w:val="683D02DA"/>
    <w:rsid w:val="68407834"/>
    <w:rsid w:val="6883293E"/>
    <w:rsid w:val="688412AD"/>
    <w:rsid w:val="689D6F12"/>
    <w:rsid w:val="68C17C07"/>
    <w:rsid w:val="68D44A36"/>
    <w:rsid w:val="68EB1B71"/>
    <w:rsid w:val="68F25AEE"/>
    <w:rsid w:val="691D22D1"/>
    <w:rsid w:val="691E27B7"/>
    <w:rsid w:val="6921755C"/>
    <w:rsid w:val="69475C96"/>
    <w:rsid w:val="69BB7863"/>
    <w:rsid w:val="6A6A1423"/>
    <w:rsid w:val="6AAD2300"/>
    <w:rsid w:val="6ACB6E18"/>
    <w:rsid w:val="6B474EF5"/>
    <w:rsid w:val="6BBF53FD"/>
    <w:rsid w:val="6C560CAE"/>
    <w:rsid w:val="6C576495"/>
    <w:rsid w:val="6C6620FE"/>
    <w:rsid w:val="6C780A24"/>
    <w:rsid w:val="6CE25D6D"/>
    <w:rsid w:val="6CE44F94"/>
    <w:rsid w:val="6D19098E"/>
    <w:rsid w:val="6D4F7A59"/>
    <w:rsid w:val="6D903FF5"/>
    <w:rsid w:val="6DA955B8"/>
    <w:rsid w:val="6DC844DE"/>
    <w:rsid w:val="6DE346AB"/>
    <w:rsid w:val="6DE5391A"/>
    <w:rsid w:val="6EEA5552"/>
    <w:rsid w:val="6EFD1324"/>
    <w:rsid w:val="6F2E3BC7"/>
    <w:rsid w:val="6F513889"/>
    <w:rsid w:val="6F5A53AC"/>
    <w:rsid w:val="6FAC003D"/>
    <w:rsid w:val="6FE55E12"/>
    <w:rsid w:val="6FFB2E76"/>
    <w:rsid w:val="706A6FD3"/>
    <w:rsid w:val="708F6F7F"/>
    <w:rsid w:val="70D26A1C"/>
    <w:rsid w:val="70D94BD3"/>
    <w:rsid w:val="7144345A"/>
    <w:rsid w:val="71C34D91"/>
    <w:rsid w:val="71FA67DB"/>
    <w:rsid w:val="72DB435C"/>
    <w:rsid w:val="72E2613A"/>
    <w:rsid w:val="72EA0FE7"/>
    <w:rsid w:val="72F771F4"/>
    <w:rsid w:val="734150D5"/>
    <w:rsid w:val="736650B0"/>
    <w:rsid w:val="737863D6"/>
    <w:rsid w:val="73825AA6"/>
    <w:rsid w:val="73934AD2"/>
    <w:rsid w:val="739C3E06"/>
    <w:rsid w:val="74AB576B"/>
    <w:rsid w:val="750837F0"/>
    <w:rsid w:val="754758CF"/>
    <w:rsid w:val="758065DE"/>
    <w:rsid w:val="76096233"/>
    <w:rsid w:val="761275E6"/>
    <w:rsid w:val="764F62AB"/>
    <w:rsid w:val="765C45EC"/>
    <w:rsid w:val="767C1AEE"/>
    <w:rsid w:val="768A7619"/>
    <w:rsid w:val="772D137C"/>
    <w:rsid w:val="772E1EBA"/>
    <w:rsid w:val="77D82013"/>
    <w:rsid w:val="77EB79F7"/>
    <w:rsid w:val="78897359"/>
    <w:rsid w:val="78AB114F"/>
    <w:rsid w:val="792B5FD8"/>
    <w:rsid w:val="796D60A4"/>
    <w:rsid w:val="79A031D5"/>
    <w:rsid w:val="7A1525F7"/>
    <w:rsid w:val="7B420052"/>
    <w:rsid w:val="7B861484"/>
    <w:rsid w:val="7BA63003"/>
    <w:rsid w:val="7BD06A28"/>
    <w:rsid w:val="7C3A7C0B"/>
    <w:rsid w:val="7C5248E4"/>
    <w:rsid w:val="7C566698"/>
    <w:rsid w:val="7C5866A3"/>
    <w:rsid w:val="7D7406BB"/>
    <w:rsid w:val="7DE94331"/>
    <w:rsid w:val="7E6F7B25"/>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9</TotalTime>
  <ScaleCrop>false</ScaleCrop>
  <LinksUpToDate>false</LinksUpToDate>
  <CharactersWithSpaces>26302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2025-09-22T02:07:05Z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