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重庆市荣昌区荣隆镇劳动就业和社会保障</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服务所</w:t>
      </w: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0"/>
          <w:rFonts w:hint="eastAsia" w:ascii="方正楷体_GBK" w:hAnsi="方正楷体_GBK" w:eastAsia="方正楷体_GBK" w:cs="方正楷体_GBK"/>
          <w:b w:val="0"/>
          <w:bCs/>
          <w:color w:val="auto"/>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重庆市荣昌区荣隆镇劳动就业和社会保障服务所的主要职责是：承担就业、再就业、农村富余劳动力转移、劳动和社会保障、社会救助等方面的事务性服务工作。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0"/>
          <w:rFonts w:hint="eastAsia" w:ascii="方正楷体_GBK" w:hAnsi="方正楷体_GBK" w:eastAsia="方正楷体_GBK" w:cs="方正楷体_GBK"/>
          <w:b w:val="0"/>
          <w:bCs/>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重庆市荣昌区荣隆镇劳动就业和社会保障服务所为荣隆镇人民政府管理的正科级财政全额拨款事业单位（公益一类）。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2024年度收</w:t>
      </w:r>
      <w:r>
        <w:rPr>
          <w:rFonts w:hint="eastAsia" w:ascii="方正仿宋_GBK" w:hAnsi="方正仿宋_GBK" w:eastAsia="方正仿宋_GBK" w:cs="方正仿宋_GBK"/>
          <w:b w:val="0"/>
          <w:bCs/>
          <w:color w:val="auto"/>
          <w:sz w:val="32"/>
          <w:szCs w:val="32"/>
          <w:shd w:val="clear" w:color="auto" w:fill="FFFFFF"/>
          <w:lang w:eastAsia="zh-CN"/>
        </w:rPr>
        <w:t>、支</w:t>
      </w:r>
      <w:r>
        <w:rPr>
          <w:rFonts w:hint="eastAsia" w:ascii="方正仿宋_GBK" w:hAnsi="方正仿宋_GBK" w:eastAsia="方正仿宋_GBK" w:cs="方正仿宋_GBK"/>
          <w:b w:val="0"/>
          <w:bCs/>
          <w:color w:val="auto"/>
          <w:sz w:val="32"/>
          <w:szCs w:val="32"/>
          <w:shd w:val="clear" w:color="auto" w:fill="FFFFFF"/>
        </w:rPr>
        <w:t>总计</w:t>
      </w:r>
      <w:r>
        <w:rPr>
          <w:rFonts w:hint="eastAsia" w:ascii="方正仿宋_GBK" w:hAnsi="方正仿宋_GBK" w:eastAsia="方正仿宋_GBK" w:cs="方正仿宋_GBK"/>
          <w:b w:val="0"/>
          <w:bCs/>
          <w:color w:val="auto"/>
          <w:sz w:val="32"/>
          <w:szCs w:val="32"/>
          <w:shd w:val="clear" w:color="auto" w:fill="FFFFFF"/>
          <w:lang w:eastAsia="zh-CN"/>
        </w:rPr>
        <w:t>均为</w:t>
      </w:r>
      <w:r>
        <w:rPr>
          <w:rFonts w:hint="eastAsia" w:ascii="方正仿宋_GBK" w:hAnsi="方正仿宋_GBK" w:eastAsia="方正仿宋_GBK" w:cs="方正仿宋_GBK"/>
          <w:b w:val="0"/>
          <w:bCs/>
          <w:color w:val="auto"/>
          <w:sz w:val="32"/>
          <w:szCs w:val="32"/>
          <w:shd w:val="clear" w:color="auto" w:fill="FFFFFF"/>
        </w:rPr>
        <w:t>118.50万元。收、支与2023年度相比，减少10.42万元，下降8.1%，主要原因是厉行节约，严控经费支出。</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Style w:val="10"/>
          <w:rFonts w:hint="eastAsia" w:ascii="方正仿宋_GBK" w:hAnsi="方正仿宋_GBK" w:eastAsia="方正仿宋_GBK" w:cs="方正仿宋_GBK"/>
          <w:b/>
          <w:bCs w:val="0"/>
          <w:color w:val="auto"/>
          <w:sz w:val="32"/>
          <w:szCs w:val="32"/>
          <w:shd w:val="clear" w:color="auto" w:fill="FFFFFF"/>
          <w:lang w:val="en-US" w:eastAsia="zh-CN"/>
        </w:rPr>
        <w:t>1</w:t>
      </w:r>
      <w:r>
        <w:rPr>
          <w:rStyle w:val="10"/>
          <w:rFonts w:hint="eastAsia" w:ascii="方正仿宋_GBK" w:hAnsi="方正仿宋_GBK" w:eastAsia="方正仿宋_GBK" w:cs="方正仿宋_GBK"/>
          <w:b/>
          <w:bCs w:val="0"/>
          <w:color w:val="auto"/>
          <w:sz w:val="32"/>
          <w:szCs w:val="32"/>
          <w:shd w:val="clear" w:color="auto" w:fill="FFFFFF"/>
        </w:rPr>
        <w:t>.收入情况。</w:t>
      </w:r>
      <w:r>
        <w:rPr>
          <w:rFonts w:hint="eastAsia" w:ascii="方正仿宋_GBK" w:hAnsi="方正仿宋_GBK" w:eastAsia="方正仿宋_GBK" w:cs="方正仿宋_GBK"/>
          <w:b w:val="0"/>
          <w:bCs/>
          <w:color w:val="auto"/>
          <w:sz w:val="32"/>
          <w:szCs w:val="32"/>
          <w:shd w:val="clear" w:color="auto" w:fill="FFFFFF"/>
        </w:rPr>
        <w:t>2024年度收入合计118.50万元，与2023年度相比，减少10.42万元，下降8.1%，主要原因是厉行节约，严控经费支出</w:t>
      </w:r>
      <w:r>
        <w:rPr>
          <w:rFonts w:hint="eastAsia" w:ascii="方正仿宋_GBK" w:hAnsi="方正仿宋_GBK" w:eastAsia="方正仿宋_GBK" w:cs="方正仿宋_GBK"/>
          <w:b w:val="0"/>
          <w:bCs/>
          <w:color w:val="auto"/>
          <w:sz w:val="32"/>
          <w:szCs w:val="32"/>
          <w:shd w:val="clear" w:color="auto" w:fill="FFFFFF"/>
          <w:lang w:val="en-US" w:eastAsia="zh-CN"/>
        </w:rPr>
        <w:t>,收入减少</w:t>
      </w:r>
      <w:r>
        <w:rPr>
          <w:rFonts w:hint="eastAsia" w:ascii="方正仿宋_GBK" w:hAnsi="方正仿宋_GBK" w:eastAsia="方正仿宋_GBK" w:cs="方正仿宋_GBK"/>
          <w:b w:val="0"/>
          <w:bCs/>
          <w:color w:val="auto"/>
          <w:sz w:val="32"/>
          <w:szCs w:val="32"/>
          <w:shd w:val="clear" w:color="auto" w:fill="FFFFFF"/>
        </w:rPr>
        <w:t>。其中：财政拨款收入118.50万元，占100.0%；事业收入0.00万元，占0.0%；经营收入0.00万元，占0.0%；其他收入0.00万元，占0.0%。此外，使用非财政拨款结余（含专用结余）0.00万元，年初结转和结余0.00万元。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Style w:val="10"/>
          <w:rFonts w:hint="eastAsia" w:ascii="方正仿宋_GBK" w:hAnsi="方正仿宋_GBK" w:eastAsia="方正仿宋_GBK" w:cs="方正仿宋_GBK"/>
          <w:b/>
          <w:bCs w:val="0"/>
          <w:color w:val="auto"/>
          <w:sz w:val="32"/>
          <w:szCs w:val="32"/>
          <w:shd w:val="clear" w:color="auto" w:fill="FFFFFF"/>
          <w:lang w:val="en-US" w:eastAsia="zh-CN"/>
        </w:rPr>
        <w:t>2</w:t>
      </w:r>
      <w:r>
        <w:rPr>
          <w:rStyle w:val="10"/>
          <w:rFonts w:hint="eastAsia" w:ascii="方正仿宋_GBK" w:hAnsi="方正仿宋_GBK" w:eastAsia="方正仿宋_GBK" w:cs="方正仿宋_GBK"/>
          <w:b/>
          <w:bCs w:val="0"/>
          <w:color w:val="auto"/>
          <w:sz w:val="32"/>
          <w:szCs w:val="32"/>
          <w:shd w:val="clear" w:color="auto" w:fill="FFFFFF"/>
        </w:rPr>
        <w:t>.支出情况。</w:t>
      </w:r>
      <w:r>
        <w:rPr>
          <w:rFonts w:hint="eastAsia" w:ascii="方正仿宋_GBK" w:hAnsi="方正仿宋_GBK" w:eastAsia="方正仿宋_GBK" w:cs="方正仿宋_GBK"/>
          <w:b w:val="0"/>
          <w:bCs/>
          <w:color w:val="auto"/>
          <w:sz w:val="32"/>
          <w:szCs w:val="32"/>
          <w:shd w:val="clear" w:color="auto" w:fill="FFFFFF"/>
        </w:rPr>
        <w:t>2024年度支出合计118.50万元，与2023年度相比，减少10.42万元，下降8.1%，主要原因是厉行节约，严控经费支出</w:t>
      </w:r>
      <w:r>
        <w:rPr>
          <w:rFonts w:hint="eastAsia" w:ascii="方正仿宋_GBK" w:hAnsi="方正仿宋_GBK" w:eastAsia="方正仿宋_GBK" w:cs="方正仿宋_GBK"/>
          <w:b w:val="0"/>
          <w:bCs/>
          <w:color w:val="auto"/>
          <w:sz w:val="32"/>
          <w:szCs w:val="32"/>
          <w:shd w:val="clear" w:color="auto" w:fill="FFFFFF"/>
          <w:lang w:val="en-US" w:eastAsia="zh-CN"/>
        </w:rPr>
        <w:t>,支出减少</w:t>
      </w:r>
      <w:r>
        <w:rPr>
          <w:rFonts w:hint="eastAsia" w:ascii="方正仿宋_GBK" w:hAnsi="方正仿宋_GBK" w:eastAsia="方正仿宋_GBK" w:cs="方正仿宋_GBK"/>
          <w:b w:val="0"/>
          <w:bCs/>
          <w:color w:val="auto"/>
          <w:sz w:val="32"/>
          <w:szCs w:val="32"/>
          <w:shd w:val="clear" w:color="auto" w:fill="FFFFFF"/>
        </w:rPr>
        <w:t>。其中：基本支出118.50万元，占100.0%；项目支出0.00万元，占0.0%；经营支出</w:t>
      </w:r>
      <w:r>
        <w:rPr>
          <w:rFonts w:hint="eastAsia" w:ascii="方正仿宋_GBK" w:hAnsi="方正仿宋_GBK" w:eastAsia="方正仿宋_GBK" w:cs="方正仿宋_GBK"/>
          <w:b w:val="0"/>
          <w:bCs/>
          <w:color w:val="auto"/>
          <w:sz w:val="32"/>
          <w:szCs w:val="32"/>
        </w:rPr>
        <w:t>0.00</w:t>
      </w:r>
      <w:r>
        <w:rPr>
          <w:rFonts w:hint="eastAsia" w:ascii="方正仿宋_GBK" w:hAnsi="方正仿宋_GBK" w:eastAsia="方正仿宋_GBK" w:cs="方正仿宋_GBK"/>
          <w:b w:val="0"/>
          <w:bCs/>
          <w:color w:val="auto"/>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val="0"/>
          <w:bCs/>
          <w:color w:val="auto"/>
          <w:sz w:val="32"/>
          <w:szCs w:val="32"/>
        </w:rPr>
      </w:pPr>
      <w:r>
        <w:rPr>
          <w:rStyle w:val="10"/>
          <w:rFonts w:hint="eastAsia" w:ascii="方正仿宋_GBK" w:hAnsi="方正仿宋_GBK" w:eastAsia="方正仿宋_GBK" w:cs="方正仿宋_GBK"/>
          <w:b/>
          <w:bCs w:val="0"/>
          <w:color w:val="auto"/>
          <w:sz w:val="32"/>
          <w:szCs w:val="32"/>
          <w:shd w:val="clear" w:color="auto" w:fill="FFFFFF"/>
          <w:lang w:val="en-US" w:eastAsia="zh-CN"/>
        </w:rPr>
        <w:t>3</w:t>
      </w:r>
      <w:r>
        <w:rPr>
          <w:rStyle w:val="10"/>
          <w:rFonts w:hint="eastAsia" w:ascii="方正仿宋_GBK" w:hAnsi="方正仿宋_GBK" w:eastAsia="方正仿宋_GBK" w:cs="方正仿宋_GBK"/>
          <w:b/>
          <w:bCs w:val="0"/>
          <w:color w:val="auto"/>
          <w:sz w:val="32"/>
          <w:szCs w:val="32"/>
          <w:shd w:val="clear" w:color="auto" w:fill="FFFFFF"/>
        </w:rPr>
        <w:t>.结转结余情况。</w:t>
      </w:r>
      <w:r>
        <w:rPr>
          <w:rFonts w:hint="eastAsia" w:ascii="方正仿宋_GBK" w:hAnsi="方正仿宋_GBK" w:eastAsia="方正仿宋_GBK" w:cs="方正仿宋_GBK"/>
          <w:b w:val="0"/>
          <w:bCs/>
          <w:color w:val="auto"/>
          <w:sz w:val="32"/>
          <w:szCs w:val="32"/>
          <w:shd w:val="clear" w:color="auto" w:fill="FFFFFF"/>
        </w:rPr>
        <w:t>2024年度年末结转和结余0.00万元，与2023年度相比，无增减，主要原因是本年度本单位无财政应返还额度。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2024年度财政拨款收、支总计均为118.50万元。与2023年</w:t>
      </w:r>
      <w:r>
        <w:rPr>
          <w:rFonts w:hint="eastAsia" w:ascii="方正仿宋_GBK" w:hAnsi="方正仿宋_GBK" w:eastAsia="方正仿宋_GBK" w:cs="方正仿宋_GBK"/>
          <w:b w:val="0"/>
          <w:bCs/>
          <w:color w:val="auto"/>
          <w:sz w:val="32"/>
          <w:szCs w:val="32"/>
          <w:shd w:val="clear" w:color="auto" w:fill="FFFFFF"/>
          <w:lang w:eastAsia="zh-CN"/>
        </w:rPr>
        <w:t>度</w:t>
      </w:r>
      <w:r>
        <w:rPr>
          <w:rFonts w:hint="eastAsia" w:ascii="方正仿宋_GBK" w:hAnsi="方正仿宋_GBK" w:eastAsia="方正仿宋_GBK" w:cs="方正仿宋_GBK"/>
          <w:b w:val="0"/>
          <w:bCs/>
          <w:color w:val="auto"/>
          <w:sz w:val="32"/>
          <w:szCs w:val="32"/>
          <w:shd w:val="clear" w:color="auto" w:fill="FFFFFF"/>
        </w:rPr>
        <w:t>相比，财政拨款收、支总计各减少10.42万元，下降8.1%。主要原因是厉行节约，严控经费支出。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val="0"/>
          <w:bCs/>
          <w:color w:val="auto"/>
          <w:sz w:val="32"/>
          <w:szCs w:val="32"/>
        </w:rPr>
      </w:pPr>
      <w:r>
        <w:rPr>
          <w:rStyle w:val="10"/>
          <w:rFonts w:hint="eastAsia" w:ascii="方正仿宋_GBK" w:hAnsi="方正仿宋_GBK" w:eastAsia="方正仿宋_GBK" w:cs="方正仿宋_GBK"/>
          <w:b/>
          <w:bCs w:val="0"/>
          <w:color w:val="auto"/>
          <w:sz w:val="32"/>
          <w:szCs w:val="32"/>
          <w:shd w:val="clear" w:color="auto" w:fill="FFFFFF"/>
        </w:rPr>
        <w:t>1.收入情况。</w:t>
      </w:r>
      <w:r>
        <w:rPr>
          <w:rFonts w:hint="eastAsia" w:ascii="方正仿宋_GBK" w:hAnsi="方正仿宋_GBK" w:eastAsia="方正仿宋_GBK" w:cs="方正仿宋_GBK"/>
          <w:b w:val="0"/>
          <w:bCs/>
          <w:color w:val="auto"/>
          <w:sz w:val="32"/>
          <w:szCs w:val="32"/>
          <w:shd w:val="clear" w:color="auto" w:fill="FFFFFF"/>
        </w:rPr>
        <w:t>2024年度一般公共预算财政拨款收入118.50万元，与2023年度相比，减少10.42万元，下降8.1%。主要原因是厉行节约，严控经费支出。较年初预算数减少7.50万元，下降6.0%。主要原因是厉行节约，严控经费支出。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Style w:val="10"/>
          <w:rFonts w:hint="eastAsia" w:ascii="方正仿宋_GBK" w:hAnsi="方正仿宋_GBK" w:eastAsia="方正仿宋_GBK" w:cs="方正仿宋_GBK"/>
          <w:b/>
          <w:bCs w:val="0"/>
          <w:color w:val="auto"/>
          <w:sz w:val="32"/>
          <w:szCs w:val="32"/>
          <w:shd w:val="clear" w:color="auto" w:fill="FFFFFF"/>
        </w:rPr>
        <w:t>2.支出情况。</w:t>
      </w:r>
      <w:r>
        <w:rPr>
          <w:rFonts w:hint="eastAsia" w:ascii="方正仿宋_GBK" w:hAnsi="方正仿宋_GBK" w:eastAsia="方正仿宋_GBK" w:cs="方正仿宋_GBK"/>
          <w:b w:val="0"/>
          <w:bCs/>
          <w:color w:val="auto"/>
          <w:sz w:val="32"/>
          <w:szCs w:val="32"/>
          <w:shd w:val="clear" w:color="auto" w:fill="FFFFFF"/>
        </w:rPr>
        <w:t>2024年度一般公共预算财政拨款支出118.50万元，与2023年度相比，减少10.42万元，下降8.1%。主要原因是厉行节约，严控经费支出。较年初预算数减少7.50万元，下降6.0%。主要原因是厉行节约，严控经费支出。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shd w:val="clear" w:color="auto" w:fill="FFFFFF"/>
        </w:rPr>
      </w:pPr>
      <w:r>
        <w:rPr>
          <w:rFonts w:hint="eastAsia" w:ascii="方正仿宋_GBK" w:hAnsi="方正仿宋_GBK" w:eastAsia="方正仿宋_GBK" w:cs="方正仿宋_GBK"/>
          <w:b w:val="0"/>
          <w:bCs/>
          <w:color w:val="auto"/>
          <w:sz w:val="32"/>
          <w:szCs w:val="32"/>
          <w:highlight w:val="none"/>
          <w:shd w:val="clear" w:color="auto" w:fill="FFFFFF"/>
        </w:rPr>
        <w:t>一般公共预算财政拨款支出主要</w:t>
      </w:r>
      <w:r>
        <w:rPr>
          <w:rFonts w:hint="eastAsia" w:ascii="方正仿宋_GBK" w:hAnsi="方正仿宋_GBK" w:eastAsia="方正仿宋_GBK" w:cs="方正仿宋_GBK"/>
          <w:b w:val="0"/>
          <w:bCs/>
          <w:color w:val="auto"/>
          <w:sz w:val="32"/>
          <w:szCs w:val="32"/>
          <w:highlight w:val="none"/>
          <w:shd w:val="clear" w:color="auto" w:fill="FFFFFF"/>
          <w:lang w:eastAsia="zh-CN"/>
        </w:rPr>
        <w:t>用途如下</w:t>
      </w:r>
      <w:r>
        <w:rPr>
          <w:rFonts w:hint="eastAsia"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rPr>
        <w:t>）教育支出0.69万元，占0.6%，较年初预算数无增减。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2</w:t>
      </w:r>
      <w:r>
        <w:rPr>
          <w:rFonts w:hint="eastAsia" w:ascii="方正仿宋_GBK" w:hAnsi="方正仿宋_GBK" w:eastAsia="方正仿宋_GBK" w:cs="方正仿宋_GBK"/>
          <w:b w:val="0"/>
          <w:bCs/>
          <w:color w:val="auto"/>
          <w:sz w:val="32"/>
          <w:szCs w:val="32"/>
          <w:shd w:val="clear" w:color="auto" w:fill="FFFFFF"/>
        </w:rPr>
        <w:t>）社会保障</w:t>
      </w:r>
      <w:r>
        <w:rPr>
          <w:rFonts w:hint="eastAsia" w:ascii="方正仿宋_GBK" w:hAnsi="方正仿宋_GBK" w:eastAsia="方正仿宋_GBK" w:cs="方正仿宋_GBK"/>
          <w:b w:val="0"/>
          <w:bCs/>
          <w:color w:val="auto"/>
          <w:sz w:val="32"/>
          <w:szCs w:val="32"/>
          <w:shd w:val="clear" w:color="auto" w:fill="FFFFFF"/>
          <w:lang w:eastAsia="zh-CN"/>
        </w:rPr>
        <w:t>和</w:t>
      </w:r>
      <w:r>
        <w:rPr>
          <w:rFonts w:hint="eastAsia" w:ascii="方正仿宋_GBK" w:hAnsi="方正仿宋_GBK" w:eastAsia="方正仿宋_GBK" w:cs="方正仿宋_GBK"/>
          <w:b w:val="0"/>
          <w:bCs/>
          <w:color w:val="auto"/>
          <w:sz w:val="32"/>
          <w:szCs w:val="32"/>
          <w:shd w:val="clear" w:color="auto" w:fill="FFFFFF"/>
        </w:rPr>
        <w:t>就业支出106.98万元，占90.3%，较年初预算数减少7.51万元，下降6.6%，主要原因是厉行节约，严控</w:t>
      </w:r>
      <w:r>
        <w:rPr>
          <w:rFonts w:hint="eastAsia" w:ascii="方正仿宋_GBK" w:hAnsi="方正仿宋_GBK" w:eastAsia="方正仿宋_GBK" w:cs="方正仿宋_GBK"/>
          <w:b w:val="0"/>
          <w:bCs/>
          <w:color w:val="auto"/>
          <w:sz w:val="32"/>
          <w:szCs w:val="32"/>
          <w:shd w:val="clear" w:color="auto" w:fill="FFFFFF"/>
          <w:lang w:eastAsia="zh-CN"/>
        </w:rPr>
        <w:t>公用</w:t>
      </w:r>
      <w:r>
        <w:rPr>
          <w:rFonts w:hint="eastAsia" w:ascii="方正仿宋_GBK" w:hAnsi="方正仿宋_GBK" w:eastAsia="方正仿宋_GBK" w:cs="方正仿宋_GBK"/>
          <w:b w:val="0"/>
          <w:bCs/>
          <w:color w:val="auto"/>
          <w:sz w:val="32"/>
          <w:szCs w:val="32"/>
          <w:shd w:val="clear" w:color="auto" w:fill="FFFFFF"/>
        </w:rPr>
        <w:t>经费支出。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hint="eastAsia" w:ascii="方正仿宋_GBK" w:hAnsi="方正仿宋_GBK" w:eastAsia="方正仿宋_GBK" w:cs="方正仿宋_GBK"/>
          <w:b w:val="0"/>
          <w:bCs/>
          <w:color w:val="auto"/>
          <w:sz w:val="32"/>
          <w:szCs w:val="32"/>
          <w:shd w:val="clear" w:color="auto" w:fill="FFFFFF"/>
        </w:rPr>
        <w:t>）卫生健康支出5.32万元，占4.5%，较年初预算数无增减。</w:t>
      </w:r>
    </w:p>
    <w:p>
      <w:pPr>
        <w:keepNext w:val="0"/>
        <w:keepLines w:val="0"/>
        <w:pageBreakBefore w:val="0"/>
        <w:widowControl/>
        <w:kinsoku/>
        <w:wordWrap/>
        <w:overflowPunct/>
        <w:topLinePunct w:val="0"/>
        <w:autoSpaceDN/>
        <w:bidi w:val="0"/>
        <w:adjustRightInd/>
        <w:spacing w:line="596"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rPr>
        <w:t>住房保障支出</w:t>
      </w:r>
      <w:r>
        <w:rPr>
          <w:rFonts w:hint="eastAsia" w:ascii="方正仿宋_GBK" w:hAnsi="方正仿宋_GBK" w:eastAsia="方正仿宋_GBK" w:cs="方正仿宋_GBK"/>
          <w:b w:val="0"/>
          <w:bCs/>
          <w:color w:val="auto"/>
          <w:sz w:val="32"/>
          <w:szCs w:val="32"/>
          <w:shd w:val="clear" w:color="auto" w:fill="FFFFFF"/>
        </w:rPr>
        <w:t>5.51万元，占4.7%，较年初预算数无增减。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Style w:val="10"/>
          <w:rFonts w:hint="eastAsia" w:ascii="方正仿宋_GBK" w:hAnsi="方正仿宋_GBK" w:eastAsia="方正仿宋_GBK" w:cs="方正仿宋_GBK"/>
          <w:b/>
          <w:bCs w:val="0"/>
          <w:color w:val="auto"/>
          <w:sz w:val="32"/>
          <w:szCs w:val="32"/>
          <w:shd w:val="clear" w:color="auto" w:fill="FFFFFF"/>
        </w:rPr>
        <w:t>3.结转结余情况。</w:t>
      </w:r>
      <w:r>
        <w:rPr>
          <w:rFonts w:hint="eastAsia" w:ascii="方正仿宋_GBK" w:hAnsi="方正仿宋_GBK" w:eastAsia="方正仿宋_GBK" w:cs="方正仿宋_GBK"/>
          <w:b w:val="0"/>
          <w:bCs/>
          <w:color w:val="auto"/>
          <w:sz w:val="32"/>
          <w:szCs w:val="32"/>
          <w:shd w:val="clear" w:color="auto" w:fill="FFFFFF"/>
        </w:rPr>
        <w:t>2024年度年末一般公共预算财政拨款结转和结余0.00万元，与2023年度相比，无增减，主要原因是本年度本单位无财政应返还额度。</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2024年度一般公共财政拨款基本支出118.50万元。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其中：人员经费101.90万元，与2023年度相比，增加0.47万元，增长0.5%，主要原因是</w:t>
      </w:r>
      <w:r>
        <w:rPr>
          <w:rFonts w:hint="eastAsia" w:ascii="方正仿宋_GBK" w:hAnsi="方正仿宋_GBK" w:eastAsia="方正仿宋_GBK" w:cs="方正仿宋_GBK"/>
          <w:b w:val="0"/>
          <w:bCs/>
          <w:color w:val="auto"/>
          <w:sz w:val="32"/>
          <w:szCs w:val="32"/>
          <w:shd w:val="clear" w:color="auto" w:fill="FFFFFF"/>
          <w:lang w:eastAsia="zh-CN"/>
        </w:rPr>
        <w:t>社保基数调整，人员经费增加</w:t>
      </w:r>
      <w:r>
        <w:rPr>
          <w:rFonts w:hint="eastAsia" w:ascii="方正仿宋_GBK" w:hAnsi="方正仿宋_GBK" w:eastAsia="方正仿宋_GBK" w:cs="方正仿宋_GBK"/>
          <w:b w:val="0"/>
          <w:bCs/>
          <w:color w:val="auto"/>
          <w:sz w:val="32"/>
          <w:szCs w:val="32"/>
          <w:shd w:val="clear" w:color="auto" w:fill="FFFFFF"/>
        </w:rPr>
        <w:t>。人员经费用途主要包括基本工资、津贴补贴、奖金、其他工资福利（包括临聘人员工资、绩效考核、应休未休年休假补助、公务员平时考核奖励金）、住房公积金。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公用经费16.60万元，与2023年度相比，减少10.89万元，下降39.6%，主要原因是厉行节约，严控</w:t>
      </w:r>
      <w:r>
        <w:rPr>
          <w:rFonts w:hint="eastAsia" w:ascii="方正仿宋_GBK" w:hAnsi="方正仿宋_GBK" w:eastAsia="方正仿宋_GBK" w:cs="方正仿宋_GBK"/>
          <w:b w:val="0"/>
          <w:bCs/>
          <w:color w:val="auto"/>
          <w:sz w:val="32"/>
          <w:szCs w:val="32"/>
          <w:shd w:val="clear" w:color="auto" w:fill="FFFFFF"/>
          <w:lang w:eastAsia="zh-CN"/>
        </w:rPr>
        <w:t>公用</w:t>
      </w:r>
      <w:r>
        <w:rPr>
          <w:rFonts w:hint="eastAsia" w:ascii="方正仿宋_GBK" w:hAnsi="方正仿宋_GBK" w:eastAsia="方正仿宋_GBK" w:cs="方正仿宋_GBK"/>
          <w:b w:val="0"/>
          <w:bCs/>
          <w:color w:val="auto"/>
          <w:sz w:val="32"/>
          <w:szCs w:val="32"/>
          <w:shd w:val="clear" w:color="auto" w:fill="FFFFFF"/>
        </w:rPr>
        <w:t>经费支出。公用经费用途主要包括办公费、印刷费、水费、电费、邮电费、差旅费、维修（护）费、会议费、培训费、公务接待费、专用材料费、劳务费、工会经费、公务车用车运行维护费、其他交通费用。</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w:t>
      </w:r>
      <w:r>
        <w:rPr>
          <w:rFonts w:hint="eastAsia" w:ascii="方正仿宋_GBK" w:hAnsi="方正仿宋_GBK" w:eastAsia="方正仿宋_GBK" w:cs="方正仿宋_GBK"/>
          <w:b w:val="0"/>
          <w:bCs/>
          <w:color w:val="auto"/>
          <w:sz w:val="32"/>
          <w:szCs w:val="32"/>
          <w:shd w:val="clear" w:color="auto" w:fill="FFFFFF"/>
        </w:rPr>
        <w:t>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w:t>
      </w:r>
      <w:r>
        <w:rPr>
          <w:rFonts w:hint="eastAsia" w:ascii="方正仿宋_GBK" w:hAnsi="方正仿宋_GBK" w:eastAsia="方正仿宋_GBK" w:cs="方正仿宋_GBK"/>
          <w:b w:val="0"/>
          <w:bCs/>
          <w:color w:val="auto"/>
          <w:sz w:val="32"/>
          <w:szCs w:val="32"/>
          <w:shd w:val="clear" w:color="auto" w:fill="FFFFFF"/>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2024年度“三公”经费支出共计0.00万元，较年初预算数无增减，主要原因是本单位202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年度未发生“三公”经费支出。较上年支出数无增减，主要原因是本单位202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2024年度本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hint="eastAsia" w:ascii="方正仿宋_GBK" w:hAnsi="方正仿宋_GBK" w:eastAsia="方正仿宋_GBK" w:cs="方正仿宋_GBK"/>
          <w:b w:val="0"/>
          <w:bCs/>
          <w:color w:val="auto"/>
          <w:sz w:val="32"/>
          <w:szCs w:val="32"/>
          <w:shd w:val="clear" w:color="auto" w:fill="FFFFFF"/>
        </w:rPr>
        <w:t>因公出国（境）费用0.00万元。费用支出较年初预算数无增减，主要原因是本单位202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年度未发生因公出国（境）费用支出。较上年支出数无增减，主要原因是本单位202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年度未发生因公出国（境）费用支出。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hint="eastAsia" w:ascii="方正仿宋_GBK" w:hAnsi="方正仿宋_GBK" w:eastAsia="方正仿宋_GBK" w:cs="方正仿宋_GBK"/>
          <w:b w:val="0"/>
          <w:bCs/>
          <w:color w:val="auto"/>
          <w:sz w:val="32"/>
          <w:szCs w:val="32"/>
          <w:shd w:val="clear" w:color="auto" w:fill="FFFFFF"/>
        </w:rPr>
        <w:t>车购置费0.00万元。费用支出较年初预算数无增减，主要原因是本单位202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年度未发生公务</w:t>
      </w:r>
      <w:r>
        <w:rPr>
          <w:rFonts w:hint="eastAsia" w:ascii="方正仿宋_GBK" w:hAnsi="方正仿宋_GBK" w:eastAsia="方正仿宋_GBK" w:cs="方正仿宋_GBK"/>
          <w:b w:val="0"/>
          <w:bCs/>
          <w:color w:val="auto"/>
          <w:sz w:val="32"/>
          <w:szCs w:val="32"/>
          <w:shd w:val="clear" w:color="auto" w:fill="FFFFFF"/>
          <w:lang w:eastAsia="zh-CN"/>
        </w:rPr>
        <w:t>用</w:t>
      </w:r>
      <w:r>
        <w:rPr>
          <w:rFonts w:hint="eastAsia" w:ascii="方正仿宋_GBK" w:hAnsi="方正仿宋_GBK" w:eastAsia="方正仿宋_GBK" w:cs="方正仿宋_GBK"/>
          <w:b w:val="0"/>
          <w:bCs/>
          <w:color w:val="auto"/>
          <w:sz w:val="32"/>
          <w:szCs w:val="32"/>
          <w:shd w:val="clear" w:color="auto" w:fill="FFFFFF"/>
        </w:rPr>
        <w:t>车购置费用支出。较上年支出数无增减，主要原因是本单位202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年度未发生公务</w:t>
      </w:r>
      <w:r>
        <w:rPr>
          <w:rFonts w:hint="eastAsia" w:ascii="方正仿宋_GBK" w:hAnsi="方正仿宋_GBK" w:eastAsia="方正仿宋_GBK" w:cs="方正仿宋_GBK"/>
          <w:b w:val="0"/>
          <w:bCs/>
          <w:color w:val="auto"/>
          <w:sz w:val="32"/>
          <w:szCs w:val="32"/>
          <w:shd w:val="clear" w:color="auto" w:fill="FFFFFF"/>
          <w:lang w:eastAsia="zh-CN"/>
        </w:rPr>
        <w:t>用</w:t>
      </w:r>
      <w:r>
        <w:rPr>
          <w:rFonts w:hint="eastAsia" w:ascii="方正仿宋_GBK" w:hAnsi="方正仿宋_GBK" w:eastAsia="方正仿宋_GBK" w:cs="方正仿宋_GBK"/>
          <w:b w:val="0"/>
          <w:bCs/>
          <w:color w:val="auto"/>
          <w:sz w:val="32"/>
          <w:szCs w:val="32"/>
          <w:shd w:val="clear" w:color="auto" w:fill="FFFFFF"/>
        </w:rPr>
        <w:t>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hint="eastAsia" w:ascii="方正仿宋_GBK" w:hAnsi="方正仿宋_GBK" w:eastAsia="方正仿宋_GBK" w:cs="方正仿宋_GBK"/>
          <w:b w:val="0"/>
          <w:bCs/>
          <w:color w:val="auto"/>
          <w:sz w:val="32"/>
          <w:szCs w:val="32"/>
          <w:shd w:val="clear" w:color="auto" w:fill="FFFFFF"/>
        </w:rPr>
        <w:t>车运行维护费0.00万元。费用支出较年初预算数无增减，主要原因是本单位202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年度未发生公务</w:t>
      </w:r>
      <w:r>
        <w:rPr>
          <w:rFonts w:hint="eastAsia" w:ascii="方正仿宋_GBK" w:hAnsi="方正仿宋_GBK" w:eastAsia="方正仿宋_GBK" w:cs="方正仿宋_GBK"/>
          <w:b w:val="0"/>
          <w:bCs/>
          <w:color w:val="auto"/>
          <w:sz w:val="32"/>
          <w:szCs w:val="32"/>
          <w:shd w:val="clear" w:color="auto" w:fill="FFFFFF"/>
          <w:lang w:eastAsia="zh-CN"/>
        </w:rPr>
        <w:t>用</w:t>
      </w:r>
      <w:r>
        <w:rPr>
          <w:rFonts w:hint="eastAsia" w:ascii="方正仿宋_GBK" w:hAnsi="方正仿宋_GBK" w:eastAsia="方正仿宋_GBK" w:cs="方正仿宋_GBK"/>
          <w:b w:val="0"/>
          <w:bCs/>
          <w:color w:val="auto"/>
          <w:sz w:val="32"/>
          <w:szCs w:val="32"/>
          <w:shd w:val="clear" w:color="auto" w:fill="FFFFFF"/>
        </w:rPr>
        <w:t>车运行维护费用支出。较上年支出数无增减，主要原因是本单位202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年度未发生公务</w:t>
      </w:r>
      <w:r>
        <w:rPr>
          <w:rFonts w:hint="eastAsia" w:ascii="方正仿宋_GBK" w:hAnsi="方正仿宋_GBK" w:eastAsia="方正仿宋_GBK" w:cs="方正仿宋_GBK"/>
          <w:b w:val="0"/>
          <w:bCs/>
          <w:color w:val="auto"/>
          <w:sz w:val="32"/>
          <w:szCs w:val="32"/>
          <w:shd w:val="clear" w:color="auto" w:fill="FFFFFF"/>
          <w:lang w:eastAsia="zh-CN"/>
        </w:rPr>
        <w:t>用</w:t>
      </w:r>
      <w:r>
        <w:rPr>
          <w:rFonts w:hint="eastAsia" w:ascii="方正仿宋_GBK" w:hAnsi="方正仿宋_GBK" w:eastAsia="方正仿宋_GBK" w:cs="方正仿宋_GBK"/>
          <w:b w:val="0"/>
          <w:bCs/>
          <w:color w:val="auto"/>
          <w:sz w:val="32"/>
          <w:szCs w:val="32"/>
          <w:shd w:val="clear" w:color="auto" w:fill="FFFFFF"/>
        </w:rPr>
        <w:t>车运行维护费用支出。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公务接待费0.00万元。费用支出较年初预算数无增减，主要原因是本单位202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年度未发生公务接待费用支出。较上年支出数无增减，主要原因是本单位202</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hint="eastAsia" w:ascii="方正仿宋_GBK" w:hAnsi="方正仿宋_GBK" w:eastAsia="方正仿宋_GBK" w:cs="方正仿宋_GBK"/>
          <w:b w:val="0"/>
          <w:bCs/>
          <w:color w:val="auto"/>
          <w:sz w:val="32"/>
          <w:szCs w:val="32"/>
          <w:shd w:val="clear" w:color="auto" w:fill="FFFFFF"/>
        </w:rPr>
        <w:t>年度未发生公务接待费用支出。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rPr>
        <w:t>2024年度本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hint="eastAsia" w:ascii="方正仿宋_GBK" w:hAnsi="方正仿宋_GBK" w:eastAsia="方正仿宋_GBK" w:cs="方正仿宋_GBK"/>
          <w:b w:val="0"/>
          <w:bCs/>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b w:val="0"/>
          <w:bCs/>
          <w:color w:val="auto"/>
          <w:sz w:val="32"/>
          <w:szCs w:val="32"/>
          <w:shd w:val="clear" w:color="auto" w:fill="FFFFFF"/>
          <w:lang w:eastAsia="zh-CN"/>
        </w:rPr>
        <w:t>单位</w:t>
      </w:r>
      <w:r>
        <w:rPr>
          <w:rFonts w:hint="eastAsia" w:ascii="方正仿宋_GBK" w:hAnsi="方正仿宋_GBK" w:eastAsia="方正仿宋_GBK" w:cs="方正仿宋_GBK"/>
          <w:b w:val="0"/>
          <w:bCs/>
          <w:color w:val="auto"/>
          <w:sz w:val="32"/>
          <w:szCs w:val="32"/>
          <w:shd w:val="clear" w:color="auto" w:fill="FFFFFF"/>
        </w:rPr>
        <w:t>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（一）财政拨款会议费、培训费和差旅费情况说明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年度会议费支出1.45万元，与2023年度相比，增加1.24万元，增长590.5%，主要原因是本单位本年度中心工作增加，必要工作会议增加，会议费用增加。本年度培训费支出1.74万元，与2023年度相比，增加1.68万元，增长2800.0%，主要原因是本单位本年度中心工作增加，必要业务培训增加，培训费用增加。本年度差旅费支出0.00万元，与2023年度相比，减少0.11万元，下降100.0%，主要原因是厉行节约，严控外出工作，本单位本年度未发生差旅费用。</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（二）机关运行经费情况说明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（三）国有资产占用情况说明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（四）政府采购支出情况说明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rPr>
        <w:t>五、</w:t>
      </w:r>
      <w:r>
        <w:rPr>
          <w:rStyle w:val="10"/>
          <w:rFonts w:hint="eastAsia" w:ascii="方正黑体_GBK" w:hAnsi="方正黑体_GBK" w:eastAsia="方正黑体_GBK" w:cs="方正黑体_GBK"/>
          <w:b w:val="0"/>
          <w:bCs/>
          <w:sz w:val="32"/>
          <w:szCs w:val="32"/>
          <w:shd w:val="clear" w:color="auto" w:fill="FFFFFF"/>
          <w:lang w:eastAsia="zh-CN"/>
        </w:rPr>
        <w:t>预算</w:t>
      </w:r>
      <w:r>
        <w:rPr>
          <w:rStyle w:val="10"/>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（一）单位自评情况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根据预算绩效管理要求，我单位对整体绩效开展了绩效自评，涉及财政拨款资金</w:t>
      </w:r>
      <w:r>
        <w:rPr>
          <w:rFonts w:hint="eastAsia" w:ascii="方正仿宋_GBK" w:hAnsi="方正仿宋_GBK" w:eastAsia="方正仿宋_GBK" w:cs="方正仿宋_GBK"/>
          <w:b w:val="0"/>
          <w:bCs/>
          <w:color w:val="auto"/>
          <w:sz w:val="32"/>
          <w:szCs w:val="32"/>
          <w:highlight w:val="none"/>
          <w:shd w:val="clear" w:color="auto" w:fill="FFFFFF"/>
          <w:lang w:val="en-US" w:eastAsia="zh-CN"/>
        </w:rPr>
        <w:t>118.5</w:t>
      </w:r>
      <w:r>
        <w:rPr>
          <w:rFonts w:hint="eastAsia" w:ascii="方正仿宋_GBK" w:hAnsi="方正仿宋_GBK" w:eastAsia="方正仿宋_GBK" w:cs="方正仿宋_GBK"/>
          <w:b w:val="0"/>
          <w:bCs/>
          <w:color w:val="auto"/>
          <w:sz w:val="32"/>
          <w:szCs w:val="32"/>
          <w:highlight w:val="none"/>
          <w:shd w:val="clear" w:color="auto" w:fill="FFFFFF"/>
          <w:lang w:eastAsia="zh-CN"/>
        </w:rPr>
        <w:t>万元。单位整体绩效自评表，详见附件2重庆市荣昌区荣隆镇劳动就业和社会保障服务所2024年度单位整体绩效自评表。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（二）单位绩效评价情况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我单位未组织开展绩效评价。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（三）财政绩效评价情况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Style w:val="10"/>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lang w:eastAsia="zh-CN"/>
        </w:rPr>
      </w:pPr>
      <w:r>
        <w:rPr>
          <w:rStyle w:val="10"/>
          <w:rFonts w:hint="eastAsia" w:ascii="方正黑体_GBK" w:hAnsi="方正黑体_GBK" w:eastAsia="方正黑体_GBK" w:cs="方正黑体_GBK"/>
          <w:b w:val="0"/>
          <w:bCs/>
          <w:sz w:val="32"/>
          <w:szCs w:val="32"/>
          <w:shd w:val="clear" w:color="auto" w:fill="FFFFFF"/>
          <w:lang w:eastAsia="zh-CN"/>
        </w:rPr>
        <w:t>七、决算公开联系方式及信息反馈渠道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eastAsia="zh-CN"/>
        </w:rPr>
        <w:t>李庆</w:t>
      </w:r>
      <w:r>
        <w:rPr>
          <w:rFonts w:hint="eastAsia" w:ascii="方正仿宋_GBK" w:hAnsi="方正仿宋_GBK" w:eastAsia="方正仿宋_GBK" w:cs="方正仿宋_GBK"/>
          <w:color w:val="auto"/>
          <w:sz w:val="32"/>
          <w:szCs w:val="32"/>
          <w:shd w:val="clear" w:color="auto" w:fill="FFFFFF"/>
          <w:lang w:eastAsia="zh-CN"/>
        </w:rPr>
        <w:t>蕊</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46551008。</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auto"/>
          <w:sz w:val="32"/>
          <w:szCs w:val="32"/>
          <w:shd w:val="clear" w:color="auto" w:fill="FFFFFF"/>
          <w:lang w:val="en-US" w:eastAsia="zh-CN"/>
        </w:rPr>
      </w:pPr>
      <w:bookmarkStart w:id="0" w:name="_GoBack"/>
      <w:bookmarkEnd w:id="0"/>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1918" w:leftChars="266" w:hanging="1280" w:hangingChars="4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附件：1.重庆市荣昌区荣隆镇劳动就业和社会保障服务所2024年度决算公开报表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1918" w:leftChars="266" w:hanging="1280" w:hangingChars="4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2.重庆市荣昌区荣隆镇劳动就业和社会保障服务所2024年度单位整体绩效自评表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重庆市荣昌区荣隆镇劳动就业和社会保障服务所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重庆市荣昌区荣隆镇劳动就业和社会保障服务所</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118.50</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重庆市荣昌区荣隆镇劳动就业和社会保障服务所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118.50</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106.98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重庆市荣昌区荣隆镇劳动就业和社会保障服务所</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91.55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91.55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重庆市荣昌区荣隆镇劳动就业和社会保障服务所</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101.90</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重庆市荣昌区荣隆镇劳动就业和社会保障服务所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W w:w="15320" w:type="dxa"/>
        <w:tblInd w:w="0" w:type="dxa"/>
        <w:shd w:val="clear"/>
        <w:tblLayout w:type="fixed"/>
        <w:tblCellMar>
          <w:top w:w="0" w:type="dxa"/>
          <w:left w:w="0" w:type="dxa"/>
          <w:bottom w:w="0" w:type="dxa"/>
          <w:right w:w="0" w:type="dxa"/>
        </w:tblCellMar>
      </w:tblPr>
      <w:tblGrid>
        <w:gridCol w:w="2211"/>
        <w:gridCol w:w="2193"/>
        <w:gridCol w:w="2115"/>
        <w:gridCol w:w="1357"/>
        <w:gridCol w:w="790"/>
        <w:gridCol w:w="1354"/>
        <w:gridCol w:w="1037"/>
        <w:gridCol w:w="1359"/>
        <w:gridCol w:w="698"/>
        <w:gridCol w:w="1033"/>
        <w:gridCol w:w="1173"/>
      </w:tblGrid>
      <w:tr>
        <w:tblPrEx>
          <w:shd w:val="clear"/>
          <w:tblLayout w:type="fixed"/>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bdr w:val="none" w:color="auto" w:sz="0" w:space="0"/>
                <w:lang w:val="en-US" w:eastAsia="zh-CN" w:bidi="ar"/>
              </w:rPr>
              <w:t xml:space="preserve">附件2                           </w:t>
            </w:r>
            <w:r>
              <w:rPr>
                <w:rFonts w:hint="eastAsia" w:ascii="微软雅黑" w:hAnsi="微软雅黑" w:eastAsia="微软雅黑" w:cs="微软雅黑"/>
                <w:b/>
                <w:i w:val="0"/>
                <w:color w:val="000000"/>
                <w:kern w:val="0"/>
                <w:sz w:val="40"/>
                <w:szCs w:val="40"/>
                <w:u w:val="none"/>
                <w:bdr w:val="none" w:color="auto" w:sz="0" w:space="0"/>
                <w:lang w:val="en-US" w:eastAsia="zh-CN" w:bidi="ar"/>
              </w:rPr>
              <w:t>2024年度单位整体绩效自评表</w:t>
            </w: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w:t>
            </w:r>
          </w:p>
        </w:tc>
        <w:tc>
          <w:tcPr>
            <w:tcW w:w="4308"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重庆市荣昌区荣隆镇劳动就业和社会保障服务所整体自评</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项目编码：</w:t>
            </w:r>
          </w:p>
        </w:tc>
        <w:tc>
          <w:tcPr>
            <w:tcW w:w="2144"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50015300024P000075</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自评总分：</w:t>
            </w:r>
          </w:p>
        </w:tc>
        <w:tc>
          <w:tcPr>
            <w:tcW w:w="2057"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项目主管单位：</w:t>
            </w:r>
          </w:p>
        </w:tc>
        <w:tc>
          <w:tcPr>
            <w:tcW w:w="4308"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911-重庆市荣昌区荣隆镇人民政府</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财政归口处室：</w:t>
            </w:r>
          </w:p>
        </w:tc>
        <w:tc>
          <w:tcPr>
            <w:tcW w:w="2144"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002-预算科</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单位联系人：</w:t>
            </w:r>
          </w:p>
        </w:tc>
        <w:tc>
          <w:tcPr>
            <w:tcW w:w="2057"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陈洁</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联系电话：</w:t>
            </w:r>
          </w:p>
        </w:tc>
        <w:tc>
          <w:tcPr>
            <w:tcW w:w="1173" w:type="dxa"/>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404"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472"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年初预算数</w:t>
            </w:r>
          </w:p>
        </w:tc>
        <w:tc>
          <w:tcPr>
            <w:tcW w:w="2144"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全年（调整）预算数</w:t>
            </w:r>
          </w:p>
        </w:tc>
        <w:tc>
          <w:tcPr>
            <w:tcW w:w="2396" w:type="dxa"/>
            <w:gridSpan w:val="2"/>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全年执行数</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执行率权重</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nil"/>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年度总金额</w:t>
            </w:r>
          </w:p>
        </w:tc>
        <w:tc>
          <w:tcPr>
            <w:tcW w:w="2193"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15"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7"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1,260,015.36</w:t>
            </w:r>
          </w:p>
        </w:tc>
        <w:tc>
          <w:tcPr>
            <w:tcW w:w="790"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4"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1,184,960.94 </w:t>
            </w:r>
          </w:p>
        </w:tc>
        <w:tc>
          <w:tcPr>
            <w:tcW w:w="1037"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1,184,960.94 </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nil"/>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其中：财政拨款</w:t>
            </w:r>
          </w:p>
        </w:tc>
        <w:tc>
          <w:tcPr>
            <w:tcW w:w="2193"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15"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7"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1,260,015.36</w:t>
            </w:r>
          </w:p>
        </w:tc>
        <w:tc>
          <w:tcPr>
            <w:tcW w:w="790"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4"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1,184,960.94 </w:t>
            </w:r>
          </w:p>
        </w:tc>
        <w:tc>
          <w:tcPr>
            <w:tcW w:w="1037"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1,184,960.94 </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nil"/>
            </w:tcBorders>
            <w:shd w:val="clear"/>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w:t>
            </w:r>
          </w:p>
        </w:tc>
        <w:tc>
          <w:tcPr>
            <w:tcW w:w="2193"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15"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7"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1,260,015.36</w:t>
            </w:r>
          </w:p>
        </w:tc>
        <w:tc>
          <w:tcPr>
            <w:tcW w:w="790"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4" w:type="dxa"/>
            <w:tcBorders>
              <w:top w:val="single" w:color="000000" w:sz="4" w:space="0"/>
              <w:left w:val="nil"/>
              <w:bottom w:val="single" w:color="000000" w:sz="4" w:space="0"/>
              <w:right w:val="single" w:color="000000" w:sz="4" w:space="0"/>
            </w:tcBorders>
            <w:shd w:val="clear"/>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1,184,960.94 </w:t>
            </w:r>
          </w:p>
        </w:tc>
        <w:tc>
          <w:tcPr>
            <w:tcW w:w="1037" w:type="dxa"/>
            <w:tcBorders>
              <w:top w:val="single" w:color="000000" w:sz="4" w:space="0"/>
              <w:left w:val="single" w:color="000000" w:sz="4" w:space="0"/>
              <w:bottom w:val="single" w:color="000000" w:sz="4" w:space="0"/>
              <w:right w:val="nil"/>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1,184,960.94 </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876" w:type="dxa"/>
            <w:gridSpan w:val="4"/>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年初绩效目标</w:t>
            </w:r>
          </w:p>
        </w:tc>
        <w:tc>
          <w:tcPr>
            <w:tcW w:w="4540" w:type="dxa"/>
            <w:gridSpan w:val="4"/>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全年（调整）绩效目标</w:t>
            </w:r>
          </w:p>
        </w:tc>
        <w:tc>
          <w:tcPr>
            <w:tcW w:w="2904" w:type="dxa"/>
            <w:gridSpan w:val="3"/>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876" w:type="dxa"/>
            <w:gridSpan w:val="4"/>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我镇劳动就业和社会保障服务所主要负责为辖区劳动就业和社会保障提供服务，承担就业、再就业、农村富余劳动力转移、劳动和社会保障、社会救助等方面的事务性服务工作。2024年要推动民生提质增效。抓好保障服务，聚焦“两不愁三保障”及饮水安全成效，做实入户走访和帮扶，推动社保扩面工作，确保全民基本医保、城乡养老保险参保率稳定在95%以上。抓好社会服务，加快养老服务体系建设，推动适老化改造逐步全覆盖，扎实做好卫生计生、未成年人保护等工作，保证民政、劳动就业、社会保障等工作有序开展。</w:t>
            </w:r>
          </w:p>
        </w:tc>
        <w:tc>
          <w:tcPr>
            <w:tcW w:w="4540" w:type="dxa"/>
            <w:gridSpan w:val="4"/>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904" w:type="dxa"/>
            <w:gridSpan w:val="3"/>
            <w:tcBorders>
              <w:top w:val="single" w:color="000000" w:sz="4" w:space="0"/>
              <w:left w:val="single" w:color="000000" w:sz="4" w:space="0"/>
              <w:bottom w:val="single" w:color="000000" w:sz="4" w:space="0"/>
              <w:right w:val="single" w:color="000000" w:sz="4" w:space="0"/>
            </w:tcBorders>
            <w:shd w:val="clear"/>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我镇劳动就业和社会保障服务所主要负责了为辖区劳动就业和社会保障提供服务，承担就业、再就业、农村富余劳动力转移、劳动和社会保障、社会救助等方面的事务性服务工作。2024年推动民生提质增效。抓好保障服务，聚焦“两不愁三保障”及饮水安全成效，做实入户走访和帮扶，推动社保扩面工作，确保全民基本医保、城乡养老保险参保率稳定在95%以上。抓好社会服务，加快养老服务体系建设，推动适老化改造逐步全覆盖，扎实做好卫生计生、未成年人保护等工作，保证民政、劳动就业、社会保障等工作有序开展。</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指标名称</w:t>
            </w:r>
          </w:p>
        </w:tc>
        <w:tc>
          <w:tcPr>
            <w:tcW w:w="219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计量单位</w:t>
            </w:r>
          </w:p>
        </w:tc>
        <w:tc>
          <w:tcPr>
            <w:tcW w:w="211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指标性质</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指标值</w:t>
            </w:r>
          </w:p>
        </w:tc>
        <w:tc>
          <w:tcPr>
            <w:tcW w:w="7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全年完成值</w:t>
            </w:r>
          </w:p>
        </w:tc>
        <w:tc>
          <w:tcPr>
            <w:tcW w:w="1354"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偏离度（%）</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得分系数（%）</w:t>
            </w:r>
          </w:p>
        </w:tc>
        <w:tc>
          <w:tcPr>
            <w:tcW w:w="135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指标权重</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指标得分</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是否核心指标</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说明</w:t>
            </w: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基本公共服务保障率</w:t>
            </w:r>
          </w:p>
        </w:tc>
        <w:tc>
          <w:tcPr>
            <w:tcW w:w="219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211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7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354"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敬老院运行状况</w:t>
            </w:r>
          </w:p>
        </w:tc>
        <w:tc>
          <w:tcPr>
            <w:tcW w:w="219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211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7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354"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困难群众基本生活保障力度</w:t>
            </w:r>
          </w:p>
        </w:tc>
        <w:tc>
          <w:tcPr>
            <w:tcW w:w="219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211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7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354"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建成养老服务中心</w:t>
            </w:r>
          </w:p>
        </w:tc>
        <w:tc>
          <w:tcPr>
            <w:tcW w:w="219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211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残疾人人均托养服务标准</w:t>
            </w:r>
          </w:p>
        </w:tc>
        <w:tc>
          <w:tcPr>
            <w:tcW w:w="219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元/人</w:t>
            </w:r>
          </w:p>
        </w:tc>
        <w:tc>
          <w:tcPr>
            <w:tcW w:w="211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c>
          <w:tcPr>
            <w:tcW w:w="7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c>
          <w:tcPr>
            <w:tcW w:w="1354"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11"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群众满意度</w:t>
            </w:r>
          </w:p>
        </w:tc>
        <w:tc>
          <w:tcPr>
            <w:tcW w:w="219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2115"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35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790"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354"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359"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1173" w:type="dxa"/>
            <w:tcBorders>
              <w:top w:val="single" w:color="000000" w:sz="4" w:space="0"/>
              <w:left w:val="single" w:color="000000" w:sz="4" w:space="0"/>
              <w:bottom w:val="single" w:color="000000" w:sz="4" w:space="0"/>
              <w:right w:val="single" w:color="000000" w:sz="4" w:space="0"/>
            </w:tcBorders>
            <w:shd w:val="clear"/>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3BC3"/>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312D"/>
    <w:rsid w:val="00C20C3E"/>
    <w:rsid w:val="00C5163E"/>
    <w:rsid w:val="00CF2ACF"/>
    <w:rsid w:val="00D03AAF"/>
    <w:rsid w:val="00DD0539"/>
    <w:rsid w:val="00E07662"/>
    <w:rsid w:val="00E368E9"/>
    <w:rsid w:val="00EE1E33"/>
    <w:rsid w:val="00F73F90"/>
    <w:rsid w:val="00FB4B3B"/>
    <w:rsid w:val="013F13F0"/>
    <w:rsid w:val="01474EBF"/>
    <w:rsid w:val="014D45D7"/>
    <w:rsid w:val="01577DC8"/>
    <w:rsid w:val="01BC3B25"/>
    <w:rsid w:val="01F3521E"/>
    <w:rsid w:val="036E2DA9"/>
    <w:rsid w:val="03844800"/>
    <w:rsid w:val="03B87EA0"/>
    <w:rsid w:val="03D66ED0"/>
    <w:rsid w:val="03E054F0"/>
    <w:rsid w:val="03E3214F"/>
    <w:rsid w:val="04002BF7"/>
    <w:rsid w:val="040E06D6"/>
    <w:rsid w:val="044C50BA"/>
    <w:rsid w:val="04D9089F"/>
    <w:rsid w:val="052A1208"/>
    <w:rsid w:val="05BC6D49"/>
    <w:rsid w:val="06083260"/>
    <w:rsid w:val="06194FF1"/>
    <w:rsid w:val="06A2550B"/>
    <w:rsid w:val="06F80EE2"/>
    <w:rsid w:val="07001CCA"/>
    <w:rsid w:val="075678DB"/>
    <w:rsid w:val="075B2FB1"/>
    <w:rsid w:val="079D50DE"/>
    <w:rsid w:val="079D7CC7"/>
    <w:rsid w:val="08051BCA"/>
    <w:rsid w:val="086C12F4"/>
    <w:rsid w:val="08705944"/>
    <w:rsid w:val="08BA052C"/>
    <w:rsid w:val="08BC44A3"/>
    <w:rsid w:val="08DB07BA"/>
    <w:rsid w:val="08EC13F4"/>
    <w:rsid w:val="094C2799"/>
    <w:rsid w:val="095E2686"/>
    <w:rsid w:val="0969353F"/>
    <w:rsid w:val="098305D0"/>
    <w:rsid w:val="09B1218B"/>
    <w:rsid w:val="0A3317EA"/>
    <w:rsid w:val="0A5C4B69"/>
    <w:rsid w:val="0A86124A"/>
    <w:rsid w:val="0AA141E7"/>
    <w:rsid w:val="0AB54CC0"/>
    <w:rsid w:val="0AF00320"/>
    <w:rsid w:val="0B2B51A7"/>
    <w:rsid w:val="0B6C7186"/>
    <w:rsid w:val="0B9335CE"/>
    <w:rsid w:val="0BF2311A"/>
    <w:rsid w:val="0C7927C4"/>
    <w:rsid w:val="0C9B098C"/>
    <w:rsid w:val="0CB4775C"/>
    <w:rsid w:val="0D673E11"/>
    <w:rsid w:val="0DDA54E4"/>
    <w:rsid w:val="0E0E29AB"/>
    <w:rsid w:val="0E3A5F83"/>
    <w:rsid w:val="0E8C7217"/>
    <w:rsid w:val="0E913A65"/>
    <w:rsid w:val="0F836721"/>
    <w:rsid w:val="0FA25D96"/>
    <w:rsid w:val="0FAE3503"/>
    <w:rsid w:val="0FBD3C60"/>
    <w:rsid w:val="107B59E5"/>
    <w:rsid w:val="10EC0126"/>
    <w:rsid w:val="10F70B9A"/>
    <w:rsid w:val="10F95A0C"/>
    <w:rsid w:val="11031489"/>
    <w:rsid w:val="111445C7"/>
    <w:rsid w:val="114278C6"/>
    <w:rsid w:val="114738AE"/>
    <w:rsid w:val="1158083A"/>
    <w:rsid w:val="11643A4B"/>
    <w:rsid w:val="11AE2191"/>
    <w:rsid w:val="11ED0F98"/>
    <w:rsid w:val="11F03528"/>
    <w:rsid w:val="1222027B"/>
    <w:rsid w:val="12C921C4"/>
    <w:rsid w:val="13871C70"/>
    <w:rsid w:val="13A71CB4"/>
    <w:rsid w:val="13AF1D43"/>
    <w:rsid w:val="13CE1647"/>
    <w:rsid w:val="13FD55AB"/>
    <w:rsid w:val="14200702"/>
    <w:rsid w:val="14370EA1"/>
    <w:rsid w:val="145D6F41"/>
    <w:rsid w:val="15946883"/>
    <w:rsid w:val="15B5567A"/>
    <w:rsid w:val="16010C76"/>
    <w:rsid w:val="161B1D69"/>
    <w:rsid w:val="163A6CEE"/>
    <w:rsid w:val="172040F7"/>
    <w:rsid w:val="173708E3"/>
    <w:rsid w:val="17C374FC"/>
    <w:rsid w:val="182C21B3"/>
    <w:rsid w:val="182E4AB6"/>
    <w:rsid w:val="189079DC"/>
    <w:rsid w:val="189B0D0B"/>
    <w:rsid w:val="189D29F0"/>
    <w:rsid w:val="18B43F7C"/>
    <w:rsid w:val="191C433B"/>
    <w:rsid w:val="191F46C9"/>
    <w:rsid w:val="194A1770"/>
    <w:rsid w:val="19B906A4"/>
    <w:rsid w:val="19EC2D5D"/>
    <w:rsid w:val="1A8C13E6"/>
    <w:rsid w:val="1AC0353E"/>
    <w:rsid w:val="1B6F15B6"/>
    <w:rsid w:val="1B6F6F1D"/>
    <w:rsid w:val="1BAA2EDC"/>
    <w:rsid w:val="1BD62079"/>
    <w:rsid w:val="1C2F7F43"/>
    <w:rsid w:val="1CA55E64"/>
    <w:rsid w:val="1CFA169F"/>
    <w:rsid w:val="1D014A01"/>
    <w:rsid w:val="1D022362"/>
    <w:rsid w:val="1D0A0C04"/>
    <w:rsid w:val="1D1B04B0"/>
    <w:rsid w:val="1D9A0B8F"/>
    <w:rsid w:val="1DA52501"/>
    <w:rsid w:val="1DB775F0"/>
    <w:rsid w:val="1DBD6767"/>
    <w:rsid w:val="1DC52125"/>
    <w:rsid w:val="1DD26311"/>
    <w:rsid w:val="1E2A0C4D"/>
    <w:rsid w:val="1E374ACB"/>
    <w:rsid w:val="1ECF0A66"/>
    <w:rsid w:val="1EF67CA4"/>
    <w:rsid w:val="1F020D3A"/>
    <w:rsid w:val="1F2C5189"/>
    <w:rsid w:val="1F4B0B02"/>
    <w:rsid w:val="1F521CEC"/>
    <w:rsid w:val="1FB8532C"/>
    <w:rsid w:val="1FBB35CD"/>
    <w:rsid w:val="1FCD26AF"/>
    <w:rsid w:val="20642787"/>
    <w:rsid w:val="21556F04"/>
    <w:rsid w:val="21FD1012"/>
    <w:rsid w:val="2219328F"/>
    <w:rsid w:val="22403BD3"/>
    <w:rsid w:val="22CD4C67"/>
    <w:rsid w:val="235417B6"/>
    <w:rsid w:val="24B92327"/>
    <w:rsid w:val="24C14514"/>
    <w:rsid w:val="2533755C"/>
    <w:rsid w:val="254B5FD6"/>
    <w:rsid w:val="25791755"/>
    <w:rsid w:val="257C3F52"/>
    <w:rsid w:val="2609243E"/>
    <w:rsid w:val="26396DF4"/>
    <w:rsid w:val="27167136"/>
    <w:rsid w:val="271B442C"/>
    <w:rsid w:val="27B23302"/>
    <w:rsid w:val="29310A5F"/>
    <w:rsid w:val="296B62A3"/>
    <w:rsid w:val="29C37A35"/>
    <w:rsid w:val="2A076083"/>
    <w:rsid w:val="2A73162E"/>
    <w:rsid w:val="2A7C7511"/>
    <w:rsid w:val="2B167953"/>
    <w:rsid w:val="2B200583"/>
    <w:rsid w:val="2B224B50"/>
    <w:rsid w:val="2B5001F3"/>
    <w:rsid w:val="2B8209DE"/>
    <w:rsid w:val="2B821C91"/>
    <w:rsid w:val="2BB25AE4"/>
    <w:rsid w:val="2BF81A22"/>
    <w:rsid w:val="2C5C5BB9"/>
    <w:rsid w:val="2C636760"/>
    <w:rsid w:val="2C6762A3"/>
    <w:rsid w:val="2DF41D09"/>
    <w:rsid w:val="2ED738B9"/>
    <w:rsid w:val="2F1E1377"/>
    <w:rsid w:val="2FBE4ADB"/>
    <w:rsid w:val="2FBE639E"/>
    <w:rsid w:val="2FCA4B37"/>
    <w:rsid w:val="2FE029D7"/>
    <w:rsid w:val="2FF06E00"/>
    <w:rsid w:val="30586FEC"/>
    <w:rsid w:val="315F0B22"/>
    <w:rsid w:val="31D84415"/>
    <w:rsid w:val="32196D3F"/>
    <w:rsid w:val="32285F6F"/>
    <w:rsid w:val="324723A1"/>
    <w:rsid w:val="3267292F"/>
    <w:rsid w:val="32770556"/>
    <w:rsid w:val="329C0913"/>
    <w:rsid w:val="32AA0460"/>
    <w:rsid w:val="3337290D"/>
    <w:rsid w:val="33654EAC"/>
    <w:rsid w:val="33DF280F"/>
    <w:rsid w:val="33E31118"/>
    <w:rsid w:val="33EF7674"/>
    <w:rsid w:val="33F56D9C"/>
    <w:rsid w:val="34183600"/>
    <w:rsid w:val="342D7BC6"/>
    <w:rsid w:val="34B712CC"/>
    <w:rsid w:val="352930DB"/>
    <w:rsid w:val="352E571E"/>
    <w:rsid w:val="35344A14"/>
    <w:rsid w:val="35573069"/>
    <w:rsid w:val="355F6038"/>
    <w:rsid w:val="358C217E"/>
    <w:rsid w:val="35D66E2B"/>
    <w:rsid w:val="35F16F5F"/>
    <w:rsid w:val="36530BCC"/>
    <w:rsid w:val="36C9128A"/>
    <w:rsid w:val="37841E99"/>
    <w:rsid w:val="37BF1123"/>
    <w:rsid w:val="383C3F15"/>
    <w:rsid w:val="38687B2F"/>
    <w:rsid w:val="38BE4696"/>
    <w:rsid w:val="3939115E"/>
    <w:rsid w:val="39A07A4E"/>
    <w:rsid w:val="39AB7AFE"/>
    <w:rsid w:val="39B82A39"/>
    <w:rsid w:val="39C42CA8"/>
    <w:rsid w:val="39DC4FD6"/>
    <w:rsid w:val="39F03D7A"/>
    <w:rsid w:val="39F33306"/>
    <w:rsid w:val="3A2C1C67"/>
    <w:rsid w:val="3A2C6DA1"/>
    <w:rsid w:val="3A6A77C9"/>
    <w:rsid w:val="3ADD7F09"/>
    <w:rsid w:val="3B1705E5"/>
    <w:rsid w:val="3B18334B"/>
    <w:rsid w:val="3B36794F"/>
    <w:rsid w:val="3B6F6EE0"/>
    <w:rsid w:val="3BC343E1"/>
    <w:rsid w:val="3BCC26B2"/>
    <w:rsid w:val="3C0C2C4B"/>
    <w:rsid w:val="3C566AD6"/>
    <w:rsid w:val="3C594871"/>
    <w:rsid w:val="3C6A5B02"/>
    <w:rsid w:val="3D2757A1"/>
    <w:rsid w:val="3D3D4FC4"/>
    <w:rsid w:val="3D8A61EC"/>
    <w:rsid w:val="3DDF3AB1"/>
    <w:rsid w:val="3E1D0952"/>
    <w:rsid w:val="3E352135"/>
    <w:rsid w:val="3E42660A"/>
    <w:rsid w:val="3E7555B1"/>
    <w:rsid w:val="3E787ED9"/>
    <w:rsid w:val="3EB55DAF"/>
    <w:rsid w:val="3F032E93"/>
    <w:rsid w:val="3F0527E5"/>
    <w:rsid w:val="3F4C52C6"/>
    <w:rsid w:val="3F694D83"/>
    <w:rsid w:val="3F6F25B0"/>
    <w:rsid w:val="3F885DCC"/>
    <w:rsid w:val="3FCD675E"/>
    <w:rsid w:val="4004000C"/>
    <w:rsid w:val="40674697"/>
    <w:rsid w:val="40BD5482"/>
    <w:rsid w:val="411B6CE5"/>
    <w:rsid w:val="412070D7"/>
    <w:rsid w:val="41272B4B"/>
    <w:rsid w:val="41314E40"/>
    <w:rsid w:val="41E0734B"/>
    <w:rsid w:val="42011B3A"/>
    <w:rsid w:val="42513E57"/>
    <w:rsid w:val="426C1EA8"/>
    <w:rsid w:val="42736402"/>
    <w:rsid w:val="42BE37B1"/>
    <w:rsid w:val="42E86A87"/>
    <w:rsid w:val="43307B09"/>
    <w:rsid w:val="4344226C"/>
    <w:rsid w:val="436D44AF"/>
    <w:rsid w:val="439A3EB9"/>
    <w:rsid w:val="43A2191B"/>
    <w:rsid w:val="43BB152F"/>
    <w:rsid w:val="440F53E8"/>
    <w:rsid w:val="44C37687"/>
    <w:rsid w:val="457C0AAB"/>
    <w:rsid w:val="45C43B4D"/>
    <w:rsid w:val="45CB699A"/>
    <w:rsid w:val="45D2159A"/>
    <w:rsid w:val="46423C66"/>
    <w:rsid w:val="465B470D"/>
    <w:rsid w:val="469D6AD4"/>
    <w:rsid w:val="471E6C84"/>
    <w:rsid w:val="4748792B"/>
    <w:rsid w:val="475D719D"/>
    <w:rsid w:val="47674801"/>
    <w:rsid w:val="48225EF7"/>
    <w:rsid w:val="488F422B"/>
    <w:rsid w:val="48B3306C"/>
    <w:rsid w:val="48E36915"/>
    <w:rsid w:val="48EB6572"/>
    <w:rsid w:val="495C4A24"/>
    <w:rsid w:val="497135DF"/>
    <w:rsid w:val="4A263DF2"/>
    <w:rsid w:val="4A2F278B"/>
    <w:rsid w:val="4A6F6675"/>
    <w:rsid w:val="4AB706F0"/>
    <w:rsid w:val="4B135857"/>
    <w:rsid w:val="4B7951CB"/>
    <w:rsid w:val="4B7C315C"/>
    <w:rsid w:val="4B8B2B3D"/>
    <w:rsid w:val="4C9316A8"/>
    <w:rsid w:val="4CAC7769"/>
    <w:rsid w:val="4CE25FB0"/>
    <w:rsid w:val="4D1F53CA"/>
    <w:rsid w:val="4D2E5A52"/>
    <w:rsid w:val="4DAC4ACA"/>
    <w:rsid w:val="4DBE01D2"/>
    <w:rsid w:val="4EB47260"/>
    <w:rsid w:val="4F0C6BA3"/>
    <w:rsid w:val="4F186D58"/>
    <w:rsid w:val="500609B8"/>
    <w:rsid w:val="50F06B6E"/>
    <w:rsid w:val="510A002A"/>
    <w:rsid w:val="51AF07BC"/>
    <w:rsid w:val="51D21804"/>
    <w:rsid w:val="51DE57D9"/>
    <w:rsid w:val="52234D33"/>
    <w:rsid w:val="522F6E0C"/>
    <w:rsid w:val="52463BA1"/>
    <w:rsid w:val="526510B6"/>
    <w:rsid w:val="52F163D4"/>
    <w:rsid w:val="531A2DB4"/>
    <w:rsid w:val="531F650D"/>
    <w:rsid w:val="53C0244D"/>
    <w:rsid w:val="53DD4D4E"/>
    <w:rsid w:val="53E578CE"/>
    <w:rsid w:val="541330F0"/>
    <w:rsid w:val="54272666"/>
    <w:rsid w:val="543B029D"/>
    <w:rsid w:val="54861779"/>
    <w:rsid w:val="552256E1"/>
    <w:rsid w:val="554E5773"/>
    <w:rsid w:val="555829E0"/>
    <w:rsid w:val="555A3CBC"/>
    <w:rsid w:val="55722EC8"/>
    <w:rsid w:val="557C6377"/>
    <w:rsid w:val="5582012B"/>
    <w:rsid w:val="558E4E05"/>
    <w:rsid w:val="55A275FF"/>
    <w:rsid w:val="55BE2E85"/>
    <w:rsid w:val="564B583E"/>
    <w:rsid w:val="56530F5D"/>
    <w:rsid w:val="56744DC9"/>
    <w:rsid w:val="567700D3"/>
    <w:rsid w:val="569E5A73"/>
    <w:rsid w:val="56CE14ED"/>
    <w:rsid w:val="56FF7E9E"/>
    <w:rsid w:val="578867FC"/>
    <w:rsid w:val="579D758F"/>
    <w:rsid w:val="57B54F7A"/>
    <w:rsid w:val="5842572D"/>
    <w:rsid w:val="589A0F4A"/>
    <w:rsid w:val="59FF1C9D"/>
    <w:rsid w:val="5A1616A3"/>
    <w:rsid w:val="5A193BFF"/>
    <w:rsid w:val="5A3B59D6"/>
    <w:rsid w:val="5AD134D8"/>
    <w:rsid w:val="5BA85C27"/>
    <w:rsid w:val="5BF41F67"/>
    <w:rsid w:val="5C263CE4"/>
    <w:rsid w:val="5C5D2777"/>
    <w:rsid w:val="5C955F63"/>
    <w:rsid w:val="5CF66BF3"/>
    <w:rsid w:val="5D290C69"/>
    <w:rsid w:val="5DA80C2C"/>
    <w:rsid w:val="5E8E100B"/>
    <w:rsid w:val="5E977057"/>
    <w:rsid w:val="5EBA45C1"/>
    <w:rsid w:val="5F2D4A41"/>
    <w:rsid w:val="5F747C94"/>
    <w:rsid w:val="5FF9714F"/>
    <w:rsid w:val="606746C4"/>
    <w:rsid w:val="60A90BAC"/>
    <w:rsid w:val="60C74F6C"/>
    <w:rsid w:val="61015958"/>
    <w:rsid w:val="61025A59"/>
    <w:rsid w:val="613D5BBC"/>
    <w:rsid w:val="61536C39"/>
    <w:rsid w:val="615853DF"/>
    <w:rsid w:val="62944DD7"/>
    <w:rsid w:val="62A049EA"/>
    <w:rsid w:val="6319381F"/>
    <w:rsid w:val="63840752"/>
    <w:rsid w:val="63C25DC5"/>
    <w:rsid w:val="63C62057"/>
    <w:rsid w:val="64571EF5"/>
    <w:rsid w:val="64FB113D"/>
    <w:rsid w:val="656152C6"/>
    <w:rsid w:val="6587477F"/>
    <w:rsid w:val="658C3A08"/>
    <w:rsid w:val="65C031CA"/>
    <w:rsid w:val="65CE6852"/>
    <w:rsid w:val="66267C04"/>
    <w:rsid w:val="663F505A"/>
    <w:rsid w:val="66A71CC4"/>
    <w:rsid w:val="66AF5D7C"/>
    <w:rsid w:val="66EE5541"/>
    <w:rsid w:val="67924660"/>
    <w:rsid w:val="681C6DAC"/>
    <w:rsid w:val="68407834"/>
    <w:rsid w:val="685B2CC6"/>
    <w:rsid w:val="6883293E"/>
    <w:rsid w:val="688412AD"/>
    <w:rsid w:val="68CD06C0"/>
    <w:rsid w:val="68EB1B71"/>
    <w:rsid w:val="68F21BC6"/>
    <w:rsid w:val="696C0310"/>
    <w:rsid w:val="6A3A5E6A"/>
    <w:rsid w:val="6A6C7940"/>
    <w:rsid w:val="6A9F1565"/>
    <w:rsid w:val="6AAD2300"/>
    <w:rsid w:val="6B474EF5"/>
    <w:rsid w:val="6C0A5AC5"/>
    <w:rsid w:val="6C560CAE"/>
    <w:rsid w:val="6C576495"/>
    <w:rsid w:val="6C980C1E"/>
    <w:rsid w:val="6D903FF5"/>
    <w:rsid w:val="6DA955B8"/>
    <w:rsid w:val="6DE346AB"/>
    <w:rsid w:val="6DE5391A"/>
    <w:rsid w:val="6EFD1324"/>
    <w:rsid w:val="6F5A53AC"/>
    <w:rsid w:val="6F5F7EDF"/>
    <w:rsid w:val="6FAC003D"/>
    <w:rsid w:val="6FD926BF"/>
    <w:rsid w:val="6FE55E12"/>
    <w:rsid w:val="6FFB2E76"/>
    <w:rsid w:val="708F6F7F"/>
    <w:rsid w:val="70D94BD3"/>
    <w:rsid w:val="71574775"/>
    <w:rsid w:val="71A11706"/>
    <w:rsid w:val="71C34D91"/>
    <w:rsid w:val="72DB435C"/>
    <w:rsid w:val="72E2613A"/>
    <w:rsid w:val="72F771F4"/>
    <w:rsid w:val="7365070C"/>
    <w:rsid w:val="73934AD2"/>
    <w:rsid w:val="74BA129F"/>
    <w:rsid w:val="750837F0"/>
    <w:rsid w:val="754758CF"/>
    <w:rsid w:val="75595ECD"/>
    <w:rsid w:val="75603C40"/>
    <w:rsid w:val="757D5AAE"/>
    <w:rsid w:val="762F29AF"/>
    <w:rsid w:val="764F62AB"/>
    <w:rsid w:val="765C45EC"/>
    <w:rsid w:val="768A7619"/>
    <w:rsid w:val="76991451"/>
    <w:rsid w:val="772E1EBA"/>
    <w:rsid w:val="77CA524B"/>
    <w:rsid w:val="781926BC"/>
    <w:rsid w:val="796D60A4"/>
    <w:rsid w:val="797A664A"/>
    <w:rsid w:val="79A031D5"/>
    <w:rsid w:val="79B47FDF"/>
    <w:rsid w:val="79E569A9"/>
    <w:rsid w:val="79F20FCA"/>
    <w:rsid w:val="7A1525F7"/>
    <w:rsid w:val="7B420052"/>
    <w:rsid w:val="7B531C38"/>
    <w:rsid w:val="7B562BB2"/>
    <w:rsid w:val="7BD06A28"/>
    <w:rsid w:val="7C3A7C0B"/>
    <w:rsid w:val="7C5248E4"/>
    <w:rsid w:val="7C566698"/>
    <w:rsid w:val="7C5866A3"/>
    <w:rsid w:val="7D7406BB"/>
    <w:rsid w:val="7D7C61DB"/>
    <w:rsid w:val="7DE94331"/>
    <w:rsid w:val="7F446A19"/>
    <w:rsid w:val="7F471FC2"/>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10</TotalTime>
  <ScaleCrop>false</ScaleCrop>
  <LinksUpToDate>false</LinksUpToDate>
  <CharactersWithSpaces>26313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2025-09-22T03:57:40Z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