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重庆市荣昌区荣隆镇建设环保服务中心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一、单位基本情况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重庆市荣昌区荣隆镇建设环保服务中心的主要职责是承担规划建设、市政公用事业、房屋管理、市容环境、环境保护等领域的事务性服务工作。</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（二）机构设置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重庆市荣昌区荣隆镇建设环保服务中心为荣隆镇人民政府管理的正科级财政全额拨款事业单位（公益一类）。</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二、单位决算收支情况说明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w:t>
      </w:r>
      <w:r>
        <w:rPr>
          <w:rFonts w:hint="eastAsia" w:ascii="方正仿宋_GBK" w:hAnsi="方正仿宋_GBK" w:eastAsia="方正仿宋_GBK" w:cs="方正仿宋_GBK"/>
          <w:color w:val="auto"/>
          <w:sz w:val="32"/>
          <w:szCs w:val="32"/>
          <w:shd w:val="clear" w:color="auto" w:fill="FFFFFF"/>
          <w:lang w:eastAsia="zh-CN"/>
        </w:rPr>
        <w:t>、支</w:t>
      </w:r>
      <w:r>
        <w:rPr>
          <w:rFonts w:hint="eastAsia"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eastAsia" w:ascii="方正仿宋_GBK" w:hAnsi="方正仿宋_GBK" w:eastAsia="方正仿宋_GBK" w:cs="方正仿宋_GBK"/>
          <w:color w:val="auto"/>
          <w:sz w:val="32"/>
          <w:szCs w:val="32"/>
          <w:shd w:val="clear" w:color="auto" w:fill="FFFFFF"/>
        </w:rPr>
        <w:t>154.99万元。收、支与2023年度相比，减少8.44万元，下降5.2%，主要原因是厉行节约，严格控制经费支出。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1</w:t>
      </w:r>
      <w:r>
        <w:rPr>
          <w:rStyle w:val="10"/>
          <w:rFonts w:hint="eastAsia" w:ascii="方正仿宋_GBK" w:hAnsi="方正仿宋_GBK" w:eastAsia="方正仿宋_GBK" w:cs="方正仿宋_GBK"/>
          <w:color w:val="auto"/>
          <w:sz w:val="32"/>
          <w:szCs w:val="32"/>
          <w:shd w:val="clear" w:color="auto" w:fill="FFFFFF"/>
        </w:rPr>
        <w:t>.收入情况。</w:t>
      </w:r>
      <w:r>
        <w:rPr>
          <w:rFonts w:hint="eastAsia" w:ascii="方正仿宋_GBK" w:hAnsi="方正仿宋_GBK" w:eastAsia="方正仿宋_GBK" w:cs="方正仿宋_GBK"/>
          <w:color w:val="auto"/>
          <w:sz w:val="32"/>
          <w:szCs w:val="32"/>
          <w:shd w:val="clear" w:color="auto" w:fill="FFFFFF"/>
        </w:rPr>
        <w:t>2024年度收入合计154.99万元，与2023年度相比，减少8.44万元，下降5.2%，主要原因是厉行节约，严格控制经费支出。其中：财政拨款收入154.99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2</w:t>
      </w:r>
      <w:r>
        <w:rPr>
          <w:rStyle w:val="10"/>
          <w:rFonts w:hint="eastAsia" w:ascii="方正仿宋_GBK" w:hAnsi="方正仿宋_GBK" w:eastAsia="方正仿宋_GBK" w:cs="方正仿宋_GBK"/>
          <w:color w:val="auto"/>
          <w:sz w:val="32"/>
          <w:szCs w:val="32"/>
          <w:shd w:val="clear" w:color="auto" w:fill="FFFFFF"/>
        </w:rPr>
        <w:t>.支出情况。</w:t>
      </w:r>
      <w:r>
        <w:rPr>
          <w:rFonts w:hint="eastAsia" w:ascii="方正仿宋_GBK" w:hAnsi="方正仿宋_GBK" w:eastAsia="方正仿宋_GBK" w:cs="方正仿宋_GBK"/>
          <w:color w:val="auto"/>
          <w:sz w:val="32"/>
          <w:szCs w:val="32"/>
          <w:shd w:val="clear" w:color="auto" w:fill="FFFFFF"/>
        </w:rPr>
        <w:t>2024年度支出合计154.99万元，与2023年度相比，减少8.44万元，下降5.2%，主要原因是厉行节约，严格控制经费支出。其中：基本支出154.99万元，占100.0%；项目支出0.00万元，占0.0%；经营支出</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lang w:val="en-US" w:eastAsia="zh-CN"/>
        </w:rPr>
        <w:t>3</w:t>
      </w:r>
      <w:r>
        <w:rPr>
          <w:rStyle w:val="10"/>
          <w:rFonts w:hint="eastAsia" w:ascii="方正仿宋_GBK" w:hAnsi="方正仿宋_GBK" w:eastAsia="方正仿宋_GBK" w:cs="方正仿宋_GBK"/>
          <w:color w:val="auto"/>
          <w:sz w:val="32"/>
          <w:szCs w:val="32"/>
          <w:shd w:val="clear" w:color="auto" w:fill="FFFFFF"/>
        </w:rPr>
        <w:t>.结转结余情况。</w:t>
      </w:r>
      <w:r>
        <w:rPr>
          <w:rFonts w:hint="eastAsia" w:ascii="方正仿宋_GBK" w:hAnsi="方正仿宋_GBK" w:eastAsia="方正仿宋_GBK" w:cs="方正仿宋_GBK"/>
          <w:color w:val="auto"/>
          <w:sz w:val="32"/>
          <w:szCs w:val="32"/>
          <w:shd w:val="clear" w:color="auto" w:fill="FFFFFF"/>
        </w:rPr>
        <w:t>2024年度年末结转和结余0.00万元，与2023年度相比，无增减，主要原因是本年度本单位无财政应返还额度。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keepNext w:val="0"/>
        <w:keepLines w:val="0"/>
        <w:pageBreakBefore w:val="0"/>
        <w:widowControl/>
        <w:suppressLineNumbers w:val="0"/>
        <w:kinsoku/>
        <w:wordWrap/>
        <w:overflowPunct/>
        <w:topLinePunct w:val="0"/>
        <w:autoSpaceDN/>
        <w:bidi w:val="0"/>
        <w:adjustRightInd/>
        <w:spacing w:line="596"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2024年度财政拨款收、支总计均为154.99万元。与2023年</w:t>
      </w:r>
      <w:r>
        <w:rPr>
          <w:rFonts w:hint="eastAsia" w:ascii="方正仿宋_GBK" w:hAnsi="方正仿宋_GBK" w:eastAsia="方正仿宋_GBK" w:cs="方正仿宋_GBK"/>
          <w:color w:val="auto"/>
          <w:sz w:val="32"/>
          <w:szCs w:val="32"/>
          <w:shd w:val="clear" w:color="auto" w:fill="FFFFFF"/>
          <w:lang w:eastAsia="zh-CN"/>
        </w:rPr>
        <w:t>度</w:t>
      </w:r>
      <w:r>
        <w:rPr>
          <w:rFonts w:hint="eastAsia" w:ascii="方正仿宋_GBK" w:hAnsi="方正仿宋_GBK" w:eastAsia="方正仿宋_GBK" w:cs="方正仿宋_GBK"/>
          <w:color w:val="auto"/>
          <w:sz w:val="32"/>
          <w:szCs w:val="32"/>
          <w:shd w:val="clear" w:color="auto" w:fill="FFFFFF"/>
        </w:rPr>
        <w:t>相比，财政拨款收、支总计各减少8.44万元，下降5.2%。主要原因是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rPr>
        <w:t>2024年度一般公共预算财政拨款收入154.99万元，与2023年度相比，减少8.44万元，下降5.2%。主要原因是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。较年初预算数减少7.17万元，下降4.4%。主要原因是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rPr>
        <w:t>2024年度一般公共预算财政拨款支出154.99万元，与2023年度相比，减少8.44万元，下降5.2%。主要原因是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。较年初预算数减少7.17万元，下降4.4%。主要原因是</w:t>
      </w:r>
      <w:r>
        <w:rPr>
          <w:rFonts w:hint="eastAsia" w:ascii="方正仿宋_GBK" w:hAnsi="方正仿宋_GBK" w:eastAsia="方正仿宋_GBK" w:cs="方正仿宋_GBK"/>
          <w:color w:val="auto"/>
          <w:kern w:val="0"/>
          <w:sz w:val="32"/>
          <w:szCs w:val="32"/>
          <w:lang w:val="en-US" w:eastAsia="zh-CN" w:bidi="ar"/>
        </w:rPr>
        <w:t>厉行节约，严格控制经费支出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hint="eastAsia"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hint="eastAsia" w:ascii="方正仿宋_GBK" w:hAnsi="方正仿宋_GBK" w:eastAsia="方正仿宋_GBK" w:cs="方正仿宋_GBK"/>
          <w:color w:val="auto"/>
          <w:sz w:val="32"/>
          <w:szCs w:val="32"/>
          <w:shd w:val="clear" w:color="auto" w:fill="FFFFFF"/>
        </w:rPr>
        <w:t>就业支出22.51万元，占14.5%，较年初预算数增加5.87万元，增长35.3%，主要原因是</w:t>
      </w:r>
      <w:r>
        <w:rPr>
          <w:rFonts w:hint="eastAsia" w:ascii="方正仿宋_GBK" w:hAnsi="方正仿宋_GBK" w:eastAsia="方正仿宋_GBK" w:cs="方正仿宋_GBK"/>
          <w:color w:val="auto"/>
          <w:sz w:val="32"/>
          <w:szCs w:val="32"/>
          <w:shd w:val="clear" w:color="auto" w:fill="FFFFFF"/>
          <w:lang w:val="en-US" w:eastAsia="zh-CN"/>
        </w:rPr>
        <w:t>职级晋升薪资调整，社保基数调整，人员经费增加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）卫生健康支出6.49万元，占4.2%，较年初预算数无增减。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）城乡社区支出119.20万元，占76.9%，较年初预算数减少12.19万元，下降9.3%，主要原因是</w:t>
      </w:r>
      <w:r>
        <w:rPr>
          <w:rFonts w:hint="eastAsia" w:ascii="方正仿宋_GBK" w:hAnsi="方正仿宋_GBK" w:eastAsia="方正仿宋_GBK" w:cs="方正仿宋_GBK"/>
          <w:color w:val="auto"/>
          <w:sz w:val="32"/>
          <w:szCs w:val="32"/>
          <w:shd w:val="clear" w:color="auto" w:fill="FFFFFF"/>
          <w:lang w:val="en-US" w:eastAsia="zh-CN"/>
        </w:rPr>
        <w:t>厉行节约，减少公用经费支出</w:t>
      </w:r>
      <w:r>
        <w:rPr>
          <w:rFonts w:hint="eastAsia" w:ascii="方正仿宋_GBK" w:hAnsi="方正仿宋_GBK" w:eastAsia="方正仿宋_GBK" w:cs="方正仿宋_GBK"/>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rPr>
        <w:t>6.79万元，占4.4%，较年初预算数无增减。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rPr>
        <w:t>2024年度年末一般公共预算财政拨款结转和结余0.00万元，与2023年度相比，无增减，主要原因是本年度本单位无财政应返还额度。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2024年度一般公共财政拨款基本支出154.99万元。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其中：人员经费134.96万元，与2023年度相比，减少3.87万元，下降2.8%，主要原因是厉行节约，严格控制</w:t>
      </w:r>
      <w:r>
        <w:rPr>
          <w:rFonts w:hint="eastAsia" w:ascii="方正仿宋_GBK" w:hAnsi="方正仿宋_GBK" w:eastAsia="方正仿宋_GBK" w:cs="方正仿宋_GBK"/>
          <w:color w:val="auto"/>
          <w:sz w:val="32"/>
          <w:szCs w:val="32"/>
          <w:shd w:val="clear" w:color="auto" w:fill="FFFFFF"/>
          <w:lang w:val="en-US" w:eastAsia="zh-CN"/>
        </w:rPr>
        <w:t>人员</w:t>
      </w:r>
      <w:r>
        <w:rPr>
          <w:rFonts w:hint="eastAsia" w:ascii="方正仿宋_GBK" w:hAnsi="方正仿宋_GBK" w:eastAsia="方正仿宋_GBK" w:cs="方正仿宋_GBK"/>
          <w:color w:val="auto"/>
          <w:sz w:val="32"/>
          <w:szCs w:val="32"/>
          <w:shd w:val="clear" w:color="auto" w:fill="FFFFFF"/>
        </w:rPr>
        <w:t>经费支出。人员经费用途主要包括基本工资、津贴补贴、奖金、其他工资福利（包括临聘人员工资、绩效考核、应休未休年休假补助、公务员平时考核奖励金）、住房公积金。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公用经费20.03万元，与2023年度相比，减少4.57万元，下降18.6%，主要原因是厉行节约，严格控制</w:t>
      </w:r>
      <w:r>
        <w:rPr>
          <w:rFonts w:hint="eastAsia" w:ascii="方正仿宋_GBK" w:hAnsi="方正仿宋_GBK" w:eastAsia="方正仿宋_GBK" w:cs="方正仿宋_GBK"/>
          <w:color w:val="auto"/>
          <w:sz w:val="32"/>
          <w:szCs w:val="32"/>
          <w:shd w:val="clear" w:color="auto" w:fill="FFFFFF"/>
          <w:lang w:val="en-US" w:eastAsia="zh-CN"/>
        </w:rPr>
        <w:t>公用</w:t>
      </w:r>
      <w:r>
        <w:rPr>
          <w:rFonts w:hint="eastAsia" w:ascii="方正仿宋_GBK" w:hAnsi="方正仿宋_GBK" w:eastAsia="方正仿宋_GBK" w:cs="方正仿宋_GBK"/>
          <w:color w:val="auto"/>
          <w:sz w:val="32"/>
          <w:szCs w:val="32"/>
          <w:shd w:val="clear" w:color="auto" w:fill="FFFFFF"/>
        </w:rPr>
        <w:t>经费支出。公用经费用途主要包括办公费、印刷费、水费、电费、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邮电费、差旅费、维修（护）费、会议费、培训费、公务接待费、专用材料费、劳务费、工会经费、公务车用车运行维护费、其他交通费用。</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2024年度无国有资本经营预算财政拨款支出。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2024年度“三公”经费支出共计7.44万元，较年初预算数减少0.06万元，下降0.8%，主要原因是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厉行节约，严格控制“三公”经费支出</w:t>
      </w:r>
      <w:r>
        <w:rPr>
          <w:rFonts w:hint="eastAsia" w:ascii="方正仿宋_GBK" w:hAnsi="方正仿宋_GBK" w:eastAsia="方正仿宋_GBK" w:cs="方正仿宋_GBK"/>
          <w:color w:val="auto"/>
          <w:sz w:val="32"/>
          <w:szCs w:val="32"/>
          <w:shd w:val="clear" w:color="auto" w:fill="FFFFFF"/>
        </w:rPr>
        <w:t>。较上年支出数增加6.15万元，增长476.7%，主要原因是</w:t>
      </w:r>
      <w:r>
        <w:rPr>
          <w:rFonts w:hint="eastAsia" w:ascii="方正仿宋_GBK" w:hAnsi="方正仿宋_GBK" w:eastAsia="方正仿宋_GBK" w:cs="方正仿宋_GBK"/>
          <w:color w:val="auto"/>
          <w:sz w:val="32"/>
          <w:szCs w:val="32"/>
          <w:shd w:val="clear" w:color="auto" w:fill="FFFFFF"/>
          <w:lang w:val="en-US" w:eastAsia="zh-CN"/>
        </w:rPr>
        <w:t>2023年底本级划转公务用车3辆，2024年度公务用车运行维护费用大幅增加</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keepNext w:val="0"/>
        <w:keepLines w:val="0"/>
        <w:pageBreakBefore w:val="0"/>
        <w:widowControl/>
        <w:suppressLineNumbers w:val="0"/>
        <w:kinsoku/>
        <w:wordWrap/>
        <w:overflowPunct/>
        <w:topLinePunct w:val="0"/>
        <w:autoSpaceDN/>
        <w:bidi w:val="0"/>
        <w:adjustRightInd/>
        <w:spacing w:line="596"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因公出国（境）费用0.00万元。费用支出较年初预算数无增减，主要原因是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是本单位2024年度未发生因公出国（境）费用</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本单位2024年度未发生因公出国（境）费用</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w:t>
      </w:r>
      <w:r>
        <w:rPr>
          <w:rFonts w:hint="eastAsia" w:ascii="方正仿宋_GBK" w:hAnsi="方正仿宋_GBK" w:eastAsia="方正仿宋_GBK" w:cs="方正仿宋_GBK"/>
          <w:color w:val="auto"/>
          <w:kern w:val="0"/>
          <w:sz w:val="32"/>
          <w:szCs w:val="32"/>
          <w:lang w:val="en-US" w:eastAsia="zh-CN" w:bidi="ar"/>
        </w:rPr>
        <w:t>费用</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w:t>
      </w:r>
      <w:r>
        <w:rPr>
          <w:rFonts w:hint="eastAsia" w:ascii="方正仿宋_GBK" w:hAnsi="方正仿宋_GBK" w:eastAsia="方正仿宋_GBK" w:cs="方正仿宋_GBK"/>
          <w:color w:val="auto"/>
          <w:kern w:val="0"/>
          <w:sz w:val="32"/>
          <w:szCs w:val="32"/>
          <w:lang w:val="en-US" w:eastAsia="zh-CN" w:bidi="ar"/>
        </w:rPr>
        <w:t>费用</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车运行维护费7.44万元。费用支出较年初预算数减少0.06万元，下降0.8%，主要原因是</w:t>
      </w:r>
      <w:r>
        <w:rPr>
          <w:rFonts w:hint="eastAsia" w:ascii="方正仿宋_GBK" w:hAnsi="方正仿宋_GBK" w:eastAsia="方正仿宋_GBK" w:cs="方正仿宋_GBK"/>
          <w:color w:val="auto"/>
          <w:kern w:val="0"/>
          <w:sz w:val="32"/>
          <w:szCs w:val="32"/>
          <w:lang w:val="en-US" w:eastAsia="zh-CN" w:bidi="ar"/>
        </w:rPr>
        <w:t>厉行节约，严格控制公务用车运行维护费用支出</w:t>
      </w:r>
      <w:r>
        <w:rPr>
          <w:rFonts w:hint="eastAsia" w:ascii="方正仿宋_GBK" w:hAnsi="方正仿宋_GBK" w:eastAsia="方正仿宋_GBK" w:cs="方正仿宋_GBK"/>
          <w:color w:val="auto"/>
          <w:sz w:val="32"/>
          <w:szCs w:val="32"/>
          <w:shd w:val="clear" w:color="auto" w:fill="FFFFFF"/>
        </w:rPr>
        <w:t>。较上年支出数增加6.15万元，增长476.7%，主要原因是</w:t>
      </w:r>
      <w:r>
        <w:rPr>
          <w:rFonts w:hint="eastAsia" w:ascii="方正仿宋_GBK" w:hAnsi="方正仿宋_GBK" w:eastAsia="方正仿宋_GBK" w:cs="方正仿宋_GBK"/>
          <w:color w:val="auto"/>
          <w:sz w:val="32"/>
          <w:szCs w:val="32"/>
          <w:shd w:val="clear" w:color="auto" w:fill="FFFFFF"/>
          <w:lang w:val="en-US" w:eastAsia="zh-CN"/>
        </w:rPr>
        <w:t>2023年底本级划转公务用车3辆，2024年度公务用车运行维护费用大幅增加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kern w:val="0"/>
          <w:sz w:val="32"/>
          <w:szCs w:val="32"/>
          <w:lang w:val="en-US" w:eastAsia="zh-CN" w:bidi="ar"/>
        </w:rPr>
        <w:t>用</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本单位2024年度未发生</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kern w:val="0"/>
          <w:sz w:val="32"/>
          <w:szCs w:val="32"/>
          <w:lang w:val="en-US" w:eastAsia="zh-CN" w:bidi="ar"/>
        </w:rPr>
        <w:t>用</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因公出国（境）共计0个团组，0人；公务用车购置0辆，公务车保有量为3辆；国内公务接待0批次0人，其中：国内外事接待0批次，0人；国（境）外公务接待0批次，0人。2024年本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人均接待费0元，车均购置费0万元，车均维护费2.48万元。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四、其他需要说明的事项</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2.00万元，与2023年度相比，增加2.00万元，增长100.0%，主要原因是本单位本地中心工作增加，必要工作会议增加，会议费用增加。本年度培训费支出0.00万元，与2023年度相比，减少0.27万元，下降100.0%，主要原因是本年度培训费用由政府本级支出。本年度差旅费支出0.04万元，与2023年度相比，减少20.17万元，下降99.8%，主要原因是厉行节约，严控外出工作情况，差旅费用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3辆，其中，副部（省）级及以上领导用车0辆、主要负责人用车0辆、机要通信用车0辆、应急保障用车0辆、执法执勤用车0辆，特种专业技术用车3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96" w:lineRule="exact"/>
        <w:ind w:left="638" w:leftChars="266" w:firstLine="0" w:firstLineChars="0"/>
        <w:jc w:val="both"/>
        <w:textAlignment w:val="auto"/>
        <w:rPr>
          <w:rStyle w:val="10"/>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根据预算绩效管理要求，我单位对整体绩效开展了绩效自评，涉及财政拨款资金</w:t>
      </w:r>
      <w:r>
        <w:rPr>
          <w:rFonts w:hint="eastAsia" w:ascii="方正仿宋_GBK" w:hAnsi="方正仿宋_GBK" w:eastAsia="方正仿宋_GBK" w:cs="方正仿宋_GBK"/>
          <w:b w:val="0"/>
          <w:bCs/>
          <w:color w:val="auto"/>
          <w:sz w:val="32"/>
          <w:szCs w:val="32"/>
          <w:highlight w:val="none"/>
          <w:shd w:val="clear" w:color="auto" w:fill="FFFFFF"/>
          <w:lang w:val="en-US" w:eastAsia="zh-CN"/>
        </w:rPr>
        <w:t>154.99</w:t>
      </w:r>
      <w:r>
        <w:rPr>
          <w:rFonts w:hint="eastAsia" w:ascii="方正仿宋_GBK" w:hAnsi="方正仿宋_GBK" w:eastAsia="方正仿宋_GBK" w:cs="方正仿宋_GBK"/>
          <w:b w:val="0"/>
          <w:bCs/>
          <w:color w:val="auto"/>
          <w:sz w:val="32"/>
          <w:szCs w:val="32"/>
          <w:highlight w:val="none"/>
          <w:shd w:val="clear" w:color="auto" w:fill="FFFFFF"/>
          <w:lang w:eastAsia="zh-CN"/>
        </w:rPr>
        <w:t>万元。单位整体绩效自评表，详见附件2重庆市荣昌区荣隆镇建设环保服务中心2024年度单位整体绩效自评表。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（二）单位绩效评价情况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我单位未组织开展绩效评价。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（三）财政绩效评价情况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区财政局未委托第三方对我单位开展绩效评价。</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六、专业名词解释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eastAsia="zh-CN"/>
        </w:rPr>
        <w:t>李庆蕊</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46551008。</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1918" w:leftChars="266" w:hanging="1280" w:hangingChars="4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附件：1.重庆市荣昌区荣隆镇建设环保服务中心2024年度决算公开报表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1920" w:leftChars="0" w:hanging="1920" w:hangingChars="6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2.重庆市荣昌区荣隆镇建设环保服务中心2024年度单位整体绩效自评表</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重庆市荣昌区荣隆镇建设环保服务中心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重庆市荣昌区荣隆镇建设环保服务中心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0" w:firstLine="0" w:firstLineChars="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重庆市荣昌区荣隆镇建设环保服务中心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bookmarkStart w:id="0" w:name="_GoBack"/>
      <w:bookmarkEnd w:id="0"/>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134.96</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重庆市荣昌区荣隆镇建设环保服务中心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重庆市荣昌区荣隆镇建设环保服务中心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15320" w:type="dxa"/>
        <w:tblInd w:w="0" w:type="dxa"/>
        <w:shd w:val="clear" w:color="auto" w:fill="auto"/>
        <w:tblLayout w:type="fixed"/>
        <w:tblCellMar>
          <w:top w:w="0" w:type="dxa"/>
          <w:left w:w="0" w:type="dxa"/>
          <w:bottom w:w="0" w:type="dxa"/>
          <w:right w:w="0" w:type="dxa"/>
        </w:tblCellMar>
      </w:tblPr>
      <w:tblGrid>
        <w:gridCol w:w="2208"/>
        <w:gridCol w:w="2008"/>
        <w:gridCol w:w="1923"/>
        <w:gridCol w:w="1384"/>
        <w:gridCol w:w="966"/>
        <w:gridCol w:w="1386"/>
        <w:gridCol w:w="992"/>
        <w:gridCol w:w="1393"/>
        <w:gridCol w:w="752"/>
        <w:gridCol w:w="1114"/>
        <w:gridCol w:w="1194"/>
      </w:tblGrid>
      <w:tr>
        <w:tblPrEx>
          <w:shd w:val="clear" w:color="auto" w:fill="auto"/>
          <w:tblLayout w:type="fixed"/>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lang w:val="en-US" w:eastAsia="zh-CN" w:bidi="ar"/>
              </w:rPr>
              <w:t xml:space="preserve">附件2                        </w:t>
            </w: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重庆市荣昌区荣隆镇建设环保服务中心整体自评</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50015300024P000075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2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1,621,555.64</w:t>
            </w:r>
          </w:p>
        </w:tc>
        <w:tc>
          <w:tcPr>
            <w:tcW w:w="9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9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1,621,555.64</w:t>
            </w:r>
          </w:p>
        </w:tc>
        <w:tc>
          <w:tcPr>
            <w:tcW w:w="9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9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1,621,555.64</w:t>
            </w:r>
          </w:p>
        </w:tc>
        <w:tc>
          <w:tcPr>
            <w:tcW w:w="9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9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1,549,902.64 </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52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3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52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建设环保服务中心主要负责为辖区建设提供服务，改善人居环境，承担规划建设、市政公用事业、房屋管理、市容环境、环境保护等领域的事务性服务工作。我镇建设环保服务中心2024年将继续推进道路交通、建设施工等工作，加快更新场镇建设，加快城乡危房改造步伐，完成老旧小区及场镇品质提升一体化项目建设，不断完善公共文化服务体系；加强生态环境保护和治理，落实“河长制”，改善水环境治理，完成曹子冲煤矿和长田坎煤矿地质环境治理恢复；推动绿色转型发展，持续开展农村垃圾整治工作，创建市级、区级垃圾分类示范村和市级绿色示范村。</w:t>
            </w:r>
          </w:p>
        </w:tc>
        <w:tc>
          <w:tcPr>
            <w:tcW w:w="473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建设环保服务中心2024年主要负责为辖区建设提供服务，改善人居环境，承担规划建设、市政公用事业、房屋管理、市容环境、环境保护等领域的事务性服务工作。我镇建设环保服务中心2024年继续推进道路交通、建设施工等工作，加快更新场镇建设，加快城乡危房改造步伐，完成老旧小区及场镇品质提升一体化项目建设，不断完善公共文化服务体系；加强生态环境保护和治理，落实“河长制”，改善水环境治理，完成曹子冲煤矿和长田坎煤矿地质环境治理恢复；推动绿色转型发展，持续开展农村垃圾整治工作，创建市级、区级垃圾分类示范村和市级绿色示范村。</w:t>
            </w:r>
          </w:p>
        </w:tc>
      </w:tr>
      <w:tr>
        <w:tblPrEx>
          <w:shd w:val="clear" w:color="auto" w:fill="auto"/>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创建市级绿色示范村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新建、改建便民服务中心</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太阳能路灯安装数量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农村公路养护里程</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农村人居环境改善</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场镇品质改善状况</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运行保障年度</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1413"/>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2C3110"/>
    <w:rsid w:val="086C12F4"/>
    <w:rsid w:val="08705944"/>
    <w:rsid w:val="08BA052C"/>
    <w:rsid w:val="08DB07BA"/>
    <w:rsid w:val="0969353F"/>
    <w:rsid w:val="098305D0"/>
    <w:rsid w:val="09B1218B"/>
    <w:rsid w:val="0A3317EA"/>
    <w:rsid w:val="0A5C4B69"/>
    <w:rsid w:val="0A86124A"/>
    <w:rsid w:val="0A9B0776"/>
    <w:rsid w:val="0AB54CC0"/>
    <w:rsid w:val="0B656880"/>
    <w:rsid w:val="0B9335CE"/>
    <w:rsid w:val="0BF2311A"/>
    <w:rsid w:val="0C7927C4"/>
    <w:rsid w:val="0C9B098C"/>
    <w:rsid w:val="0D673E11"/>
    <w:rsid w:val="0DDA54E4"/>
    <w:rsid w:val="0E3A3DA9"/>
    <w:rsid w:val="0E3A5F83"/>
    <w:rsid w:val="0F836721"/>
    <w:rsid w:val="0FA25D96"/>
    <w:rsid w:val="0FBD3C60"/>
    <w:rsid w:val="10530A28"/>
    <w:rsid w:val="107B59E5"/>
    <w:rsid w:val="10EC0126"/>
    <w:rsid w:val="10F70B9A"/>
    <w:rsid w:val="111445C7"/>
    <w:rsid w:val="114278C6"/>
    <w:rsid w:val="1158083A"/>
    <w:rsid w:val="11643A4B"/>
    <w:rsid w:val="11ED0F98"/>
    <w:rsid w:val="11F03528"/>
    <w:rsid w:val="12C921C4"/>
    <w:rsid w:val="1316620F"/>
    <w:rsid w:val="13871C70"/>
    <w:rsid w:val="13A71CB4"/>
    <w:rsid w:val="13AF1D43"/>
    <w:rsid w:val="13CE1647"/>
    <w:rsid w:val="13FD55AB"/>
    <w:rsid w:val="14200702"/>
    <w:rsid w:val="14370EA1"/>
    <w:rsid w:val="145D6F41"/>
    <w:rsid w:val="163A6CEE"/>
    <w:rsid w:val="168A76AF"/>
    <w:rsid w:val="16E90B33"/>
    <w:rsid w:val="173708E3"/>
    <w:rsid w:val="17C374FC"/>
    <w:rsid w:val="182E4AB6"/>
    <w:rsid w:val="189079DC"/>
    <w:rsid w:val="189B0D0B"/>
    <w:rsid w:val="18B43F7C"/>
    <w:rsid w:val="191C433B"/>
    <w:rsid w:val="194A1770"/>
    <w:rsid w:val="19A90FF8"/>
    <w:rsid w:val="19B906A4"/>
    <w:rsid w:val="1A775103"/>
    <w:rsid w:val="1B6F15B6"/>
    <w:rsid w:val="1BAA2EDC"/>
    <w:rsid w:val="1CA55E64"/>
    <w:rsid w:val="1CD85540"/>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59C1FC8"/>
    <w:rsid w:val="26396DF4"/>
    <w:rsid w:val="27167136"/>
    <w:rsid w:val="271B442C"/>
    <w:rsid w:val="27B23302"/>
    <w:rsid w:val="29310A5F"/>
    <w:rsid w:val="293D6AE6"/>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AC3A98"/>
    <w:rsid w:val="31D84415"/>
    <w:rsid w:val="32285F6F"/>
    <w:rsid w:val="32770556"/>
    <w:rsid w:val="329C0913"/>
    <w:rsid w:val="32A934C8"/>
    <w:rsid w:val="32AA0460"/>
    <w:rsid w:val="3337290D"/>
    <w:rsid w:val="33E31118"/>
    <w:rsid w:val="33EF7674"/>
    <w:rsid w:val="342D03E6"/>
    <w:rsid w:val="342D7BC6"/>
    <w:rsid w:val="352930DB"/>
    <w:rsid w:val="35573069"/>
    <w:rsid w:val="355F6038"/>
    <w:rsid w:val="358C217E"/>
    <w:rsid w:val="36C9128A"/>
    <w:rsid w:val="37841E99"/>
    <w:rsid w:val="37BF1123"/>
    <w:rsid w:val="383C3F15"/>
    <w:rsid w:val="38BE4696"/>
    <w:rsid w:val="3939115E"/>
    <w:rsid w:val="39515A85"/>
    <w:rsid w:val="39AB7AFE"/>
    <w:rsid w:val="39B82A39"/>
    <w:rsid w:val="39C42CA8"/>
    <w:rsid w:val="39DC4FD6"/>
    <w:rsid w:val="39DE547E"/>
    <w:rsid w:val="39F03D7A"/>
    <w:rsid w:val="39F33306"/>
    <w:rsid w:val="3A2C1C67"/>
    <w:rsid w:val="3A2C6DA1"/>
    <w:rsid w:val="3A4778D4"/>
    <w:rsid w:val="3A6A77C9"/>
    <w:rsid w:val="3ADD7F09"/>
    <w:rsid w:val="3B1705E5"/>
    <w:rsid w:val="3B18334B"/>
    <w:rsid w:val="3B36794F"/>
    <w:rsid w:val="3B6F6EE0"/>
    <w:rsid w:val="3C5140E4"/>
    <w:rsid w:val="3C566AD6"/>
    <w:rsid w:val="3C594871"/>
    <w:rsid w:val="3C6A5B02"/>
    <w:rsid w:val="3D2757A1"/>
    <w:rsid w:val="3D3D4FC4"/>
    <w:rsid w:val="3D940970"/>
    <w:rsid w:val="3DDF3AB1"/>
    <w:rsid w:val="3E1D0952"/>
    <w:rsid w:val="3E42660A"/>
    <w:rsid w:val="3E455DF7"/>
    <w:rsid w:val="3E7555B1"/>
    <w:rsid w:val="3E787ED9"/>
    <w:rsid w:val="3F032E93"/>
    <w:rsid w:val="3F0527E5"/>
    <w:rsid w:val="3F277253"/>
    <w:rsid w:val="3F4B0ED4"/>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4A777C"/>
    <w:rsid w:val="475D719D"/>
    <w:rsid w:val="47674801"/>
    <w:rsid w:val="48225EF7"/>
    <w:rsid w:val="488F422B"/>
    <w:rsid w:val="48E36915"/>
    <w:rsid w:val="48EB6572"/>
    <w:rsid w:val="495C4A24"/>
    <w:rsid w:val="497135DF"/>
    <w:rsid w:val="497728DF"/>
    <w:rsid w:val="4A263DF2"/>
    <w:rsid w:val="4A2F278B"/>
    <w:rsid w:val="4A6F6675"/>
    <w:rsid w:val="4B135857"/>
    <w:rsid w:val="4B7951CB"/>
    <w:rsid w:val="4B7C315C"/>
    <w:rsid w:val="4B8C10DD"/>
    <w:rsid w:val="4C9316A8"/>
    <w:rsid w:val="4D1F53CA"/>
    <w:rsid w:val="4DAC4ACA"/>
    <w:rsid w:val="4DBE01D2"/>
    <w:rsid w:val="4F0C6BA3"/>
    <w:rsid w:val="4F186D58"/>
    <w:rsid w:val="4FB5657B"/>
    <w:rsid w:val="50CA32E4"/>
    <w:rsid w:val="50F06B6E"/>
    <w:rsid w:val="51D21804"/>
    <w:rsid w:val="52234D33"/>
    <w:rsid w:val="522F6E0C"/>
    <w:rsid w:val="52463BA1"/>
    <w:rsid w:val="52F163D4"/>
    <w:rsid w:val="53136EB5"/>
    <w:rsid w:val="531A2DB4"/>
    <w:rsid w:val="53C0244D"/>
    <w:rsid w:val="53DD4D4E"/>
    <w:rsid w:val="53E578CE"/>
    <w:rsid w:val="53F94DB0"/>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E296F36"/>
    <w:rsid w:val="5F2D4A41"/>
    <w:rsid w:val="60C74F6C"/>
    <w:rsid w:val="61015958"/>
    <w:rsid w:val="61025A59"/>
    <w:rsid w:val="613D5BBC"/>
    <w:rsid w:val="61536C39"/>
    <w:rsid w:val="61EB0D7A"/>
    <w:rsid w:val="62944DD7"/>
    <w:rsid w:val="6319381F"/>
    <w:rsid w:val="63C25DC5"/>
    <w:rsid w:val="63C62057"/>
    <w:rsid w:val="64402FEA"/>
    <w:rsid w:val="64571EF5"/>
    <w:rsid w:val="646B1ECF"/>
    <w:rsid w:val="64FB113D"/>
    <w:rsid w:val="656152C6"/>
    <w:rsid w:val="6587477F"/>
    <w:rsid w:val="658C3A08"/>
    <w:rsid w:val="65C031CA"/>
    <w:rsid w:val="65CE6852"/>
    <w:rsid w:val="66267C04"/>
    <w:rsid w:val="663F505A"/>
    <w:rsid w:val="66663384"/>
    <w:rsid w:val="66AF5D7C"/>
    <w:rsid w:val="66D156F2"/>
    <w:rsid w:val="66D45FDE"/>
    <w:rsid w:val="66EE5541"/>
    <w:rsid w:val="67924660"/>
    <w:rsid w:val="68407834"/>
    <w:rsid w:val="6883293E"/>
    <w:rsid w:val="688412AD"/>
    <w:rsid w:val="68EB1B71"/>
    <w:rsid w:val="696C0310"/>
    <w:rsid w:val="69A8603E"/>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000246"/>
    <w:rsid w:val="708F6F7F"/>
    <w:rsid w:val="70D94BD3"/>
    <w:rsid w:val="71060D7D"/>
    <w:rsid w:val="71574775"/>
    <w:rsid w:val="71C34D91"/>
    <w:rsid w:val="72C0020B"/>
    <w:rsid w:val="72DB435C"/>
    <w:rsid w:val="72E2613A"/>
    <w:rsid w:val="72F771F4"/>
    <w:rsid w:val="73934AD2"/>
    <w:rsid w:val="750837F0"/>
    <w:rsid w:val="754758CF"/>
    <w:rsid w:val="75595ECD"/>
    <w:rsid w:val="763B7846"/>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11</TotalTime>
  <ScaleCrop>false</ScaleCrop>
  <LinksUpToDate>false</LinksUpToDate>
  <CharactersWithSpaces>26313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2025-09-23T03:17:20Z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