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荣隆镇</w:t>
      </w:r>
      <w:r>
        <w:rPr>
          <w:rFonts w:hint="eastAsia" w:ascii="方正小标宋_GBK" w:hAnsi="方正小标宋_GBK" w:eastAsia="方正小标宋_GBK" w:cs="方正小标宋_GBK"/>
          <w:b w:val="0"/>
          <w:bCs w:val="0"/>
          <w:sz w:val="44"/>
          <w:szCs w:val="44"/>
          <w:lang w:eastAsia="zh-CN"/>
        </w:rPr>
        <w:t>关</w:t>
      </w:r>
      <w:r>
        <w:rPr>
          <w:rFonts w:hint="eastAsia" w:ascii="方正小标宋_GBK" w:hAnsi="方正小标宋_GBK" w:eastAsia="方正小标宋_GBK" w:cs="方正小标宋_GBK"/>
          <w:b w:val="0"/>
          <w:bCs w:val="0"/>
          <w:sz w:val="44"/>
          <w:szCs w:val="44"/>
        </w:rPr>
        <w:t>于202</w:t>
      </w:r>
      <w:r>
        <w:rPr>
          <w:rFonts w:hint="eastAsia" w:ascii="方正小标宋_GBK" w:hAnsi="方正小标宋_GBK" w:eastAsia="方正小标宋_GBK" w:cs="方正小标宋_GBK"/>
          <w:b w:val="0"/>
          <w:bCs w:val="0"/>
          <w:sz w:val="44"/>
          <w:szCs w:val="44"/>
          <w:lang w:val="en-US" w:eastAsia="zh-CN"/>
        </w:rPr>
        <w:t>4</w:t>
      </w:r>
      <w:r>
        <w:rPr>
          <w:rFonts w:hint="eastAsia" w:ascii="方正小标宋_GBK" w:hAnsi="方正小标宋_GBK" w:eastAsia="方正小标宋_GBK" w:cs="方正小标宋_GBK"/>
          <w:b w:val="0"/>
          <w:bCs w:val="0"/>
          <w:sz w:val="44"/>
          <w:szCs w:val="44"/>
        </w:rPr>
        <w:t>年法治政府建设</w:t>
      </w:r>
      <w:r>
        <w:rPr>
          <w:rFonts w:hint="eastAsia" w:ascii="方正小标宋_GBK" w:hAnsi="方正小标宋_GBK" w:eastAsia="方正小标宋_GBK" w:cs="方正小标宋_GBK"/>
          <w:b w:val="0"/>
          <w:bCs w:val="0"/>
          <w:sz w:val="44"/>
          <w:szCs w:val="44"/>
          <w:lang w:eastAsia="zh-CN"/>
        </w:rPr>
        <w:t>情况</w:t>
      </w:r>
      <w:r>
        <w:rPr>
          <w:rFonts w:hint="eastAsia" w:ascii="方正小标宋_GBK" w:hAnsi="方正小标宋_GBK" w:eastAsia="方正小标宋_GBK" w:cs="方正小标宋_GBK"/>
          <w:b w:val="0"/>
          <w:bCs w:val="0"/>
          <w:sz w:val="44"/>
          <w:szCs w:val="44"/>
        </w:rPr>
        <w:t>的报告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pacing w:val="-20"/>
          <w:kern w:val="0"/>
          <w:sz w:val="52"/>
          <w:szCs w:val="52"/>
        </w:rPr>
      </w:pP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right="0" w:rightChars="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荣昌区依法治区委员会：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jc w:val="left"/>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kern w:val="2"/>
          <w:sz w:val="32"/>
          <w:szCs w:val="32"/>
          <w:lang w:val="en-US" w:eastAsia="zh-CN" w:bidi="ar"/>
        </w:rPr>
        <w:t>根据《法治政府建设实施纲要（2021-2025年）》、《</w:t>
      </w:r>
      <w:r>
        <w:rPr>
          <w:rFonts w:hint="eastAsia" w:ascii="方正仿宋_GBK" w:hAnsi="方正仿宋_GBK" w:eastAsia="方正仿宋_GBK" w:cs="方正仿宋_GBK"/>
          <w:spacing w:val="0"/>
          <w:sz w:val="32"/>
          <w:szCs w:val="32"/>
          <w:lang w:eastAsia="zh-CN"/>
        </w:rPr>
        <w:t>重庆市法治政府建设实施方案（2021—2025年）</w:t>
      </w:r>
      <w:r>
        <w:rPr>
          <w:rFonts w:hint="eastAsia" w:ascii="方正仿宋_GBK" w:hAnsi="方正仿宋_GBK" w:eastAsia="方正仿宋_GBK" w:cs="方正仿宋_GBK"/>
          <w:color w:val="auto"/>
          <w:kern w:val="2"/>
          <w:sz w:val="32"/>
          <w:szCs w:val="32"/>
          <w:lang w:val="en-US" w:eastAsia="zh-CN" w:bidi="ar"/>
        </w:rPr>
        <w:t>》、《</w:t>
      </w:r>
      <w:r>
        <w:rPr>
          <w:rFonts w:hint="eastAsia" w:ascii="方正仿宋_GBK" w:hAnsi="方正仿宋_GBK" w:eastAsia="方正仿宋_GBK" w:cs="方正仿宋_GBK"/>
          <w:spacing w:val="0"/>
          <w:sz w:val="32"/>
          <w:szCs w:val="32"/>
          <w:lang w:eastAsia="zh-CN"/>
        </w:rPr>
        <w:t>重庆市荣昌区法治政府建设实施方案（2022—2025年）</w:t>
      </w:r>
      <w:r>
        <w:rPr>
          <w:rFonts w:hint="eastAsia" w:ascii="方正仿宋_GBK" w:hAnsi="方正仿宋_GBK" w:eastAsia="方正仿宋_GBK" w:cs="方正仿宋_GBK"/>
          <w:color w:val="auto"/>
          <w:kern w:val="2"/>
          <w:sz w:val="32"/>
          <w:szCs w:val="32"/>
          <w:lang w:val="en-US" w:eastAsia="zh-CN" w:bidi="ar"/>
        </w:rPr>
        <w:t>》相关文件精神，荣隆镇将法治政府建设与日常工作紧密结合，有效地推动了法治政府建设各项工作顺利进行，现将工作开展情况汇报如下：</w:t>
      </w:r>
    </w:p>
    <w:p>
      <w:pPr>
        <w:keepNext w:val="0"/>
        <w:keepLines w:val="0"/>
        <w:pageBreakBefore w:val="0"/>
        <w:kinsoku/>
        <w:wordWrap/>
        <w:overflowPunct/>
        <w:topLinePunct w:val="0"/>
        <w:autoSpaceDE/>
        <w:autoSpaceDN/>
        <w:bidi w:val="0"/>
        <w:snapToGrid/>
        <w:spacing w:line="580" w:lineRule="exact"/>
        <w:ind w:right="0" w:rightChars="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一、202</w:t>
      </w:r>
      <w:r>
        <w:rPr>
          <w:rFonts w:hint="eastAsia" w:ascii="黑体" w:hAnsi="黑体" w:eastAsia="黑体" w:cs="黑体"/>
          <w:b w:val="0"/>
          <w:bCs w:val="0"/>
          <w:sz w:val="32"/>
          <w:szCs w:val="32"/>
          <w:lang w:val="en-US" w:eastAsia="zh-CN"/>
        </w:rPr>
        <w:t>4</w:t>
      </w:r>
      <w:r>
        <w:rPr>
          <w:rFonts w:hint="eastAsia" w:ascii="黑体" w:hAnsi="黑体" w:eastAsia="黑体" w:cs="黑体"/>
          <w:b w:val="0"/>
          <w:bCs w:val="0"/>
          <w:sz w:val="32"/>
          <w:szCs w:val="32"/>
        </w:rPr>
        <w:t>年工作举措和成效。</w:t>
      </w:r>
    </w:p>
    <w:p>
      <w:pPr>
        <w:pStyle w:val="2"/>
        <w:keepNext w:val="0"/>
        <w:keepLines w:val="0"/>
        <w:pageBreakBefore w:val="0"/>
        <w:numPr>
          <w:ilvl w:val="0"/>
          <w:numId w:val="1"/>
        </w:numPr>
        <w:kinsoku/>
        <w:wordWrap/>
        <w:overflowPunct/>
        <w:topLinePunct w:val="0"/>
        <w:autoSpaceDE/>
        <w:autoSpaceDN/>
        <w:bidi w:val="0"/>
        <w:snapToGrid/>
        <w:spacing w:line="580" w:lineRule="exact"/>
        <w:ind w:left="622" w:leftChars="0" w:right="0" w:rightChars="0" w:firstLine="0" w:firstLineChars="0"/>
        <w:textAlignment w:val="auto"/>
        <w:rPr>
          <w:rFonts w:hint="eastAsia"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深入学习贯彻落实习近平法治思想。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spacing w:val="0"/>
          <w:sz w:val="32"/>
          <w:szCs w:val="32"/>
          <w:lang w:val="en-US" w:eastAsia="zh-CN"/>
        </w:rPr>
        <w:t>一是抓学习领会。</w:t>
      </w:r>
      <w:r>
        <w:rPr>
          <w:rFonts w:hint="eastAsia" w:ascii="方正仿宋_GBK" w:hAnsi="方正仿宋_GBK" w:eastAsia="方正仿宋_GBK" w:cs="方正仿宋_GBK"/>
          <w:spacing w:val="0"/>
          <w:sz w:val="32"/>
          <w:szCs w:val="32"/>
          <w:lang w:val="en-US" w:eastAsia="zh-CN"/>
        </w:rPr>
        <w:t>荣隆镇坚持党委理论学习中心组学法制度，将习近平法治思想纳入镇2024年度党委理论学习中心组学习计划，</w:t>
      </w:r>
      <w:r>
        <w:rPr>
          <w:rFonts w:hint="eastAsia" w:ascii="方正仿宋_GBK" w:hAnsi="方正仿宋_GBK" w:eastAsia="方正仿宋_GBK" w:cs="方正仿宋_GBK"/>
          <w:b w:val="0"/>
          <w:bCs w:val="0"/>
          <w:color w:val="auto"/>
          <w:sz w:val="32"/>
          <w:szCs w:val="32"/>
          <w:lang w:val="en-US" w:eastAsia="zh-CN"/>
        </w:rPr>
        <w:t>四次组织党委理论学习中心组成员专题学习</w:t>
      </w:r>
      <w:r>
        <w:rPr>
          <w:rFonts w:hint="eastAsia" w:ascii="方正仿宋_GBK" w:hAnsi="方正仿宋_GBK" w:eastAsia="方正仿宋_GBK" w:cs="方正仿宋_GBK"/>
          <w:spacing w:val="0"/>
          <w:sz w:val="32"/>
          <w:szCs w:val="32"/>
          <w:lang w:val="en-US" w:eastAsia="zh-CN"/>
        </w:rPr>
        <w:t>《习近平法治思想学习纲要》；</w:t>
      </w:r>
      <w:r>
        <w:rPr>
          <w:rFonts w:hint="eastAsia" w:ascii="方正仿宋_GBK" w:hAnsi="方正仿宋_GBK" w:eastAsia="方正仿宋_GBK" w:cs="方正仿宋_GBK"/>
          <w:b w:val="0"/>
          <w:bCs w:val="0"/>
          <w:color w:val="auto"/>
          <w:sz w:val="32"/>
          <w:szCs w:val="32"/>
          <w:lang w:val="en-US" w:eastAsia="zh-CN"/>
        </w:rPr>
        <w:t>组织机关党员干部通过“三会一课”、周五集中学习日等方式学习贯彻党的二十大、党的二十届三中全会精神和市委六届历次全会精神，累积开展学习20次，覆盖人员700余人次。</w:t>
      </w:r>
    </w:p>
    <w:p>
      <w:pPr>
        <w:pStyle w:val="2"/>
        <w:keepNext w:val="0"/>
        <w:keepLines w:val="0"/>
        <w:pageBreakBefore w:val="0"/>
        <w:numPr>
          <w:ilvl w:val="0"/>
          <w:numId w:val="0"/>
        </w:numPr>
        <w:kinsoku/>
        <w:wordWrap/>
        <w:overflowPunct/>
        <w:topLinePunct w:val="0"/>
        <w:autoSpaceDE/>
        <w:autoSpaceDN/>
        <w:bidi w:val="0"/>
        <w:snapToGrid/>
        <w:spacing w:line="580" w:lineRule="exact"/>
        <w:ind w:left="0" w:leftChars="0" w:right="0" w:rightChars="0" w:firstLine="0" w:firstLineChars="0"/>
        <w:textAlignment w:val="auto"/>
        <w:rPr>
          <w:sz w:val="32"/>
          <w:szCs w:val="32"/>
        </w:rPr>
      </w:pP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仿宋" w:hAnsi="仿宋" w:eastAsia="仿宋" w:cs="仿宋"/>
          <w:b/>
          <w:bCs/>
          <w:spacing w:val="0"/>
          <w:sz w:val="32"/>
          <w:szCs w:val="32"/>
          <w:lang w:val="en-US" w:eastAsia="zh-CN"/>
        </w:rPr>
        <w:t xml:space="preserve"> 二是抓宣传阐释。</w:t>
      </w:r>
      <w:r>
        <w:rPr>
          <w:rFonts w:hint="eastAsia" w:ascii="方正仿宋_GBK" w:hAnsi="方正仿宋_GBK" w:eastAsia="方正仿宋_GBK" w:cs="方正仿宋_GBK"/>
          <w:spacing w:val="0"/>
          <w:sz w:val="32"/>
          <w:szCs w:val="32"/>
          <w:lang w:val="en-US" w:eastAsia="zh-CN"/>
        </w:rPr>
        <w:t>成立以镇党委书记为组长，镇党委副书记、镇长为副组长的普法领导小组为“八五”普法讲师团，深入开展法治宣讲活动。同时由镇领导带队组建宣讲小分队依托新时代文明实践站、小院讲堂和“荣隆镇”微信公众号等线上+线下形式开展宣讲活动，严格落实“谁执法谁普法”责任制度，在新风小院、新时代文明实践所（站）等开展形式多样的法治宣传活动共计69场次，宣传了《民法典》、习近平法治思想、反电信诈骗、《未成年人保护法》等内容，确保普通群众听得进、记得住、学的牢，切实让习近平法治思想“飞入寻常百姓家”。利用重要时间节点、赶场天开展法律咨询活动，包括法治3月宣传月、国家安全宣传、宪法宣传周、“6.26”国际禁毒日、莎姐守未、暑期安全自护法治宣传（反拐、防性侵、防溺水、禁毒）等活动共计发放宣传资料共计7500余份，开展法律咨询95场。利用巡逻车、村村通广播宣传《民法典》、习近平法治思想、《宪法》、电信反诈等知识。各村（社区）、各单位利用LED显示屏、横幅标语和固定的法治宣传专栏宣传习近平法治思想和各类法律法规知识共计90余处（次）。九个村（社区）不断完善法治文化宣传阵地，“小院+”实现法治宣传载体全覆盖，实现了普法要素不断向基层网格下沉、不断朝普通群众身边聚集，不断</w:t>
      </w:r>
      <w:r>
        <w:rPr>
          <w:rFonts w:hint="eastAsia" w:ascii="方正仿宋_GBK" w:hAnsi="方正仿宋_GBK" w:eastAsia="方正仿宋_GBK" w:cs="方正仿宋_GBK"/>
          <w:spacing w:val="0"/>
          <w:sz w:val="32"/>
          <w:szCs w:val="32"/>
        </w:rPr>
        <w:t>增强</w:t>
      </w:r>
      <w:r>
        <w:rPr>
          <w:rFonts w:hint="eastAsia" w:ascii="方正仿宋_GBK" w:hAnsi="方正仿宋_GBK" w:eastAsia="方正仿宋_GBK" w:cs="方正仿宋_GBK"/>
          <w:spacing w:val="0"/>
          <w:sz w:val="32"/>
          <w:szCs w:val="32"/>
          <w:lang w:eastAsia="zh-CN"/>
        </w:rPr>
        <w:t>了</w:t>
      </w:r>
      <w:r>
        <w:rPr>
          <w:rFonts w:hint="eastAsia" w:ascii="方正仿宋_GBK" w:hAnsi="方正仿宋_GBK" w:eastAsia="方正仿宋_GBK" w:cs="方正仿宋_GBK"/>
          <w:spacing w:val="0"/>
          <w:sz w:val="32"/>
          <w:szCs w:val="32"/>
        </w:rPr>
        <w:t>法治文化的渗透力、引导力和感召力</w:t>
      </w:r>
      <w:r>
        <w:rPr>
          <w:rFonts w:hint="eastAsia" w:ascii="仿宋" w:hAnsi="仿宋" w:eastAsia="仿宋" w:cs="仿宋"/>
          <w:spacing w:val="0"/>
          <w:sz w:val="32"/>
          <w:szCs w:val="32"/>
          <w:lang w:eastAsia="zh-CN"/>
        </w:rPr>
        <w:t>。</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jc w:val="both"/>
        <w:textAlignment w:val="auto"/>
        <w:rPr>
          <w:rFonts w:hint="default" w:ascii="方正仿宋_GBK" w:hAnsi="方正仿宋_GBK" w:eastAsia="方正仿宋_GBK" w:cs="方正仿宋_GBK"/>
          <w:b/>
          <w:bCs/>
          <w:kern w:val="2"/>
          <w:sz w:val="32"/>
          <w:szCs w:val="32"/>
          <w:shd w:val="clear" w:color="auto" w:fill="FFFFFF"/>
        </w:rPr>
      </w:pPr>
      <w:r>
        <w:rPr>
          <w:rFonts w:ascii="方正仿宋_GBK" w:hAnsi="方正仿宋_GBK" w:eastAsia="方正仿宋_GBK" w:cs="方正仿宋_GBK"/>
          <w:b/>
          <w:bCs/>
          <w:kern w:val="2"/>
          <w:sz w:val="32"/>
          <w:szCs w:val="32"/>
          <w:shd w:val="clear" w:color="auto" w:fill="FFFFFF"/>
        </w:rPr>
        <w:t xml:space="preserve">    </w:t>
      </w:r>
      <w:r>
        <w:rPr>
          <w:rFonts w:hint="eastAsia" w:ascii="楷体" w:hAnsi="楷体" w:eastAsia="楷体" w:cs="楷体"/>
          <w:b w:val="0"/>
          <w:bCs w:val="0"/>
          <w:kern w:val="2"/>
          <w:sz w:val="32"/>
          <w:szCs w:val="32"/>
          <w:shd w:val="clear" w:color="auto" w:fill="FFFFFF"/>
        </w:rPr>
        <w:t>（二）推进法治建设第一责任人职责切实履行。</w:t>
      </w:r>
    </w:p>
    <w:p>
      <w:pPr>
        <w:pStyle w:val="2"/>
        <w:keepNext w:val="0"/>
        <w:keepLines w:val="0"/>
        <w:pageBreakBefore w:val="0"/>
        <w:numPr>
          <w:ilvl w:val="0"/>
          <w:numId w:val="0"/>
        </w:numPr>
        <w:kinsoku/>
        <w:wordWrap/>
        <w:overflowPunct/>
        <w:topLinePunct w:val="0"/>
        <w:autoSpaceDE/>
        <w:autoSpaceDN/>
        <w:bidi w:val="0"/>
        <w:snapToGrid/>
        <w:spacing w:line="580" w:lineRule="exact"/>
        <w:ind w:left="0" w:leftChars="0" w:right="0" w:rightChars="0" w:firstLine="640" w:firstLineChars="200"/>
        <w:textAlignment w:val="auto"/>
        <w:rPr>
          <w:rFonts w:hint="eastAsia" w:ascii="仿宋" w:hAnsi="仿宋" w:eastAsia="仿宋" w:cs="仿宋"/>
          <w:b w:val="0"/>
          <w:bCs w:val="0"/>
          <w:spacing w:val="0"/>
          <w:sz w:val="32"/>
          <w:szCs w:val="32"/>
          <w:lang w:val="en-US" w:eastAsia="zh-CN"/>
        </w:rPr>
      </w:pPr>
      <w:r>
        <w:rPr>
          <w:rFonts w:hint="eastAsia" w:ascii="方正仿宋_GBK" w:hAnsi="方正仿宋_GBK" w:eastAsia="方正仿宋_GBK" w:cs="方正仿宋_GBK"/>
          <w:spacing w:val="0"/>
          <w:sz w:val="32"/>
          <w:szCs w:val="32"/>
          <w:lang w:val="en-US" w:eastAsia="zh-CN"/>
        </w:rPr>
        <w:t>镇党委政府主要负责人严格执行《党政主要负责人履行推进法治建设第一责任人职责规定》，以身作则、率先垂范学法用法。在镇中心组学习会上，书记、镇长带头谈学习法律知识的体会；利用院坝会、小院讲堂深入村社与群众面对面宣讲法律知识和政府依法行政的政策措施；加强对法治政</w:t>
      </w:r>
      <w:r>
        <w:rPr>
          <w:rFonts w:hint="eastAsia" w:ascii="方正仿宋_GBK" w:hAnsi="方正仿宋_GBK" w:eastAsia="方正仿宋_GBK" w:cs="方正仿宋_GBK"/>
          <w:b w:val="0"/>
          <w:bCs w:val="0"/>
          <w:spacing w:val="0"/>
          <w:sz w:val="32"/>
          <w:szCs w:val="32"/>
          <w:lang w:val="en-US" w:eastAsia="zh-CN"/>
        </w:rPr>
        <w:t>府建设进展情况的督促检查。</w:t>
      </w:r>
    </w:p>
    <w:p>
      <w:pPr>
        <w:pStyle w:val="3"/>
        <w:keepNext w:val="0"/>
        <w:keepLines w:val="0"/>
        <w:pageBreakBefore w:val="0"/>
        <w:kinsoku/>
        <w:wordWrap/>
        <w:overflowPunct/>
        <w:topLinePunct w:val="0"/>
        <w:autoSpaceDE/>
        <w:autoSpaceDN/>
        <w:bidi w:val="0"/>
        <w:snapToGrid/>
        <w:spacing w:line="580" w:lineRule="exact"/>
        <w:ind w:left="0" w:leftChars="0" w:right="0" w:rightChars="0" w:firstLine="640" w:firstLineChars="200"/>
        <w:textAlignment w:val="auto"/>
        <w:rPr>
          <w:rFonts w:hint="eastAsia" w:ascii="楷体" w:hAnsi="楷体" w:eastAsia="楷体" w:cs="楷体"/>
          <w:b w:val="0"/>
          <w:bCs w:val="0"/>
          <w:kern w:val="2"/>
          <w:sz w:val="32"/>
          <w:szCs w:val="32"/>
          <w:shd w:val="clear" w:color="auto" w:fill="FFFFFF"/>
        </w:rPr>
      </w:pPr>
      <w:r>
        <w:rPr>
          <w:rFonts w:hint="eastAsia" w:ascii="楷体" w:hAnsi="楷体" w:eastAsia="楷体" w:cs="楷体"/>
          <w:b w:val="0"/>
          <w:bCs w:val="0"/>
          <w:sz w:val="32"/>
          <w:szCs w:val="32"/>
        </w:rPr>
        <w:t>（三）</w:t>
      </w:r>
      <w:r>
        <w:rPr>
          <w:rFonts w:hint="eastAsia" w:ascii="楷体" w:hAnsi="楷体" w:eastAsia="楷体" w:cs="楷体"/>
          <w:b w:val="0"/>
          <w:bCs w:val="0"/>
          <w:kern w:val="2"/>
          <w:sz w:val="32"/>
          <w:szCs w:val="32"/>
          <w:shd w:val="clear" w:color="auto" w:fill="FFFFFF"/>
        </w:rPr>
        <w:t>健全依法行政制度体系。</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3" w:firstLineChars="200"/>
        <w:jc w:val="both"/>
        <w:textAlignment w:val="auto"/>
        <w:rPr>
          <w:rFonts w:hint="default" w:ascii="方正仿宋_GBK" w:hAnsi="方正仿宋_GBK" w:eastAsia="方正仿宋_GBK" w:cs="方正仿宋_GBK"/>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一是加强行政规范性文件管理。</w:t>
      </w:r>
      <w:r>
        <w:rPr>
          <w:rFonts w:hint="eastAsia" w:ascii="方正仿宋_GBK" w:hAnsi="方正仿宋_GBK" w:eastAsia="方正仿宋_GBK" w:cs="方正仿宋_GBK"/>
          <w:spacing w:val="0"/>
          <w:kern w:val="2"/>
          <w:sz w:val="32"/>
          <w:szCs w:val="32"/>
          <w:lang w:val="en-US" w:eastAsia="zh-CN" w:bidi="ar-SA"/>
        </w:rPr>
        <w:t>荣隆镇强化并持续学习上级相关指导文件等内容，并建立健全“经办人-内设机构负责人-分管领导-党委书记/镇长”四级审核发文制度，严格执行相关程序，确保制发工作规范有序。今年，累计向区委报送备案党内规范性文件1份，</w:t>
      </w:r>
      <w:bookmarkStart w:id="0" w:name="_GoBack"/>
      <w:r>
        <w:rPr>
          <w:rFonts w:hint="eastAsia" w:ascii="方正仿宋_GBK" w:hAnsi="方正仿宋_GBK" w:eastAsia="方正仿宋_GBK" w:cs="方正仿宋_GBK"/>
          <w:spacing w:val="0"/>
          <w:kern w:val="2"/>
          <w:sz w:val="32"/>
          <w:szCs w:val="32"/>
          <w:highlight w:val="none"/>
          <w:lang w:val="en-US" w:eastAsia="zh-CN" w:bidi="ar-SA"/>
        </w:rPr>
        <w:t>确保党中央决策部署</w:t>
      </w:r>
      <w:bookmarkEnd w:id="0"/>
      <w:r>
        <w:rPr>
          <w:rFonts w:hint="eastAsia" w:ascii="方正仿宋_GBK" w:hAnsi="方正仿宋_GBK" w:eastAsia="方正仿宋_GBK" w:cs="方正仿宋_GBK"/>
          <w:spacing w:val="0"/>
          <w:kern w:val="2"/>
          <w:sz w:val="32"/>
          <w:szCs w:val="32"/>
          <w:lang w:val="en-US" w:eastAsia="zh-CN" w:bidi="ar-SA"/>
        </w:rPr>
        <w:t>、市委工作要求、区委具体安排在荣隆镇落地落实，助推全镇各项工作高质量发展。</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3" w:firstLineChars="200"/>
        <w:jc w:val="both"/>
        <w:textAlignment w:val="auto"/>
        <w:rPr>
          <w:rFonts w:hint="eastAsia" w:ascii="Times New Roman" w:hAnsi="Times New Roman" w:eastAsia="方正仿宋_GBK"/>
          <w:sz w:val="32"/>
          <w:szCs w:val="32"/>
          <w:lang w:val="en-US" w:eastAsia="zh-CN"/>
        </w:rPr>
      </w:pPr>
      <w:r>
        <w:rPr>
          <w:rFonts w:hint="eastAsia" w:ascii="仿宋" w:hAnsi="仿宋" w:eastAsia="仿宋" w:cs="仿宋"/>
          <w:b/>
          <w:bCs/>
          <w:spacing w:val="0"/>
          <w:kern w:val="2"/>
          <w:sz w:val="32"/>
          <w:szCs w:val="32"/>
          <w:lang w:val="en-US" w:eastAsia="zh-CN" w:bidi="ar-SA"/>
        </w:rPr>
        <w:t>二是发挥法律明白人作用。</w:t>
      </w:r>
      <w:r>
        <w:rPr>
          <w:rFonts w:hint="eastAsia" w:ascii="方正仿宋_GBK" w:hAnsi="方正仿宋_GBK" w:eastAsia="方正仿宋_GBK" w:cs="方正仿宋_GBK"/>
          <w:spacing w:val="0"/>
          <w:kern w:val="2"/>
          <w:sz w:val="32"/>
          <w:szCs w:val="32"/>
          <w:lang w:val="en-US" w:eastAsia="zh-CN" w:bidi="ar-SA"/>
        </w:rPr>
        <w:t>贯彻习近平法治思想，坚持和发展新时代“枫桥经验”，提升“法律明白人”培养质效，推动在基层治理中更好发挥作用；荣隆镇培养法律明白人45人，今年，累计开展法律明白人培训29次，参与矛盾纠纷调解600余件。发挥法律明白人的作用更加突出，激励保障更加有力，成为了维护基层和谐稳定重要力量，为现代化新荣昌建设纵深推进、开创新局夯实基层基础。</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楷体" w:hAnsi="楷体" w:eastAsia="楷体" w:cs="楷体"/>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（四）完善执法体制机制建设。</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3" w:firstLineChars="200"/>
        <w:jc w:val="both"/>
        <w:textAlignment w:val="auto"/>
        <w:rPr>
          <w:rFonts w:hint="default" w:ascii="方正仿宋_GBK" w:hAnsi="方正仿宋_GBK" w:eastAsia="方正仿宋_GBK" w:cs="方正仿宋_GBK"/>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一是加强行政执法规范化建设。</w:t>
      </w:r>
      <w:r>
        <w:rPr>
          <w:rFonts w:hint="eastAsia" w:ascii="方正仿宋_GBK" w:hAnsi="方正仿宋_GBK" w:eastAsia="方正仿宋_GBK" w:cs="方正仿宋_GBK"/>
          <w:spacing w:val="0"/>
          <w:kern w:val="2"/>
          <w:sz w:val="32"/>
          <w:szCs w:val="32"/>
          <w:lang w:val="en-US" w:eastAsia="zh-CN" w:bidi="ar-SA"/>
        </w:rPr>
        <w:t>荣隆镇认真领会区依法治区办下发的关于行政执法“三项制度”文件精神，不断健全荣隆镇行政执法公示制度，做到事前、事中、事后公示内容完善。推进行政执法全过程记录制度的落实，特别是对执法过程中的重要环节如调查取证、送达文书等过程，荣隆镇执法人员就地取材，充分利用智能手机的录音录像功能进行记录，做好执法全过程留痕和可溯管理。</w:t>
      </w:r>
    </w:p>
    <w:p>
      <w:pPr>
        <w:pStyle w:val="2"/>
        <w:keepNext w:val="0"/>
        <w:keepLines w:val="0"/>
        <w:pageBreakBefore w:val="0"/>
        <w:numPr>
          <w:ilvl w:val="0"/>
          <w:numId w:val="0"/>
        </w:numPr>
        <w:kinsoku/>
        <w:wordWrap/>
        <w:overflowPunct/>
        <w:topLinePunct w:val="0"/>
        <w:autoSpaceDE/>
        <w:autoSpaceDN/>
        <w:bidi w:val="0"/>
        <w:snapToGrid/>
        <w:spacing w:line="580" w:lineRule="exact"/>
        <w:ind w:left="0" w:leftChars="0" w:right="0" w:rightChars="0" w:firstLine="643"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kern w:val="2"/>
          <w:sz w:val="32"/>
          <w:szCs w:val="32"/>
          <w:lang w:val="en-US" w:eastAsia="zh-CN" w:bidi="ar-SA"/>
        </w:rPr>
        <w:t>二是加大重点领域执法力度。</w:t>
      </w:r>
      <w:r>
        <w:rPr>
          <w:rFonts w:hint="eastAsia" w:ascii="方正仿宋_GBK" w:hAnsi="方正仿宋_GBK" w:eastAsia="方正仿宋_GBK" w:cs="方正仿宋_GBK"/>
          <w:spacing w:val="0"/>
          <w:kern w:val="2"/>
          <w:sz w:val="32"/>
          <w:szCs w:val="32"/>
          <w:lang w:val="en-US" w:eastAsia="zh-CN" w:bidi="ar-SA"/>
        </w:rPr>
        <w:t>深入实施安全生产专项整治行动，认真开展大排查大整治大执法行动，加大安全生产、生态环境等方面的宣传和执法检查力度。全面开展工贸行业企业安全生产监督执法工作，今年累计出动执法人员140余人次，发现大小安全隐患60余处，督促整改60余处；处罚各类秸秆禁烧、消防等违法行为12起，利用村规民约</w:t>
      </w:r>
      <w:r>
        <w:rPr>
          <w:rFonts w:hint="eastAsia" w:ascii="方正仿宋_GBK" w:hAnsi="方正仿宋_GBK" w:eastAsia="方正仿宋_GBK" w:cs="方正仿宋_GBK"/>
          <w:spacing w:val="0"/>
          <w:kern w:val="2"/>
          <w:sz w:val="32"/>
          <w:szCs w:val="32"/>
          <w:highlight w:val="none"/>
          <w:lang w:val="en-US" w:eastAsia="zh-CN" w:bidi="ar-SA"/>
        </w:rPr>
        <w:t>处罚火点9起</w:t>
      </w:r>
      <w:r>
        <w:rPr>
          <w:rFonts w:hint="eastAsia" w:ascii="方正仿宋_GBK" w:hAnsi="方正仿宋_GBK" w:eastAsia="方正仿宋_GBK" w:cs="方正仿宋_GBK"/>
          <w:spacing w:val="0"/>
          <w:kern w:val="2"/>
          <w:sz w:val="32"/>
          <w:szCs w:val="32"/>
          <w:lang w:val="en-US" w:eastAsia="zh-CN" w:bidi="ar-SA"/>
        </w:rPr>
        <w:t>，收缴罚款750元。</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5"/>
        <w:jc w:val="both"/>
        <w:textAlignment w:val="auto"/>
        <w:rPr>
          <w:rFonts w:hint="default" w:ascii="方正仿宋_GBK" w:hAnsi="方正仿宋_GBK" w:eastAsia="方正仿宋_GBK" w:cs="方正仿宋_GBK"/>
          <w:spacing w:val="0"/>
          <w:kern w:val="2"/>
          <w:sz w:val="32"/>
          <w:szCs w:val="32"/>
          <w:lang w:val="en-US" w:eastAsia="zh-CN" w:bidi="ar-SA"/>
        </w:rPr>
      </w:pPr>
      <w:r>
        <w:rPr>
          <w:rStyle w:val="14"/>
          <w:rFonts w:hint="eastAsia" w:ascii="仿宋" w:hAnsi="仿宋" w:eastAsia="仿宋" w:cs="仿宋"/>
          <w:b/>
          <w:bCs/>
          <w:sz w:val="32"/>
          <w:szCs w:val="32"/>
          <w:lang w:eastAsia="zh-CN"/>
        </w:rPr>
        <w:t>三是</w:t>
      </w:r>
      <w:r>
        <w:rPr>
          <w:rStyle w:val="14"/>
          <w:rFonts w:hint="eastAsia" w:ascii="仿宋" w:hAnsi="仿宋" w:eastAsia="仿宋" w:cs="仿宋"/>
          <w:b/>
          <w:bCs/>
          <w:sz w:val="32"/>
          <w:szCs w:val="32"/>
        </w:rPr>
        <w:t>推进“大综合一体化”行政执法体制改革</w:t>
      </w:r>
      <w:r>
        <w:rPr>
          <w:rFonts w:hint="eastAsia" w:ascii="仿宋" w:hAnsi="仿宋" w:eastAsia="仿宋" w:cs="仿宋"/>
          <w:b/>
          <w:bCs/>
          <w:sz w:val="32"/>
          <w:szCs w:val="32"/>
        </w:rPr>
        <w:t>。</w:t>
      </w:r>
      <w:r>
        <w:rPr>
          <w:rFonts w:hint="eastAsia" w:ascii="方正仿宋_GBK" w:hAnsi="方正仿宋_GBK" w:eastAsia="方正仿宋_GBK" w:cs="方正仿宋_GBK"/>
          <w:spacing w:val="0"/>
          <w:kern w:val="2"/>
          <w:sz w:val="32"/>
          <w:szCs w:val="32"/>
          <w:lang w:val="en-US" w:eastAsia="zh-CN" w:bidi="ar-SA"/>
        </w:rPr>
        <w:t>落实《重庆市综合行政执法条例》，加快出台“大综合一体化”行政执法改革实施方案及配套文件。提高执法人员专业能力，结合“线上+线下”学习形式提升执法人员专业能力，通过参加区司法局组织的行政执法人员培训班、“荣昌微发布”等线上线下平台，累计培养15名专业人员，并参加全市行政执法人员岗位培训和考核，均获得执法证书。执法人员运用“综合查一次”组团式执法，实现“进一次门、查多项事、一次到位”，联合镇派出所等部门“综合查一次”实施率达11%。推广10件以上执法监管“一件事”场景应用，推动“执法+监督”数字应用覆盖率达40%。</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楷体" w:hAnsi="楷体" w:eastAsia="楷体" w:cs="楷体"/>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（五）</w:t>
      </w:r>
      <w:r>
        <w:rPr>
          <w:rFonts w:hint="eastAsia" w:ascii="楷体" w:hAnsi="楷体" w:eastAsia="楷体" w:cs="楷体"/>
          <w:sz w:val="32"/>
          <w:szCs w:val="32"/>
        </w:rPr>
        <w:t>优化法治化营商环境</w:t>
      </w:r>
      <w:r>
        <w:rPr>
          <w:rFonts w:hint="eastAsia" w:ascii="楷体" w:hAnsi="楷体" w:eastAsia="楷体" w:cs="楷体"/>
          <w:spacing w:val="0"/>
          <w:kern w:val="2"/>
          <w:sz w:val="32"/>
          <w:szCs w:val="32"/>
          <w:lang w:val="en-US" w:eastAsia="zh-CN" w:bidi="ar-SA"/>
        </w:rPr>
        <w:t>。</w:t>
      </w:r>
    </w:p>
    <w:p>
      <w:pPr>
        <w:keepNext w:val="0"/>
        <w:keepLines w:val="0"/>
        <w:pageBreakBefore w:val="0"/>
        <w:kinsoku/>
        <w:wordWrap/>
        <w:overflowPunct/>
        <w:topLinePunct w:val="0"/>
        <w:autoSpaceDE/>
        <w:autoSpaceDN/>
        <w:bidi w:val="0"/>
        <w:snapToGrid/>
        <w:spacing w:line="580" w:lineRule="exact"/>
        <w:ind w:left="0" w:leftChars="0" w:right="0" w:rightChars="0" w:firstLine="643" w:firstLineChars="200"/>
        <w:textAlignment w:val="auto"/>
        <w:rPr>
          <w:rFonts w:hint="eastAsia" w:ascii="仿宋" w:hAnsi="仿宋" w:eastAsia="仿宋" w:cs="仿宋"/>
          <w:b w:val="0"/>
          <w:bCs w:val="0"/>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一是明确办理事项。</w:t>
      </w:r>
      <w:r>
        <w:rPr>
          <w:rFonts w:hint="eastAsia" w:ascii="方正仿宋_GBK" w:hAnsi="方正仿宋_GBK" w:eastAsia="方正仿宋_GBK" w:cs="方正仿宋_GBK"/>
          <w:spacing w:val="0"/>
          <w:kern w:val="2"/>
          <w:sz w:val="32"/>
          <w:szCs w:val="32"/>
          <w:lang w:val="en-US" w:eastAsia="zh-CN" w:bidi="ar-SA"/>
        </w:rPr>
        <w:t>荣隆镇推广运用“智慧人社”新系统软硬件运行环境搭建及测试，确保全国统筹系统如期上线正常运行；遵循“职权相适、岗位互斥、业务互斥、最小必须”的原则，根据操作用户职能职责准确分配相应功能菜单及用户权限。建立《社会保险服务事项目录清单》，对业务系统“一级菜单”“二级菜单”“办理系统事项”“办事性质”“事项性质”“复核等级”“风控规则”“所需资料”等指标进行分解并详细说明。组织社保所工作人员集中学习具体业务操作，并对系统运行的问题及时上报，确保各项业务按要求准确办理。</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3"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二是优化法治化营商环境。</w:t>
      </w:r>
      <w:r>
        <w:rPr>
          <w:rFonts w:hint="eastAsia" w:ascii="方正仿宋_GBK" w:hAnsi="方正仿宋_GBK" w:eastAsia="方正仿宋_GBK" w:cs="方正仿宋_GBK"/>
          <w:spacing w:val="0"/>
          <w:kern w:val="2"/>
          <w:sz w:val="32"/>
          <w:szCs w:val="32"/>
          <w:lang w:val="en-US" w:eastAsia="zh-CN" w:bidi="ar-SA"/>
        </w:rPr>
        <w:t>深入贯彻党的二十大精神和习近平总书记关于民营经济发展的重要论述，优化“千年荣昌·来了就是一家人”营商环境推动民营经济高质量发展的基本内涵；积极开展未成年人保护、反电诈等宣传教育活动；建立健全投资项目绿色通道，服务保障成渝地区双城经济圈建设；开展送法进企活动，定期收集企业招工需求，发布到各村社，每年年初组织企业开展集中招聘，三年来初步达成就业意向400余人，发放宣传资料1800余份。每年召开企业高质量发展交流座谈会，进行相关政策解读，组织商会企业参加交流走访会员单位暨慰问企业困难（优秀）员工等相关活动40余次，企业现场交流当前发展困境，镇领导就企业面临困难问题给予政策指导。深化“产业链+法律服务”活动，打造大中型企业和园区“15分钟法律服务圈”，推动大中型企业和园区法律服务覆盖率达97%。</w:t>
      </w:r>
    </w:p>
    <w:p>
      <w:pPr>
        <w:keepNext w:val="0"/>
        <w:keepLines w:val="0"/>
        <w:pageBreakBefore w:val="0"/>
        <w:kinsoku/>
        <w:wordWrap/>
        <w:overflowPunct/>
        <w:topLinePunct w:val="0"/>
        <w:autoSpaceDE/>
        <w:autoSpaceDN/>
        <w:bidi w:val="0"/>
        <w:snapToGrid/>
        <w:spacing w:line="580" w:lineRule="exact"/>
        <w:ind w:left="0" w:leftChars="0" w:right="0" w:rightChars="0" w:firstLine="643" w:firstLineChars="200"/>
        <w:textAlignment w:val="auto"/>
        <w:rPr>
          <w:rFonts w:hint="eastAsia" w:ascii="仿宋" w:hAnsi="仿宋" w:eastAsia="仿宋" w:cs="仿宋"/>
          <w:b w:val="0"/>
          <w:bCs w:val="0"/>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三是强化全链条监管。</w:t>
      </w:r>
      <w:r>
        <w:rPr>
          <w:rFonts w:hint="eastAsia" w:ascii="方正仿宋_GBK" w:hAnsi="方正仿宋_GBK" w:eastAsia="方正仿宋_GBK" w:cs="方正仿宋_GBK"/>
          <w:spacing w:val="0"/>
          <w:kern w:val="2"/>
          <w:sz w:val="32"/>
          <w:szCs w:val="32"/>
          <w:lang w:val="en-US" w:eastAsia="zh-CN" w:bidi="ar-SA"/>
        </w:rPr>
        <w:t>严格按照上级“双随机一公开”工作部署和要求开展执法检查工作，将我镇辖区共2244户（含个体工商户1700户，内资企业502户，外资企业3户）纳入“双随机一公开”检查对象主体库内。严格实施执法公示制度，及时公示公开行政处罚、权责清单、执法人员执法资格以及“双随机一公开”事项清单、依据、程序等，通过综合业务管理系统、网站公示行政处罚案件，案件公示率100%。</w:t>
      </w:r>
    </w:p>
    <w:p>
      <w:pPr>
        <w:keepNext w:val="0"/>
        <w:keepLines w:val="0"/>
        <w:pageBreakBefore w:val="0"/>
        <w:kinsoku/>
        <w:wordWrap/>
        <w:overflowPunct/>
        <w:topLinePunct w:val="0"/>
        <w:autoSpaceDE/>
        <w:autoSpaceDN/>
        <w:bidi w:val="0"/>
        <w:snapToGrid/>
        <w:spacing w:line="580" w:lineRule="exact"/>
        <w:ind w:left="0" w:leftChars="0" w:right="0" w:rightChars="0" w:firstLine="643" w:firstLineChars="200"/>
        <w:textAlignment w:val="auto"/>
        <w:rPr>
          <w:rFonts w:hint="eastAsia" w:ascii="仿宋" w:hAnsi="仿宋" w:eastAsia="仿宋" w:cs="仿宋"/>
          <w:b w:val="0"/>
          <w:bCs w:val="0"/>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四是优化政务服务。</w:t>
      </w:r>
      <w:r>
        <w:rPr>
          <w:rFonts w:hint="eastAsia" w:ascii="方正仿宋_GBK" w:hAnsi="方正仿宋_GBK" w:eastAsia="方正仿宋_GBK" w:cs="方正仿宋_GBK"/>
          <w:spacing w:val="0"/>
          <w:kern w:val="2"/>
          <w:sz w:val="32"/>
          <w:szCs w:val="32"/>
          <w:lang w:val="en-US" w:eastAsia="zh-CN" w:bidi="ar-SA"/>
        </w:rPr>
        <w:t>集成优化“渝快办”“渝快政”服务功能。组织各村社区参加“渝快办”相关培训工作，提升业务熟悉流程。推动政务服务事项标准化颗粒化比例达到100%，“一网通办”率达到80%，掌上可办率达到70%。 截至目前荣隆镇未收到办事群众“渝快办”方面的信访投诉。</w:t>
      </w:r>
    </w:p>
    <w:p>
      <w:pPr>
        <w:pStyle w:val="3"/>
        <w:keepNext w:val="0"/>
        <w:keepLines w:val="0"/>
        <w:pageBreakBefore w:val="0"/>
        <w:kinsoku/>
        <w:wordWrap/>
        <w:overflowPunct/>
        <w:topLinePunct w:val="0"/>
        <w:autoSpaceDE/>
        <w:autoSpaceDN/>
        <w:bidi w:val="0"/>
        <w:snapToGrid/>
        <w:spacing w:line="580" w:lineRule="exact"/>
        <w:ind w:left="0" w:leftChars="0" w:right="0" w:rightChars="0" w:firstLine="640" w:firstLineChars="200"/>
        <w:textAlignment w:val="auto"/>
        <w:rPr>
          <w:rFonts w:hint="eastAsia" w:ascii="楷体" w:hAnsi="楷体" w:eastAsia="楷体" w:cs="楷体"/>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（六）依法公开透明政府信息。</w:t>
      </w:r>
    </w:p>
    <w:p>
      <w:pPr>
        <w:pStyle w:val="3"/>
        <w:keepNext w:val="0"/>
        <w:keepLines w:val="0"/>
        <w:pageBreakBefore w:val="0"/>
        <w:kinsoku/>
        <w:wordWrap/>
        <w:overflowPunct/>
        <w:topLinePunct w:val="0"/>
        <w:autoSpaceDE/>
        <w:autoSpaceDN/>
        <w:bidi w:val="0"/>
        <w:snapToGrid/>
        <w:spacing w:line="580" w:lineRule="exact"/>
        <w:ind w:left="0" w:leftChars="0"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加大政务公开力度，线上线下相结合。定期在政府网站公开法定事项，随时更新荣隆镇工作动态，让群众及时了解荣隆镇工作开展情况。设置线下政府公开专区，摆放政策解读、招工等相关信息，依法保障人民群众合理信息的需求，促进行政权力透明规范运行。</w:t>
      </w:r>
    </w:p>
    <w:p>
      <w:pPr>
        <w:keepNext w:val="0"/>
        <w:keepLines w:val="0"/>
        <w:pageBreakBefore w:val="0"/>
        <w:kinsoku/>
        <w:wordWrap/>
        <w:overflowPunct/>
        <w:topLinePunct w:val="0"/>
        <w:autoSpaceDE/>
        <w:autoSpaceDN/>
        <w:bidi w:val="0"/>
        <w:snapToGrid/>
        <w:spacing w:line="580" w:lineRule="exact"/>
        <w:ind w:right="0" w:rightChars="0" w:firstLine="640" w:firstLineChars="200"/>
        <w:textAlignment w:val="auto"/>
        <w:rPr>
          <w:rFonts w:hint="eastAsia" w:ascii="楷体" w:hAnsi="楷体" w:eastAsia="楷体" w:cs="楷体"/>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（七）依法有效化解社会矛盾，构建大调解工作格局。</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5"/>
        <w:jc w:val="both"/>
        <w:textAlignment w:val="auto"/>
        <w:rPr>
          <w:rFonts w:hint="default"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今年，荣隆镇平安法治办坚持领导公开接访日和群众工作日相结合，严格按照“群众诉求合理的解决到位，诉求无理的思想教育到位，生活困难的帮扶到位，行为违法的依法处理到位”原则，共接待群众来访130余次，办理人民来件75件（其中群众来访17条，网上投诉58条），均已办结；成功构建大调解工作格局，矛盾纠纷大起底大化解达640余条。</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5"/>
        <w:jc w:val="both"/>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二、存在的主要问题</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（一）全社会法治意识有待提高。</w:t>
      </w:r>
      <w:r>
        <w:rPr>
          <w:rFonts w:hint="eastAsia" w:ascii="方正仿宋_GBK" w:hAnsi="方正仿宋_GBK" w:eastAsia="方正仿宋_GBK" w:cs="方正仿宋_GBK"/>
          <w:spacing w:val="0"/>
          <w:kern w:val="2"/>
          <w:sz w:val="32"/>
          <w:szCs w:val="32"/>
          <w:lang w:val="en-US" w:eastAsia="zh-CN" w:bidi="ar-SA"/>
        </w:rPr>
        <w:t>虽然通过多年的普法教育活动，全民的法治意识有了很大程度的提高，但法治观念淡薄、有法不依、知法犯法的现象还依然存在。</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（二）法治教育“网格化”有待深入。</w:t>
      </w:r>
      <w:r>
        <w:rPr>
          <w:rFonts w:hint="eastAsia" w:ascii="方正仿宋_GBK" w:hAnsi="方正仿宋_GBK" w:eastAsia="方正仿宋_GBK" w:cs="方正仿宋_GBK"/>
          <w:spacing w:val="0"/>
          <w:kern w:val="2"/>
          <w:sz w:val="32"/>
          <w:szCs w:val="32"/>
          <w:lang w:val="en-US" w:eastAsia="zh-CN" w:bidi="ar-SA"/>
        </w:rPr>
        <w:t>主要是农村大多数青壮年外出务工，留守在家的多是“老弱病残、妇女、儿童”，普法教育深入难，法律明白人开展工作难</w:t>
      </w:r>
      <w:r>
        <w:rPr>
          <w:rFonts w:hint="eastAsia" w:ascii="仿宋" w:hAnsi="仿宋" w:eastAsia="仿宋" w:cs="仿宋"/>
          <w:spacing w:val="0"/>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（三）业务能力有待提高。</w:t>
      </w:r>
      <w:r>
        <w:rPr>
          <w:rFonts w:hint="eastAsia" w:ascii="方正仿宋_GBK" w:hAnsi="方正仿宋_GBK" w:eastAsia="方正仿宋_GBK" w:cs="方正仿宋_GBK"/>
          <w:spacing w:val="0"/>
          <w:kern w:val="2"/>
          <w:sz w:val="32"/>
          <w:szCs w:val="32"/>
          <w:lang w:val="en-US" w:eastAsia="zh-CN" w:bidi="ar-SA"/>
        </w:rPr>
        <w:t>在普法队伍、志愿者队伍培育方面制度建设不够健全，缺少相应的招募、培训、组织管理、奖励机制。且普法队伍里大多数是兼职普法员，由于没有接受过较为全面、系统、专业的法律培训，自身法律素养不高，在开展普法工作中要么照本宣科，要么简单的上传下达，普法效果一般，满足不了不同群众的法律需求。</w:t>
      </w:r>
    </w:p>
    <w:p>
      <w:pPr>
        <w:pStyle w:val="5"/>
        <w:keepNext w:val="0"/>
        <w:keepLines w:val="0"/>
        <w:pageBreakBefore w:val="0"/>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（四）普法经费不足。基</w:t>
      </w:r>
      <w:r>
        <w:rPr>
          <w:rFonts w:hint="eastAsia" w:ascii="仿宋" w:hAnsi="仿宋" w:eastAsia="仿宋" w:cs="仿宋"/>
          <w:spacing w:val="0"/>
          <w:kern w:val="2"/>
          <w:sz w:val="32"/>
          <w:szCs w:val="32"/>
          <w:lang w:val="en-US" w:eastAsia="zh-CN" w:bidi="ar-SA"/>
        </w:rPr>
        <w:t>层普法无专项经费将导致普法工作受到影响，难以适应社会发展的需要。</w:t>
      </w:r>
    </w:p>
    <w:p>
      <w:pPr>
        <w:pStyle w:val="2"/>
        <w:keepNext w:val="0"/>
        <w:keepLines w:val="0"/>
        <w:pageBreakBefore w:val="0"/>
        <w:kinsoku/>
        <w:wordWrap/>
        <w:overflowPunct/>
        <w:topLinePunct w:val="0"/>
        <w:autoSpaceDE/>
        <w:autoSpaceDN/>
        <w:bidi w:val="0"/>
        <w:snapToGrid/>
        <w:spacing w:line="580" w:lineRule="exact"/>
        <w:ind w:right="0" w:rightChars="0" w:firstLine="640" w:firstLineChars="200"/>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三、2025年主要工作思路和打算</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（一）进一步提高荣隆镇领导干部的普法意识。</w:t>
      </w:r>
      <w:r>
        <w:rPr>
          <w:rFonts w:hint="eastAsia" w:ascii="方正仿宋_GBK" w:hAnsi="方正仿宋_GBK" w:eastAsia="方正仿宋_GBK" w:cs="方正仿宋_GBK"/>
          <w:spacing w:val="0"/>
          <w:kern w:val="2"/>
          <w:sz w:val="32"/>
          <w:szCs w:val="32"/>
          <w:lang w:val="en-US" w:eastAsia="zh-CN" w:bidi="ar-SA"/>
        </w:rPr>
        <w:t>领导干部要进一步切实加强对分管领域普法工作的领导，真正把普法工作放在心上，把普法工作融入到分管工作的方方面面</w:t>
      </w:r>
      <w:r>
        <w:rPr>
          <w:rFonts w:hint="eastAsia" w:ascii="仿宋" w:hAnsi="仿宋" w:eastAsia="仿宋" w:cs="仿宋"/>
          <w:spacing w:val="0"/>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（二）进一步创新普法宣传教育方式方法。</w:t>
      </w:r>
      <w:r>
        <w:rPr>
          <w:rFonts w:hint="eastAsia" w:ascii="方正仿宋_GBK" w:hAnsi="方正仿宋_GBK" w:eastAsia="方正仿宋_GBK" w:cs="方正仿宋_GBK"/>
          <w:spacing w:val="0"/>
          <w:kern w:val="2"/>
          <w:sz w:val="32"/>
          <w:szCs w:val="32"/>
          <w:lang w:val="en-US" w:eastAsia="zh-CN" w:bidi="ar-SA"/>
        </w:rPr>
        <w:t>按照不同的文化层次，不同的职业特点，不同的年龄阶段，制定普法计划和普法内容。紧密结合实际，利用广播、宣传车、横幅、标语等多种形式，办好法治宣传栏目，提高法律普及效果。同时通过身边的人、身边的事，运用以案说法、以案释法的形式，通过网格员及网格指导员在做集体经济发展工作、乡村振兴、森林防火、人居环境整治等工作的同时，加大对普治知识宣传力度，以增强普法教育宣传的覆盖面和影响力。</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（三）进一步强化普法队伍建设。</w:t>
      </w:r>
      <w:r>
        <w:rPr>
          <w:rFonts w:hint="eastAsia" w:ascii="方正仿宋_GBK" w:hAnsi="方正仿宋_GBK" w:eastAsia="方正仿宋_GBK" w:cs="方正仿宋_GBK"/>
          <w:spacing w:val="0"/>
          <w:kern w:val="2"/>
          <w:sz w:val="32"/>
          <w:szCs w:val="32"/>
          <w:lang w:val="en-US" w:eastAsia="zh-CN" w:bidi="ar-SA"/>
        </w:rPr>
        <w:t>围绕普法活动的行动意义、实操措施等广泛开展机关干部、调解员、网格员、村（社区）干部、法律明白人、普法工作队员的业务培训；不断夯实以网格为单位开展法律宣传的工作基调；同时联系区法院、检察院、律师事务所的专业从业人员培训机关干部和普法工作者。组建</w:t>
      </w:r>
      <w:r>
        <w:rPr>
          <w:rFonts w:hint="eastAsia" w:ascii="方正仿宋_GBK" w:hAnsi="方正仿宋_GBK" w:eastAsia="方正仿宋_GBK" w:cs="方正仿宋_GBK"/>
          <w:spacing w:val="0"/>
          <w:kern w:val="2"/>
          <w:sz w:val="32"/>
          <w:szCs w:val="32"/>
          <w:highlight w:val="none"/>
          <w:lang w:val="en-US" w:eastAsia="zh-CN" w:bidi="ar-SA"/>
        </w:rPr>
        <w:t>一支</w:t>
      </w:r>
      <w:r>
        <w:rPr>
          <w:rFonts w:hint="eastAsia" w:ascii="方正仿宋_GBK" w:hAnsi="方正仿宋_GBK" w:eastAsia="方正仿宋_GBK" w:cs="方正仿宋_GBK"/>
          <w:spacing w:val="0"/>
          <w:kern w:val="2"/>
          <w:sz w:val="32"/>
          <w:szCs w:val="32"/>
          <w:lang w:val="en-US" w:eastAsia="zh-CN" w:bidi="ar-SA"/>
        </w:rPr>
        <w:t>制度完善、活动丰富、专业过硬、成效明显的普法宣传队伍。</w:t>
      </w:r>
    </w:p>
    <w:p>
      <w:pPr>
        <w:pStyle w:val="5"/>
        <w:keepNext w:val="0"/>
        <w:keepLines w:val="0"/>
        <w:pageBreakBefore w:val="0"/>
        <w:kinsoku/>
        <w:wordWrap/>
        <w:overflowPunct/>
        <w:topLinePunct w:val="0"/>
        <w:autoSpaceDE/>
        <w:autoSpaceDN/>
        <w:bidi w:val="0"/>
        <w:snapToGrid/>
        <w:spacing w:line="580" w:lineRule="exact"/>
        <w:ind w:right="0" w:rightChars="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（四）加大经费投入力度。</w:t>
      </w:r>
      <w:r>
        <w:rPr>
          <w:rFonts w:hint="eastAsia" w:ascii="方正仿宋_GBK" w:hAnsi="方正仿宋_GBK" w:eastAsia="方正仿宋_GBK" w:cs="方正仿宋_GBK"/>
          <w:spacing w:val="0"/>
          <w:kern w:val="2"/>
          <w:sz w:val="32"/>
          <w:szCs w:val="32"/>
          <w:lang w:val="en-US" w:eastAsia="zh-CN" w:bidi="ar-SA"/>
        </w:rPr>
        <w:t>积极争取区财政、区级部门的支持，加大对荣隆镇基层法治宣传经费的投入力度，使普法投入能够与当前经济、社会发展水平相适应。</w:t>
      </w:r>
    </w:p>
    <w:p>
      <w:pPr>
        <w:keepNext w:val="0"/>
        <w:keepLines w:val="0"/>
        <w:pageBreakBefore w:val="0"/>
        <w:kinsoku/>
        <w:wordWrap/>
        <w:overflowPunct/>
        <w:topLinePunct w:val="0"/>
        <w:autoSpaceDE/>
        <w:autoSpaceDN/>
        <w:bidi w:val="0"/>
        <w:snapToGrid/>
        <w:spacing w:line="580" w:lineRule="exact"/>
        <w:ind w:right="0" w:rightChars="0"/>
        <w:textAlignment w:val="auto"/>
        <w:rPr>
          <w:rFonts w:hint="eastAsia" w:ascii="方正仿宋_GBK" w:hAnsi="方正仿宋_GBK" w:eastAsia="方正仿宋_GBK" w:cs="方正仿宋_GBK"/>
          <w:spacing w:val="0"/>
          <w:kern w:val="2"/>
          <w:sz w:val="32"/>
          <w:szCs w:val="32"/>
          <w:lang w:val="en-US" w:eastAsia="zh-CN" w:bidi="ar-SA"/>
        </w:rPr>
      </w:pPr>
    </w:p>
    <w:p>
      <w:pPr>
        <w:keepNext w:val="0"/>
        <w:keepLines w:val="0"/>
        <w:pageBreakBefore w:val="0"/>
        <w:kinsoku/>
        <w:wordWrap/>
        <w:overflowPunct/>
        <w:topLinePunct w:val="0"/>
        <w:autoSpaceDE/>
        <w:autoSpaceDN/>
        <w:bidi w:val="0"/>
        <w:snapToGrid/>
        <w:spacing w:line="580" w:lineRule="exact"/>
        <w:ind w:right="0" w:rightChars="0"/>
        <w:textAlignment w:val="auto"/>
        <w:rPr>
          <w:rFonts w:hint="eastAsia" w:ascii="方正仿宋_GBK" w:hAnsi="方正仿宋_GBK" w:eastAsia="方正仿宋_GBK" w:cs="方正仿宋_GBK"/>
          <w:spacing w:val="0"/>
          <w:kern w:val="2"/>
          <w:sz w:val="32"/>
          <w:szCs w:val="32"/>
          <w:lang w:val="en-US" w:eastAsia="zh-CN" w:bidi="ar-SA"/>
        </w:rPr>
      </w:pPr>
    </w:p>
    <w:p>
      <w:pPr>
        <w:keepNext w:val="0"/>
        <w:keepLines w:val="0"/>
        <w:pageBreakBefore w:val="0"/>
        <w:kinsoku/>
        <w:wordWrap/>
        <w:overflowPunct/>
        <w:topLinePunct w:val="0"/>
        <w:autoSpaceDE/>
        <w:autoSpaceDN/>
        <w:bidi w:val="0"/>
        <w:snapToGrid/>
        <w:spacing w:line="580" w:lineRule="exact"/>
        <w:ind w:right="0" w:rightChars="0" w:firstLine="2880" w:firstLineChars="900"/>
        <w:textAlignment w:val="auto"/>
        <w:rPr>
          <w:rFonts w:hint="default"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 xml:space="preserve">中共重庆市荣昌区荣隆镇委员会     </w:t>
      </w:r>
    </w:p>
    <w:p>
      <w:pPr>
        <w:keepNext w:val="0"/>
        <w:keepLines w:val="0"/>
        <w:pageBreakBefore w:val="0"/>
        <w:kinsoku/>
        <w:wordWrap/>
        <w:overflowPunct/>
        <w:topLinePunct w:val="0"/>
        <w:autoSpaceDE/>
        <w:autoSpaceDN/>
        <w:bidi w:val="0"/>
        <w:snapToGrid/>
        <w:spacing w:line="580" w:lineRule="exact"/>
        <w:ind w:right="0" w:rightChars="0" w:firstLine="3200" w:firstLineChars="1000"/>
        <w:textAlignment w:val="auto"/>
        <w:rPr>
          <w:rFonts w:hint="default"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重庆市荣昌区荣隆镇人民政府</w:t>
      </w:r>
    </w:p>
    <w:p>
      <w:pPr>
        <w:pStyle w:val="5"/>
        <w:keepNext w:val="0"/>
        <w:keepLines w:val="0"/>
        <w:pageBreakBefore w:val="0"/>
        <w:kinsoku/>
        <w:wordWrap/>
        <w:overflowPunct/>
        <w:topLinePunct w:val="0"/>
        <w:autoSpaceDE/>
        <w:autoSpaceDN/>
        <w:bidi w:val="0"/>
        <w:snapToGrid/>
        <w:spacing w:line="580" w:lineRule="exact"/>
        <w:ind w:right="0" w:rightChars="0" w:firstLine="4480" w:firstLineChars="1400"/>
        <w:textAlignment w:val="auto"/>
        <w:rPr>
          <w:rFonts w:hint="default"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2025年1月6日</w:t>
      </w:r>
    </w:p>
    <w:sectPr>
      <w:footerReference r:id="rId3" w:type="default"/>
      <w:footerReference r:id="rId4" w:type="even"/>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Helvetica">
    <w:altName w:val="Noto Music"/>
    <w:panose1 w:val="020B05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66099"/>
    <w:multiLevelType w:val="singleLevel"/>
    <w:tmpl w:val="7BB66099"/>
    <w:lvl w:ilvl="0" w:tentative="0">
      <w:start w:val="1"/>
      <w:numFmt w:val="chineseCounting"/>
      <w:suff w:val="nothing"/>
      <w:lvlText w:val="（%1）"/>
      <w:lvlJc w:val="left"/>
      <w:pPr>
        <w:ind w:left="62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iOWU1ODRiNzU4MjBmNDg1MjI0NGUzODczZjVmNzAifQ=="/>
  </w:docVars>
  <w:rsids>
    <w:rsidRoot w:val="003E0D5D"/>
    <w:rsid w:val="00011FB2"/>
    <w:rsid w:val="0013000E"/>
    <w:rsid w:val="00201AF9"/>
    <w:rsid w:val="00225505"/>
    <w:rsid w:val="002936EC"/>
    <w:rsid w:val="002A6907"/>
    <w:rsid w:val="00305A77"/>
    <w:rsid w:val="00317974"/>
    <w:rsid w:val="003E0D5D"/>
    <w:rsid w:val="003F462F"/>
    <w:rsid w:val="00487813"/>
    <w:rsid w:val="004D2EE1"/>
    <w:rsid w:val="004E14AC"/>
    <w:rsid w:val="005006F8"/>
    <w:rsid w:val="005D6913"/>
    <w:rsid w:val="00695E31"/>
    <w:rsid w:val="006C0728"/>
    <w:rsid w:val="006F0F5C"/>
    <w:rsid w:val="007A50AA"/>
    <w:rsid w:val="007B10C7"/>
    <w:rsid w:val="007B2A16"/>
    <w:rsid w:val="0082430C"/>
    <w:rsid w:val="008C1349"/>
    <w:rsid w:val="008F3E91"/>
    <w:rsid w:val="00A6729E"/>
    <w:rsid w:val="00A71823"/>
    <w:rsid w:val="00A7408E"/>
    <w:rsid w:val="00A94DA6"/>
    <w:rsid w:val="00AA4840"/>
    <w:rsid w:val="00B53EF5"/>
    <w:rsid w:val="00BC6507"/>
    <w:rsid w:val="00BD6658"/>
    <w:rsid w:val="00C926E9"/>
    <w:rsid w:val="00D14F49"/>
    <w:rsid w:val="00D24C46"/>
    <w:rsid w:val="00D3475B"/>
    <w:rsid w:val="00D37B40"/>
    <w:rsid w:val="00E22BC9"/>
    <w:rsid w:val="00E67310"/>
    <w:rsid w:val="00FF70DC"/>
    <w:rsid w:val="03DE564F"/>
    <w:rsid w:val="0429511D"/>
    <w:rsid w:val="05A96369"/>
    <w:rsid w:val="05AD7375"/>
    <w:rsid w:val="07256487"/>
    <w:rsid w:val="07A01489"/>
    <w:rsid w:val="07EB73C6"/>
    <w:rsid w:val="08C767C3"/>
    <w:rsid w:val="0C9C1C35"/>
    <w:rsid w:val="0DD90826"/>
    <w:rsid w:val="0E4E7A50"/>
    <w:rsid w:val="0F113188"/>
    <w:rsid w:val="11102C77"/>
    <w:rsid w:val="11252F1A"/>
    <w:rsid w:val="11C5663B"/>
    <w:rsid w:val="12B74046"/>
    <w:rsid w:val="137666E0"/>
    <w:rsid w:val="14104EE8"/>
    <w:rsid w:val="146853F2"/>
    <w:rsid w:val="14B42FE5"/>
    <w:rsid w:val="173A547F"/>
    <w:rsid w:val="1A46295F"/>
    <w:rsid w:val="1C501568"/>
    <w:rsid w:val="1CA607FC"/>
    <w:rsid w:val="1D98014D"/>
    <w:rsid w:val="24E45BA2"/>
    <w:rsid w:val="254D22A6"/>
    <w:rsid w:val="25C91AE2"/>
    <w:rsid w:val="279E6337"/>
    <w:rsid w:val="289E75A6"/>
    <w:rsid w:val="28A963B4"/>
    <w:rsid w:val="29106F21"/>
    <w:rsid w:val="2AB200B6"/>
    <w:rsid w:val="2B583E10"/>
    <w:rsid w:val="2B9D688C"/>
    <w:rsid w:val="2BB6571A"/>
    <w:rsid w:val="2C6A7731"/>
    <w:rsid w:val="2D2F3A3E"/>
    <w:rsid w:val="2DCE6B02"/>
    <w:rsid w:val="2F4E52D3"/>
    <w:rsid w:val="2FB66A93"/>
    <w:rsid w:val="30931B59"/>
    <w:rsid w:val="31704E8F"/>
    <w:rsid w:val="31D4110A"/>
    <w:rsid w:val="322841C1"/>
    <w:rsid w:val="33C4121A"/>
    <w:rsid w:val="34226208"/>
    <w:rsid w:val="35977513"/>
    <w:rsid w:val="360E229A"/>
    <w:rsid w:val="3868010D"/>
    <w:rsid w:val="388E34D8"/>
    <w:rsid w:val="392E0181"/>
    <w:rsid w:val="3A4F8113"/>
    <w:rsid w:val="3C1D047D"/>
    <w:rsid w:val="3D303A70"/>
    <w:rsid w:val="3F126858"/>
    <w:rsid w:val="3F7C477E"/>
    <w:rsid w:val="41215F0D"/>
    <w:rsid w:val="41645F00"/>
    <w:rsid w:val="416F360D"/>
    <w:rsid w:val="427D1ECA"/>
    <w:rsid w:val="43BD33C7"/>
    <w:rsid w:val="43D321DE"/>
    <w:rsid w:val="450D6C41"/>
    <w:rsid w:val="456B1DB0"/>
    <w:rsid w:val="466B6FE6"/>
    <w:rsid w:val="47996747"/>
    <w:rsid w:val="48A63257"/>
    <w:rsid w:val="4A5E657A"/>
    <w:rsid w:val="4AEF7AFF"/>
    <w:rsid w:val="4E795FD8"/>
    <w:rsid w:val="4FF51069"/>
    <w:rsid w:val="4FFB7446"/>
    <w:rsid w:val="507B0707"/>
    <w:rsid w:val="52596822"/>
    <w:rsid w:val="54721200"/>
    <w:rsid w:val="564F5849"/>
    <w:rsid w:val="57084C89"/>
    <w:rsid w:val="59C966FE"/>
    <w:rsid w:val="5A1924BD"/>
    <w:rsid w:val="5BFE7BBD"/>
    <w:rsid w:val="5C537C1D"/>
    <w:rsid w:val="5D1832F8"/>
    <w:rsid w:val="5D6A05D5"/>
    <w:rsid w:val="5E000691"/>
    <w:rsid w:val="5FEF023F"/>
    <w:rsid w:val="618D0135"/>
    <w:rsid w:val="62FD2692"/>
    <w:rsid w:val="64A84B6A"/>
    <w:rsid w:val="64E151F4"/>
    <w:rsid w:val="652879C3"/>
    <w:rsid w:val="65EB4C80"/>
    <w:rsid w:val="66214BD4"/>
    <w:rsid w:val="670D25B7"/>
    <w:rsid w:val="6781563F"/>
    <w:rsid w:val="67E711B3"/>
    <w:rsid w:val="67EF4222"/>
    <w:rsid w:val="68A00D7C"/>
    <w:rsid w:val="6A260A0B"/>
    <w:rsid w:val="6C99522C"/>
    <w:rsid w:val="6DFD2406"/>
    <w:rsid w:val="6FAD93E9"/>
    <w:rsid w:val="705A348D"/>
    <w:rsid w:val="71C66664"/>
    <w:rsid w:val="733C129F"/>
    <w:rsid w:val="735219F9"/>
    <w:rsid w:val="75C0563E"/>
    <w:rsid w:val="75C42456"/>
    <w:rsid w:val="7647462F"/>
    <w:rsid w:val="78174088"/>
    <w:rsid w:val="78193072"/>
    <w:rsid w:val="7C26236B"/>
    <w:rsid w:val="7D0F7FF6"/>
    <w:rsid w:val="7D8D40F5"/>
    <w:rsid w:val="7DF764EE"/>
    <w:rsid w:val="7F33717E"/>
    <w:rsid w:val="7F9E1670"/>
    <w:rsid w:val="7FDE261C"/>
    <w:rsid w:val="7FF64108"/>
    <w:rsid w:val="85875F1C"/>
    <w:rsid w:val="BF9CEE65"/>
    <w:rsid w:val="DF26F7A9"/>
    <w:rsid w:val="DFB77028"/>
    <w:rsid w:val="DFEFFE76"/>
    <w:rsid w:val="EFFF0D2E"/>
    <w:rsid w:val="FEFF3D82"/>
    <w:rsid w:val="FFFEB5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link w:val="14"/>
    <w:qFormat/>
    <w:uiPriority w:val="0"/>
    <w:pPr>
      <w:keepNext w:val="0"/>
      <w:keepLines w:val="0"/>
      <w:spacing w:beforeLines="0" w:beforeAutospacing="0" w:afterLines="0" w:afterAutospacing="0" w:line="240" w:lineRule="auto"/>
      <w:outlineLvl w:val="2"/>
    </w:pPr>
    <w:rPr>
      <w:rFonts w:eastAsia="方正楷体_GBK"/>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 w:val="32"/>
      <w:szCs w:val="32"/>
    </w:rPr>
  </w:style>
  <w:style w:type="paragraph" w:styleId="3">
    <w:name w:val="toc 5"/>
    <w:basedOn w:val="1"/>
    <w:next w:val="1"/>
    <w:qFormat/>
    <w:uiPriority w:val="0"/>
    <w:pPr>
      <w:ind w:left="1680" w:leftChars="800"/>
    </w:pPr>
    <w:rPr>
      <w:rFonts w:ascii="Times New Roman" w:hAnsi="Times New Roman" w:eastAsia="方正仿宋_GBK"/>
      <w:sz w:val="32"/>
    </w:rPr>
  </w:style>
  <w:style w:type="paragraph" w:styleId="5">
    <w:name w:val="Normal Indent"/>
    <w:basedOn w:val="1"/>
    <w:next w:val="1"/>
    <w:qFormat/>
    <w:uiPriority w:val="0"/>
    <w:pPr>
      <w:spacing w:line="540" w:lineRule="exact"/>
      <w:ind w:firstLine="20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Autospacing="1" w:after="100" w:afterAutospacing="1"/>
      <w:jc w:val="left"/>
    </w:pPr>
    <w:rPr>
      <w:rFonts w:hint="eastAsia" w:ascii="宋体" w:hAnsi="宋体"/>
      <w:kern w:val="0"/>
      <w:sz w:val="24"/>
    </w:rPr>
  </w:style>
  <w:style w:type="character" w:styleId="11">
    <w:name w:val="Strong"/>
    <w:basedOn w:val="10"/>
    <w:qFormat/>
    <w:uiPriority w:val="22"/>
    <w:rPr>
      <w:b/>
    </w:rPr>
  </w:style>
  <w:style w:type="paragraph" w:customStyle="1" w:styleId="12">
    <w:name w:val="默认"/>
    <w:qFormat/>
    <w:uiPriority w:val="0"/>
    <w:rPr>
      <w:rFonts w:ascii="Helvetica" w:hAnsi="Helvetica" w:eastAsia="Helvetica" w:cs="Times New Roman"/>
      <w:color w:val="000000"/>
      <w:sz w:val="22"/>
      <w:szCs w:val="22"/>
      <w:lang w:val="en-US" w:eastAsia="zh-CN" w:bidi="ar-SA"/>
    </w:rPr>
  </w:style>
  <w:style w:type="paragraph" w:customStyle="1" w:styleId="13">
    <w:name w:val="列表段落1"/>
    <w:basedOn w:val="1"/>
    <w:qFormat/>
    <w:uiPriority w:val="34"/>
    <w:pPr>
      <w:ind w:firstLine="420" w:firstLineChars="200"/>
    </w:pPr>
  </w:style>
  <w:style w:type="character" w:customStyle="1" w:styleId="14">
    <w:name w:val="标题 3 Char"/>
    <w:link w:val="4"/>
    <w:qFormat/>
    <w:uiPriority w:val="0"/>
    <w:rPr>
      <w:rFonts w:eastAsia="方正楷体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4126</Words>
  <Characters>4227</Characters>
  <Lines>32</Lines>
  <Paragraphs>9</Paragraphs>
  <TotalTime>21</TotalTime>
  <ScaleCrop>false</ScaleCrop>
  <LinksUpToDate>false</LinksUpToDate>
  <CharactersWithSpaces>4272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2023-11-16T06:04:00Z</dcterms:created>
  <dc:creator>Administrator</dc:creator>
  <cp:lastModifiedBy>haier</cp:lastModifiedBy>
  <dcterms:modified xsi:type="dcterms:W3CDTF">2025-06-04T10:28:05Z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1EED2D0502BC475590CD325144442E8B_13</vt:lpwstr>
  </property>
  <property fmtid="{D5CDD505-2E9C-101B-9397-08002B2CF9AE}" pid="4" name="KSOTemplateDocerSaveRecord">
    <vt:lpwstr>eyJoZGlkIjoiODMwOTNkZDc2ZDJmZjc4YWYzZTMwNzY5ZWZmOWUyNGUifQ==</vt:lpwstr>
  </property>
</Properties>
</file>