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napToGrid w:val="0"/>
        <w:spacing w:line="520" w:lineRule="exact"/>
        <w:rPr>
          <w:rFonts w:hint="default" w:ascii="方正黑体_GBK" w:hAnsi="方正黑体_GBK" w:eastAsia="方正黑体_GBK" w:cs="方正黑体_GBK"/>
          <w:bCs/>
          <w:color w:val="auto"/>
          <w:szCs w:val="32"/>
          <w:lang w:val="en-US" w:eastAsia="zh-CN"/>
        </w:rPr>
      </w:pPr>
      <w:r>
        <w:rPr>
          <w:rFonts w:hint="eastAsia" w:ascii="方正黑体_GBK" w:hAnsi="方正黑体_GBK" w:eastAsia="方正黑体_GBK" w:cs="方正黑体_GBK"/>
          <w:bCs/>
          <w:color w:val="auto"/>
          <w:szCs w:val="32"/>
          <w:lang w:eastAsia="zh-CN"/>
        </w:rPr>
        <w:t>附件</w:t>
      </w:r>
      <w:r>
        <w:rPr>
          <w:rFonts w:hint="eastAsia" w:ascii="方正黑体_GBK" w:hAnsi="方正黑体_GBK" w:eastAsia="方正黑体_GBK" w:cs="方正黑体_GBK"/>
          <w:bCs/>
          <w:color w:val="auto"/>
          <w:szCs w:val="32"/>
          <w:lang w:val="en-US" w:eastAsia="zh-CN"/>
        </w:rPr>
        <w:t>13</w:t>
      </w:r>
    </w:p>
    <w:p>
      <w:pPr>
        <w:tabs>
          <w:tab w:val="left" w:pos="7560"/>
        </w:tabs>
        <w:snapToGrid w:val="0"/>
        <w:spacing w:line="520" w:lineRule="exact"/>
        <w:ind w:firstLine="880" w:firstLineChars="200"/>
        <w:jc w:val="center"/>
        <w:outlineLvl w:val="0"/>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农村危房改造备案书</w:t>
      </w:r>
    </w:p>
    <w:tbl>
      <w:tblPr>
        <w:tblStyle w:val="4"/>
        <w:tblW w:w="9155" w:type="dxa"/>
        <w:tblInd w:w="0" w:type="dxa"/>
        <w:tblLayout w:type="fixed"/>
        <w:tblCellMar>
          <w:top w:w="0" w:type="dxa"/>
          <w:left w:w="0" w:type="dxa"/>
          <w:bottom w:w="0" w:type="dxa"/>
          <w:right w:w="0" w:type="dxa"/>
        </w:tblCellMar>
      </w:tblPr>
      <w:tblGrid>
        <w:gridCol w:w="1805"/>
        <w:gridCol w:w="1898"/>
        <w:gridCol w:w="1950"/>
        <w:gridCol w:w="3502"/>
      </w:tblGrid>
      <w:tr>
        <w:tblPrEx>
          <w:tblLayout w:type="fixed"/>
          <w:tblCellMar>
            <w:top w:w="0" w:type="dxa"/>
            <w:left w:w="0" w:type="dxa"/>
            <w:bottom w:w="0" w:type="dxa"/>
            <w:right w:w="0" w:type="dxa"/>
          </w:tblCellMar>
        </w:tblPrEx>
        <w:trPr>
          <w:trHeight w:val="600" w:hRule="atLeast"/>
        </w:trPr>
        <w:tc>
          <w:tcPr>
            <w:tcW w:w="915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方正黑体_GBK" w:hAnsi="方正黑体_GBK" w:eastAsia="方正黑体_GBK" w:cs="方正黑体_GBK"/>
                <w:i w:val="0"/>
                <w:color w:val="auto"/>
                <w:sz w:val="22"/>
                <w:szCs w:val="22"/>
                <w:u w:val="none"/>
              </w:rPr>
            </w:pPr>
            <w:r>
              <w:rPr>
                <w:rFonts w:hint="eastAsia" w:ascii="方正黑体_GBK" w:hAnsi="方正黑体_GBK" w:eastAsia="方正黑体_GBK" w:cs="方正黑体_GBK"/>
                <w:i w:val="0"/>
                <w:color w:val="auto"/>
                <w:kern w:val="0"/>
                <w:sz w:val="22"/>
                <w:szCs w:val="22"/>
                <w:u w:val="none"/>
                <w:lang w:val="en-US" w:eastAsia="zh-CN" w:bidi="ar"/>
              </w:rPr>
              <w:t>一、危房改造户基本情况</w:t>
            </w:r>
          </w:p>
        </w:tc>
      </w:tr>
      <w:tr>
        <w:tblPrEx>
          <w:tblLayout w:type="fixed"/>
          <w:tblCellMar>
            <w:top w:w="0" w:type="dxa"/>
            <w:left w:w="0" w:type="dxa"/>
            <w:bottom w:w="0" w:type="dxa"/>
            <w:right w:w="0" w:type="dxa"/>
          </w:tblCellMar>
        </w:tblPrEx>
        <w:trPr>
          <w:trHeight w:val="659" w:hRule="atLeast"/>
        </w:trPr>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户主姓名</w:t>
            </w:r>
          </w:p>
        </w:tc>
        <w:tc>
          <w:tcPr>
            <w:tcW w:w="1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农村低收入群体类型</w:t>
            </w:r>
          </w:p>
        </w:tc>
        <w:tc>
          <w:tcPr>
            <w:tcW w:w="3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 w:hAnsi="仿宋" w:eastAsia="仿宋" w:cs="仿宋"/>
                <w:i w:val="0"/>
                <w:color w:val="auto"/>
                <w:sz w:val="28"/>
                <w:szCs w:val="28"/>
                <w:u w:val="none"/>
              </w:rPr>
            </w:pPr>
          </w:p>
        </w:tc>
      </w:tr>
      <w:tr>
        <w:tblPrEx>
          <w:tblLayout w:type="fixed"/>
          <w:tblCellMar>
            <w:top w:w="0" w:type="dxa"/>
            <w:left w:w="0" w:type="dxa"/>
            <w:bottom w:w="0" w:type="dxa"/>
            <w:right w:w="0" w:type="dxa"/>
          </w:tblCellMar>
        </w:tblPrEx>
        <w:trPr>
          <w:trHeight w:val="659" w:hRule="atLeast"/>
        </w:trPr>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房屋等级</w:t>
            </w:r>
          </w:p>
        </w:tc>
        <w:tc>
          <w:tcPr>
            <w:tcW w:w="1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是否为无房户</w:t>
            </w:r>
          </w:p>
        </w:tc>
        <w:tc>
          <w:tcPr>
            <w:tcW w:w="3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r>
      <w:tr>
        <w:tblPrEx>
          <w:tblLayout w:type="fixed"/>
          <w:tblCellMar>
            <w:top w:w="0" w:type="dxa"/>
            <w:left w:w="0" w:type="dxa"/>
            <w:bottom w:w="0" w:type="dxa"/>
            <w:right w:w="0" w:type="dxa"/>
          </w:tblCellMar>
        </w:tblPrEx>
        <w:trPr>
          <w:trHeight w:val="673" w:hRule="atLeast"/>
        </w:trPr>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改造方式</w:t>
            </w:r>
          </w:p>
        </w:tc>
        <w:tc>
          <w:tcPr>
            <w:tcW w:w="1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改造时间</w:t>
            </w:r>
          </w:p>
        </w:tc>
        <w:tc>
          <w:tcPr>
            <w:tcW w:w="3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r>
      <w:tr>
        <w:tblPrEx>
          <w:tblLayout w:type="fixed"/>
          <w:tblCellMar>
            <w:top w:w="0" w:type="dxa"/>
            <w:left w:w="0" w:type="dxa"/>
            <w:bottom w:w="0" w:type="dxa"/>
            <w:right w:w="0" w:type="dxa"/>
          </w:tblCellMar>
        </w:tblPrEx>
        <w:trPr>
          <w:trHeight w:val="687" w:hRule="atLeast"/>
        </w:trPr>
        <w:tc>
          <w:tcPr>
            <w:tcW w:w="915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黑体_GBK" w:hAnsi="方正黑体_GBK" w:eastAsia="方正黑体_GBK" w:cs="方正黑体_GBK"/>
                <w:i w:val="0"/>
                <w:color w:val="auto"/>
                <w:sz w:val="22"/>
                <w:szCs w:val="22"/>
                <w:u w:val="none"/>
              </w:rPr>
            </w:pPr>
            <w:r>
              <w:rPr>
                <w:rFonts w:hint="eastAsia" w:ascii="方正黑体_GBK" w:hAnsi="方正黑体_GBK" w:eastAsia="方正黑体_GBK" w:cs="方正黑体_GBK"/>
                <w:i w:val="0"/>
                <w:color w:val="auto"/>
                <w:kern w:val="0"/>
                <w:sz w:val="22"/>
                <w:szCs w:val="22"/>
                <w:u w:val="none"/>
                <w:lang w:val="en-US" w:eastAsia="zh-CN" w:bidi="ar"/>
              </w:rPr>
              <w:t>二、改造后房屋安全性认定信息</w:t>
            </w:r>
          </w:p>
        </w:tc>
      </w:tr>
      <w:tr>
        <w:tblPrEx>
          <w:tblLayout w:type="fixed"/>
          <w:tblCellMar>
            <w:top w:w="0" w:type="dxa"/>
            <w:left w:w="0" w:type="dxa"/>
            <w:bottom w:w="0" w:type="dxa"/>
            <w:right w:w="0" w:type="dxa"/>
          </w:tblCellMar>
        </w:tblPrEx>
        <w:trPr>
          <w:trHeight w:val="829" w:hRule="atLeast"/>
        </w:trPr>
        <w:tc>
          <w:tcPr>
            <w:tcW w:w="37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认定人员</w:t>
            </w:r>
          </w:p>
        </w:tc>
        <w:tc>
          <w:tcPr>
            <w:tcW w:w="54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2"/>
                <w:szCs w:val="22"/>
                <w:u w:val="none"/>
              </w:rPr>
            </w:pPr>
          </w:p>
          <w:p>
            <w:pPr>
              <w:jc w:val="cente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796" w:hRule="atLeast"/>
        </w:trPr>
        <w:tc>
          <w:tcPr>
            <w:tcW w:w="915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黑体_GBK" w:hAnsi="方正黑体_GBK" w:eastAsia="方正黑体_GBK" w:cs="方正黑体_GBK"/>
                <w:i w:val="0"/>
                <w:color w:val="auto"/>
                <w:sz w:val="22"/>
                <w:szCs w:val="22"/>
                <w:u w:val="none"/>
              </w:rPr>
            </w:pPr>
            <w:r>
              <w:rPr>
                <w:rFonts w:hint="eastAsia" w:ascii="方正黑体_GBK" w:hAnsi="方正黑体_GBK" w:eastAsia="方正黑体_GBK" w:cs="方正黑体_GBK"/>
                <w:i w:val="0"/>
                <w:color w:val="auto"/>
                <w:kern w:val="0"/>
                <w:sz w:val="22"/>
                <w:szCs w:val="22"/>
                <w:u w:val="none"/>
                <w:lang w:val="en-US" w:eastAsia="zh-CN" w:bidi="ar"/>
              </w:rPr>
              <w:t>三、竣工验收人员信息</w:t>
            </w:r>
          </w:p>
        </w:tc>
      </w:tr>
      <w:tr>
        <w:tblPrEx>
          <w:tblLayout w:type="fixed"/>
          <w:tblCellMar>
            <w:top w:w="0" w:type="dxa"/>
            <w:left w:w="0" w:type="dxa"/>
            <w:bottom w:w="0" w:type="dxa"/>
            <w:right w:w="0" w:type="dxa"/>
          </w:tblCellMar>
        </w:tblPrEx>
        <w:trPr>
          <w:trHeight w:val="1228" w:hRule="atLeast"/>
        </w:trPr>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乡镇政府</w:t>
            </w:r>
          </w:p>
        </w:tc>
        <w:tc>
          <w:tcPr>
            <w:tcW w:w="1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村委会</w:t>
            </w:r>
          </w:p>
        </w:tc>
        <w:tc>
          <w:tcPr>
            <w:tcW w:w="3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r>
      <w:tr>
        <w:tblPrEx>
          <w:tblLayout w:type="fixed"/>
          <w:tblCellMar>
            <w:top w:w="0" w:type="dxa"/>
            <w:left w:w="0" w:type="dxa"/>
            <w:bottom w:w="0" w:type="dxa"/>
            <w:right w:w="0" w:type="dxa"/>
          </w:tblCellMar>
        </w:tblPrEx>
        <w:trPr>
          <w:trHeight w:val="1051" w:hRule="atLeast"/>
        </w:trPr>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区县城乡建委</w:t>
            </w:r>
          </w:p>
        </w:tc>
        <w:tc>
          <w:tcPr>
            <w:tcW w:w="1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承建人</w:t>
            </w:r>
          </w:p>
        </w:tc>
        <w:tc>
          <w:tcPr>
            <w:tcW w:w="35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r>
      <w:tr>
        <w:tblPrEx>
          <w:tblLayout w:type="fixed"/>
          <w:tblCellMar>
            <w:top w:w="0" w:type="dxa"/>
            <w:left w:w="0" w:type="dxa"/>
            <w:bottom w:w="0" w:type="dxa"/>
            <w:right w:w="0" w:type="dxa"/>
          </w:tblCellMar>
        </w:tblPrEx>
        <w:trPr>
          <w:trHeight w:val="943" w:hRule="atLeast"/>
        </w:trPr>
        <w:tc>
          <w:tcPr>
            <w:tcW w:w="1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竣工验收时间</w:t>
            </w:r>
          </w:p>
        </w:tc>
        <w:tc>
          <w:tcPr>
            <w:tcW w:w="73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r>
    </w:tbl>
    <w:p>
      <w:pPr>
        <w:tabs>
          <w:tab w:val="left" w:pos="7560"/>
        </w:tabs>
        <w:snapToGrid w:val="0"/>
        <w:spacing w:line="520" w:lineRule="exact"/>
        <w:ind w:firstLine="640" w:firstLineChars="200"/>
        <w:rPr>
          <w:rFonts w:hint="eastAsia" w:ascii="方正仿宋_GBK"/>
          <w:bCs/>
          <w:color w:val="auto"/>
          <w:szCs w:val="32"/>
          <w:lang w:eastAsia="zh-CN"/>
        </w:rPr>
      </w:pPr>
      <w:r>
        <w:rPr>
          <w:rFonts w:hint="eastAsia" w:ascii="方正仿宋_GBK"/>
          <w:bCs/>
          <w:color w:val="auto"/>
          <w:szCs w:val="32"/>
          <w:lang w:eastAsia="zh-CN"/>
        </w:rPr>
        <w:t>说明：</w:t>
      </w:r>
    </w:p>
    <w:p>
      <w:pPr>
        <w:tabs>
          <w:tab w:val="left" w:pos="7560"/>
        </w:tabs>
        <w:snapToGrid w:val="0"/>
        <w:spacing w:line="520" w:lineRule="exact"/>
        <w:ind w:firstLine="640" w:firstLineChars="200"/>
        <w:outlineLvl w:val="0"/>
        <w:rPr>
          <w:rFonts w:hint="eastAsia" w:ascii="方正仿宋_GBK"/>
          <w:bCs/>
          <w:color w:val="auto"/>
          <w:szCs w:val="32"/>
          <w:lang w:eastAsia="zh-CN"/>
        </w:rPr>
      </w:pPr>
      <w:r>
        <w:rPr>
          <w:rFonts w:hint="eastAsia" w:ascii="方正仿宋_GBK"/>
          <w:bCs/>
          <w:color w:val="auto"/>
          <w:szCs w:val="32"/>
          <w:lang w:eastAsia="zh-CN"/>
        </w:rPr>
        <w:t>1．农村低收入类型：农村易返贫致贫户 、农村分散供养特困人员、低保户、因病因灾因意外事故等刚性支出较大或收入大幅缩减导致基本生活出现严重困难家庭、农村低保边缘家庭、未享受过农村住房保障政策支持且依靠自身力量无法解决住房安全问题的其他脱贫户；</w:t>
      </w:r>
    </w:p>
    <w:p>
      <w:pPr>
        <w:tabs>
          <w:tab w:val="left" w:pos="7560"/>
        </w:tabs>
        <w:snapToGrid w:val="0"/>
        <w:spacing w:line="520" w:lineRule="exact"/>
        <w:ind w:firstLine="640" w:firstLineChars="200"/>
        <w:outlineLvl w:val="0"/>
        <w:rPr>
          <w:rFonts w:hint="eastAsia" w:ascii="方正仿宋_GBK" w:eastAsia="方正仿宋_GBK"/>
          <w:bCs/>
          <w:color w:val="auto"/>
          <w:szCs w:val="32"/>
        </w:rPr>
      </w:pPr>
      <w:r>
        <w:rPr>
          <w:rFonts w:hint="eastAsia" w:ascii="方正仿宋_GBK" w:eastAsia="方正仿宋_GBK"/>
          <w:bCs/>
          <w:color w:val="auto"/>
          <w:szCs w:val="32"/>
        </w:rPr>
        <w:t>2</w:t>
      </w:r>
      <w:r>
        <w:rPr>
          <w:rFonts w:hint="eastAsia" w:ascii="方正仿宋_GBK"/>
          <w:bCs/>
          <w:color w:val="auto"/>
          <w:szCs w:val="32"/>
          <w:lang w:eastAsia="zh-CN"/>
        </w:rPr>
        <w:t>．</w:t>
      </w:r>
      <w:r>
        <w:rPr>
          <w:rFonts w:hint="eastAsia" w:ascii="方正仿宋_GBK" w:eastAsia="方正仿宋_GBK"/>
          <w:bCs/>
          <w:color w:val="auto"/>
          <w:szCs w:val="32"/>
        </w:rPr>
        <w:t>改造方式：原址重建、异地新建、加固改造</w:t>
      </w:r>
      <w:r>
        <w:rPr>
          <w:rFonts w:hint="eastAsia" w:ascii="方正仿宋_GBK"/>
          <w:bCs/>
          <w:color w:val="auto"/>
          <w:szCs w:val="32"/>
          <w:lang w:eastAsia="zh-CN"/>
        </w:rPr>
        <w:t>、租赁、置换</w:t>
      </w:r>
      <w:r>
        <w:rPr>
          <w:rFonts w:hint="eastAsia" w:ascii="方正仿宋_GBK" w:eastAsia="方正仿宋_GBK"/>
          <w:bCs/>
          <w:color w:val="auto"/>
          <w:szCs w:val="32"/>
        </w:rPr>
        <w:t>；</w:t>
      </w:r>
    </w:p>
    <w:p>
      <w:pPr>
        <w:tabs>
          <w:tab w:val="left" w:pos="7560"/>
        </w:tabs>
        <w:snapToGrid w:val="0"/>
        <w:spacing w:line="520" w:lineRule="exact"/>
        <w:ind w:firstLine="640" w:firstLineChars="200"/>
        <w:outlineLvl w:val="0"/>
        <w:rPr>
          <w:rFonts w:hint="eastAsia" w:ascii="方正仿宋_GBK" w:eastAsia="方正仿宋_GBK"/>
          <w:bCs/>
          <w:color w:val="auto"/>
          <w:szCs w:val="32"/>
        </w:rPr>
      </w:pPr>
      <w:r>
        <w:rPr>
          <w:rFonts w:hint="eastAsia" w:ascii="方正仿宋_GBK" w:eastAsia="方正仿宋_GBK"/>
          <w:bCs/>
          <w:color w:val="auto"/>
          <w:szCs w:val="32"/>
        </w:rPr>
        <w:t>3</w:t>
      </w:r>
      <w:r>
        <w:rPr>
          <w:rFonts w:hint="eastAsia" w:ascii="方正仿宋_GBK"/>
          <w:bCs/>
          <w:color w:val="auto"/>
          <w:szCs w:val="32"/>
          <w:lang w:eastAsia="zh-CN"/>
        </w:rPr>
        <w:t>．房屋</w:t>
      </w:r>
      <w:r>
        <w:rPr>
          <w:rFonts w:hint="eastAsia" w:ascii="方正仿宋_GBK" w:eastAsia="方正仿宋_GBK"/>
          <w:bCs/>
          <w:color w:val="auto"/>
          <w:szCs w:val="32"/>
        </w:rPr>
        <w:t>等级：C级、D级</w:t>
      </w:r>
      <w:r>
        <w:rPr>
          <w:rFonts w:hint="eastAsia" w:ascii="方正仿宋_GBK"/>
          <w:bCs/>
          <w:color w:val="auto"/>
          <w:szCs w:val="32"/>
          <w:lang w:eastAsia="zh-CN"/>
        </w:rPr>
        <w:t>、无房户</w:t>
      </w:r>
      <w:r>
        <w:rPr>
          <w:rFonts w:hint="eastAsia" w:ascii="方正仿宋_GBK" w:eastAsia="方正仿宋_GBK"/>
          <w:bCs/>
          <w:color w:val="auto"/>
          <w:szCs w:val="32"/>
        </w:rPr>
        <w:t>；</w:t>
      </w:r>
    </w:p>
    <w:p>
      <w:pPr>
        <w:tabs>
          <w:tab w:val="left" w:pos="7560"/>
        </w:tabs>
        <w:snapToGrid w:val="0"/>
        <w:spacing w:line="520" w:lineRule="exact"/>
        <w:ind w:firstLine="640" w:firstLineChars="200"/>
        <w:outlineLvl w:val="0"/>
        <w:rPr>
          <w:rFonts w:hint="eastAsia" w:ascii="方正仿宋_GBK" w:eastAsia="方正仿宋_GBK"/>
          <w:bCs/>
          <w:color w:val="auto"/>
          <w:szCs w:val="32"/>
        </w:rPr>
      </w:pPr>
      <w:r>
        <w:rPr>
          <w:rFonts w:hint="eastAsia" w:ascii="方正仿宋_GBK" w:eastAsia="方正仿宋_GBK"/>
          <w:bCs/>
          <w:color w:val="auto"/>
          <w:szCs w:val="32"/>
        </w:rPr>
        <w:t>4</w:t>
      </w:r>
      <w:r>
        <w:rPr>
          <w:rFonts w:hint="eastAsia" w:ascii="方正仿宋_GBK"/>
          <w:bCs/>
          <w:color w:val="auto"/>
          <w:szCs w:val="32"/>
          <w:lang w:eastAsia="zh-CN"/>
        </w:rPr>
        <w:t>．</w:t>
      </w:r>
      <w:r>
        <w:rPr>
          <w:rFonts w:hint="eastAsia" w:ascii="方正仿宋_GBK" w:eastAsia="方正仿宋_GBK"/>
          <w:bCs/>
          <w:color w:val="auto"/>
          <w:szCs w:val="32"/>
        </w:rPr>
        <w:t>承建人为经培训合格的建筑工匠或建筑施工企业；</w:t>
      </w:r>
    </w:p>
    <w:p>
      <w:pPr>
        <w:tabs>
          <w:tab w:val="left" w:pos="7560"/>
        </w:tabs>
        <w:snapToGrid w:val="0"/>
        <w:spacing w:line="520" w:lineRule="exact"/>
        <w:ind w:firstLine="640" w:firstLineChars="200"/>
        <w:outlineLvl w:val="0"/>
      </w:pPr>
      <w:r>
        <w:rPr>
          <w:rFonts w:hint="eastAsia" w:ascii="方正仿宋_GBK" w:eastAsia="方正仿宋_GBK"/>
          <w:bCs/>
          <w:color w:val="auto"/>
          <w:szCs w:val="32"/>
        </w:rPr>
        <w:t>5</w:t>
      </w:r>
      <w:r>
        <w:rPr>
          <w:rFonts w:hint="eastAsia" w:ascii="方正仿宋_GBK"/>
          <w:bCs/>
          <w:color w:val="auto"/>
          <w:szCs w:val="32"/>
          <w:lang w:eastAsia="zh-CN"/>
        </w:rPr>
        <w:t>．</w:t>
      </w:r>
      <w:r>
        <w:rPr>
          <w:rFonts w:hint="eastAsia" w:ascii="方正仿宋_GBK" w:eastAsia="方正仿宋_GBK"/>
          <w:bCs/>
          <w:color w:val="auto"/>
          <w:szCs w:val="32"/>
        </w:rPr>
        <w:t>此备案书作为危房改造后房屋安全性认定的基本依据</w:t>
      </w:r>
      <w:r>
        <w:rPr>
          <w:rFonts w:hint="eastAsia" w:ascii="方正仿宋_GBK"/>
          <w:bCs/>
          <w:color w:val="auto"/>
          <w:szCs w:val="32"/>
          <w:lang w:eastAsia="zh-CN"/>
        </w:rPr>
        <w:t>。</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rPr>
        <w:rStyle w:val="7"/>
        <w:rFonts w:hint="eastAsia" w:ascii="宋体" w:hAnsi="宋体" w:eastAsia="宋体"/>
        <w:sz w:val="28"/>
        <w:szCs w:val="28"/>
      </w:rPr>
    </w:pPr>
  </w:p>
  <w:p>
    <w:pPr>
      <w:pStyle w:val="2"/>
      <w:ind w:right="360" w:firstLine="360"/>
    </w:pPr>
    <w:r>
      <w:rPr>
        <w:sz w:val="28"/>
      </w:rPr>
      <mc:AlternateContent>
        <mc:Choice Requires="wps">
          <w:drawing>
            <wp:anchor distT="0" distB="0" distL="114300" distR="114300" simplePos="0" relativeHeight="251670528" behindDoc="0" locked="0" layoutInCell="1" allowOverlap="1">
              <wp:simplePos x="0" y="0"/>
              <wp:positionH relativeFrom="margin">
                <wp:posOffset>4598670</wp:posOffset>
              </wp:positionH>
              <wp:positionV relativeFrom="paragraph">
                <wp:posOffset>332740</wp:posOffset>
              </wp:positionV>
              <wp:extent cx="1017905" cy="4521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7905" cy="452120"/>
                      </a:xfrm>
                      <a:prstGeom prst="rect">
                        <a:avLst/>
                      </a:prstGeom>
                      <a:noFill/>
                      <a:ln w="15875">
                        <a:noFill/>
                      </a:ln>
                    </wps:spPr>
                    <wps:txbx>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wps:txbx>
                    <wps:bodyPr lIns="0" tIns="0" rIns="0" bIns="0" upright="0"/>
                  </wps:wsp>
                </a:graphicData>
              </a:graphic>
            </wp:anchor>
          </w:drawing>
        </mc:Choice>
        <mc:Fallback>
          <w:pict>
            <v:shape id="_x0000_s1026" o:spid="_x0000_s1026" o:spt="202" type="#_x0000_t202" style="position:absolute;left:0pt;margin-left:362.1pt;margin-top:26.2pt;height:35.6pt;width:80.15pt;mso-position-horizontal-relative:margin;z-index:251670528;mso-width-relative:page;mso-height-relative:page;" filled="f" stroked="f" coordsize="21600,21600" o:gfxdata="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CBpx12QAAAAoB&#10;AAAPAAAAAAAAAAEAIAAAACIAAABkcnMvZG93bnJldi54bWxQSwECFAAUAAAACACHTuJAAwabSKgB&#10;AAAuAwAADgAAAAAAAAABACAAAAAoAQAAZHJzL2Uyb0RvYy54bWxQSwUGAAAAAAYABgBZAQAAQgUA&#10;AAAA&#10;">
              <v:fill on="f" focussize="0,0"/>
              <v:stroke on="f" weight="1.25pt"/>
              <v:imagedata o:title=""/>
              <o:lock v:ext="edit" aspectratio="f"/>
              <v:textbox inset="0mm,0mm,0mm,0mm">
                <w:txbxContent>
                  <w:p>
                    <w:pPr>
                      <w:snapToGrid w:val="0"/>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posOffset>2332355</wp:posOffset>
              </wp:positionH>
              <wp:positionV relativeFrom="paragraph">
                <wp:posOffset>676275</wp:posOffset>
              </wp:positionV>
              <wp:extent cx="969645" cy="4114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69645" cy="411480"/>
                      </a:xfrm>
                      <a:prstGeom prst="rect">
                        <a:avLst/>
                      </a:prstGeom>
                      <a:noFill/>
                      <a:ln>
                        <a:noFill/>
                      </a:ln>
                    </wps:spPr>
                    <wps:txbx>
                      <w:txbxContent>
                        <w:p>
                          <w:pPr>
                            <w:snapToGrid w:val="0"/>
                            <w:rPr>
                              <w:rFonts w:hint="eastAsia" w:eastAsia="方正仿宋_GBK"/>
                              <w:sz w:val="18"/>
                              <w:lang w:eastAsia="zh-CN"/>
                            </w:rPr>
                          </w:pPr>
                        </w:p>
                      </w:txbxContent>
                    </wps:txbx>
                    <wps:bodyPr lIns="0" tIns="0" rIns="0" bIns="0" upright="0"/>
                  </wps:wsp>
                </a:graphicData>
              </a:graphic>
            </wp:anchor>
          </w:drawing>
        </mc:Choice>
        <mc:Fallback>
          <w:pict>
            <v:shape id="_x0000_s1026" o:spid="_x0000_s1026" o:spt="202" type="#_x0000_t202" style="position:absolute;left:0pt;margin-left:183.65pt;margin-top:53.25pt;height:32.4pt;width:76.35pt;mso-position-horizontal-relative:margin;z-index:251658240;mso-width-relative:page;mso-height-relative:page;" filled="f" stroked="f" coordsize="21600,21600" o:gfxdata="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wtT+42AAAAAsBAAAPAAAAAAAA&#10;AAEAIAAAACIAAABkcnMvZG93bnJldi54bWxQSwECFAAUAAAACACHTuJAdk9K86ABAAAjAwAADgAA&#10;AAAAAAABACAAAAAnAQAAZHJzL2Uyb0RvYy54bWxQSwUGAAAAAAYABgBZAQAAOQUAAAAA&#10;">
              <v:fill on="f" focussize="0,0"/>
              <v:stroke on="f"/>
              <v:imagedata o:title=""/>
              <o:lock v:ext="edit" aspectratio="f"/>
              <v:textbox inset="0mm,0mm,0mm,0mm">
                <w:txbxContent>
                  <w:p>
                    <w:pPr>
                      <w:snapToGrid w:val="0"/>
                      <w:rPr>
                        <w:rFonts w:hint="eastAsia" w:eastAsia="方正仿宋_GBK"/>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57B07"/>
    <w:rsid w:val="01821B37"/>
    <w:rsid w:val="18982401"/>
    <w:rsid w:val="3B4D0E07"/>
    <w:rsid w:val="3BD92CE7"/>
    <w:rsid w:val="74457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方正仿宋_GBK" w:cs="Times New Roman"/>
      <w:kern w:val="2"/>
      <w:sz w:val="32"/>
      <w:lang w:val="en-US" w:eastAsia="zh-CN" w:bidi="ar-SA"/>
    </w:rPr>
  </w:style>
  <w:style w:type="character" w:default="1" w:styleId="5">
    <w:name w:val="Default Paragraph Font"/>
    <w:link w:val="6"/>
    <w:semiHidden/>
    <w:uiPriority w:val="0"/>
    <w:rPr>
      <w:rFonts w:eastAsia="方正仿宋_GBK"/>
      <w:szCs w:val="20"/>
    </w:rPr>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6">
    <w:name w:val="_Style 22"/>
    <w:basedOn w:val="1"/>
    <w:link w:val="5"/>
    <w:qFormat/>
    <w:uiPriority w:val="0"/>
    <w:pPr>
      <w:spacing w:after="160" w:line="240" w:lineRule="exact"/>
    </w:pPr>
    <w:rPr>
      <w:rFonts w:eastAsia="方正仿宋_GBK"/>
      <w:szCs w:val="20"/>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2021-05-31T08:21:00Z</dcterms:created>
  <dc:creator>Administrator</dc:creator>
  <cp:lastModifiedBy>江计就计</cp:lastModifiedBy>
  <dcterms:modified xsi:type="dcterms:W3CDTF">2021-06-04T03:05:33Z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