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重庆市荣昌区人民政府办公室</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关于印发荣昌区加快推进企业上市（挂牌）</w:t>
      </w:r>
    </w:p>
    <w:p>
      <w:pPr>
        <w:keepNext w:val="0"/>
        <w:keepLines w:val="0"/>
        <w:pageBreakBefore w:val="0"/>
        <w:widowControl w:val="0"/>
        <w:kinsoku/>
        <w:wordWrap/>
        <w:overflowPunct/>
        <w:topLinePunct w:val="0"/>
        <w:autoSpaceDE/>
        <w:autoSpaceDN/>
        <w:bidi w:val="0"/>
        <w:adjustRightInd/>
        <w:snapToGrid w:val="0"/>
        <w:spacing w:line="54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工作实施方案的通知</w:t>
      </w:r>
    </w:p>
    <w:p>
      <w:pPr>
        <w:keepNext w:val="0"/>
        <w:keepLines w:val="0"/>
        <w:pageBreakBefore w:val="0"/>
        <w:kinsoku/>
        <w:overflowPunct/>
        <w:topLinePunct w:val="0"/>
        <w:autoSpaceDE/>
        <w:autoSpaceDN/>
        <w:bidi w:val="0"/>
        <w:adjustRightInd/>
        <w:spacing w:line="600" w:lineRule="exact"/>
        <w:ind w:left="320" w:leftChars="100" w:right="320" w:rightChars="100"/>
        <w:jc w:val="center"/>
        <w:textAlignment w:val="auto"/>
        <w:rPr>
          <w:rFonts w:hint="eastAsia" w:ascii="宋体" w:hAnsi="宋体"/>
        </w:rPr>
      </w:pPr>
      <w:r>
        <w:rPr>
          <w:rFonts w:hint="eastAsia" w:ascii="宋体" w:hAnsi="宋体" w:eastAsia="方正仿宋_GBK"/>
          <w:bCs/>
          <w:szCs w:val="32"/>
        </w:rPr>
        <w:t>荣昌府办发〔2018〕157号</w:t>
      </w:r>
    </w:p>
    <w:p>
      <w:pPr>
        <w:keepNext w:val="0"/>
        <w:keepLines w:val="0"/>
        <w:pageBreakBefore w:val="0"/>
        <w:kinsoku/>
        <w:overflowPunct/>
        <w:topLinePunct w:val="0"/>
        <w:autoSpaceDE/>
        <w:autoSpaceDN/>
        <w:bidi w:val="0"/>
        <w:adjustRightInd/>
        <w:spacing w:line="600" w:lineRule="exact"/>
        <w:jc w:val="left"/>
        <w:textAlignment w:val="auto"/>
        <w:rPr>
          <w:rFonts w:hint="eastAsia" w:ascii="宋体" w:hAnsi="宋体" w:eastAsia="方正仿宋_GBK" w:cs="方正仿宋_GBK"/>
          <w:szCs w:val="32"/>
        </w:rPr>
      </w:pPr>
    </w:p>
    <w:p>
      <w:pPr>
        <w:keepNext w:val="0"/>
        <w:keepLines w:val="0"/>
        <w:pageBreakBefore w:val="0"/>
        <w:kinsoku/>
        <w:overflowPunct/>
        <w:topLinePunct w:val="0"/>
        <w:autoSpaceDE/>
        <w:autoSpaceDN/>
        <w:bidi w:val="0"/>
        <w:adjustRightInd/>
        <w:spacing w:line="600" w:lineRule="exact"/>
        <w:jc w:val="left"/>
        <w:textAlignment w:val="auto"/>
        <w:rPr>
          <w:rFonts w:hint="eastAsia" w:ascii="宋体" w:hAnsi="宋体" w:eastAsia="方正仿宋_GBK" w:cs="方正仿宋_GBK"/>
          <w:szCs w:val="32"/>
        </w:rPr>
      </w:pPr>
      <w:r>
        <w:rPr>
          <w:rFonts w:hint="eastAsia" w:ascii="宋体" w:hAnsi="宋体" w:eastAsia="方正仿宋_GBK" w:cs="方正仿宋_GBK"/>
          <w:szCs w:val="32"/>
        </w:rPr>
        <w:t>各镇人民政府，各街道办事处，区政府有关部门，有关单位：</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w:t>
      </w:r>
      <w:bookmarkStart w:id="0" w:name="_GoBack"/>
      <w:r>
        <w:rPr>
          <w:rFonts w:hint="eastAsia" w:ascii="宋体" w:hAnsi="宋体" w:eastAsia="方正仿宋_GBK" w:cs="方正仿宋_GBK"/>
          <w:szCs w:val="32"/>
        </w:rPr>
        <w:t>荣昌区加快推进企业上市（挂牌）工作实施方案</w:t>
      </w:r>
      <w:bookmarkEnd w:id="0"/>
      <w:r>
        <w:rPr>
          <w:rFonts w:hint="eastAsia" w:ascii="宋体" w:hAnsi="宋体" w:eastAsia="方正仿宋_GBK" w:cs="方正仿宋_GBK"/>
          <w:szCs w:val="32"/>
        </w:rPr>
        <w:t>》已经2018年11月16日区政府第40次常务会议审议通过，现印发给你们，请认真组织实施。</w:t>
      </w: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方正仿宋_GBK"/>
          <w:szCs w:val="32"/>
        </w:rPr>
      </w:pPr>
      <w:r>
        <w:rPr>
          <w:rFonts w:hint="eastAsia" w:ascii="宋体" w:hAnsi="宋体" w:eastAsia="方正仿宋_GBK"/>
          <w:szCs w:val="32"/>
        </w:rPr>
        <w:t xml:space="preserve"> </w:t>
      </w: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仿宋" w:cs="仿宋"/>
          <w:szCs w:val="32"/>
        </w:rPr>
      </w:pPr>
    </w:p>
    <w:p>
      <w:pPr>
        <w:keepNext w:val="0"/>
        <w:keepLines w:val="0"/>
        <w:pageBreakBefore w:val="0"/>
        <w:kinsoku/>
        <w:wordWrap w:val="0"/>
        <w:overflowPunct/>
        <w:topLinePunct w:val="0"/>
        <w:autoSpaceDE/>
        <w:autoSpaceDN/>
        <w:bidi w:val="0"/>
        <w:adjustRightInd/>
        <w:spacing w:line="600" w:lineRule="exact"/>
        <w:ind w:firstLine="960" w:firstLineChars="300"/>
        <w:jc w:val="right"/>
        <w:textAlignment w:val="auto"/>
        <w:rPr>
          <w:rFonts w:hint="eastAsia" w:ascii="宋体" w:hAnsi="宋体" w:eastAsia="方正仿宋_GBK" w:cs="仿宋"/>
          <w:szCs w:val="32"/>
        </w:rPr>
      </w:pPr>
      <w:r>
        <w:rPr>
          <w:rFonts w:hint="eastAsia" w:ascii="宋体" w:hAnsi="宋体" w:eastAsia="仿宋" w:cs="仿宋"/>
          <w:szCs w:val="32"/>
        </w:rPr>
        <w:t xml:space="preserve">   </w:t>
      </w:r>
      <w:r>
        <w:rPr>
          <w:rFonts w:hint="eastAsia" w:ascii="宋体" w:hAnsi="宋体" w:eastAsia="方正仿宋_GBK" w:cs="仿宋"/>
          <w:szCs w:val="32"/>
        </w:rPr>
        <w:t xml:space="preserve">            重庆市荣昌区人民政府办公室  </w:t>
      </w:r>
    </w:p>
    <w:p>
      <w:pPr>
        <w:keepNext w:val="0"/>
        <w:keepLines w:val="0"/>
        <w:pageBreakBefore w:val="0"/>
        <w:kinsoku/>
        <w:wordWrap w:val="0"/>
        <w:overflowPunct/>
        <w:topLinePunct w:val="0"/>
        <w:autoSpaceDE/>
        <w:autoSpaceDN/>
        <w:bidi w:val="0"/>
        <w:adjustRightInd/>
        <w:spacing w:line="600" w:lineRule="exact"/>
        <w:jc w:val="right"/>
        <w:textAlignment w:val="auto"/>
        <w:rPr>
          <w:rFonts w:hint="eastAsia" w:ascii="宋体" w:hAnsi="宋体" w:eastAsia="方正仿宋_GBK" w:cs="仿宋"/>
          <w:szCs w:val="32"/>
        </w:rPr>
      </w:pPr>
      <w:r>
        <w:rPr>
          <w:rFonts w:hint="eastAsia" w:ascii="宋体" w:hAnsi="宋体" w:eastAsia="方正仿宋_GBK"/>
          <w:szCs w:val="32"/>
        </w:rPr>
        <w:t xml:space="preserve">  </w:t>
      </w:r>
      <w:r>
        <w:rPr>
          <w:rFonts w:hint="eastAsia" w:ascii="宋体" w:hAnsi="宋体"/>
          <w:szCs w:val="32"/>
          <w:lang w:val="en-US" w:eastAsia="zh-CN"/>
        </w:rPr>
        <w:t xml:space="preserve">  </w:t>
      </w:r>
      <w:r>
        <w:rPr>
          <w:rFonts w:hint="eastAsia" w:ascii="宋体" w:hAnsi="宋体" w:eastAsia="方正仿宋_GBK"/>
          <w:szCs w:val="32"/>
        </w:rPr>
        <w:t>2018</w:t>
      </w:r>
      <w:r>
        <w:rPr>
          <w:rFonts w:hint="eastAsia" w:ascii="宋体" w:hAnsi="宋体" w:eastAsia="方正仿宋_GBK" w:cs="仿宋"/>
          <w:szCs w:val="32"/>
        </w:rPr>
        <w:t xml:space="preserve">年11月26日      </w:t>
      </w:r>
    </w:p>
    <w:p>
      <w:pPr>
        <w:keepNext w:val="0"/>
        <w:keepLines w:val="0"/>
        <w:pageBreakBefore w:val="0"/>
        <w:widowControl/>
        <w:kinsoku/>
        <w:overflowPunct/>
        <w:topLinePunct w:val="0"/>
        <w:autoSpaceDE/>
        <w:autoSpaceDN/>
        <w:bidi w:val="0"/>
        <w:adjustRightInd/>
        <w:spacing w:line="600" w:lineRule="exact"/>
        <w:ind w:firstLine="640" w:firstLineChars="200"/>
        <w:jc w:val="left"/>
        <w:textAlignment w:val="auto"/>
        <w:rPr>
          <w:rFonts w:ascii="宋体" w:hAnsi="宋体" w:eastAsia="方正仿宋_GBK" w:cs="方正仿宋_GBK"/>
          <w:color w:val="000000"/>
          <w:kern w:val="0"/>
          <w:szCs w:val="32"/>
          <w:shd w:val="clear" w:color="auto" w:fill="FFFFFF"/>
          <w:lang w:bidi="ar"/>
        </w:rPr>
      </w:pPr>
      <w:r>
        <w:rPr>
          <w:rFonts w:hint="eastAsia" w:ascii="宋体" w:hAnsi="宋体" w:eastAsia="方正仿宋_GBK" w:cs="方正仿宋_GBK"/>
          <w:color w:val="000000"/>
          <w:kern w:val="0"/>
          <w:szCs w:val="32"/>
          <w:shd w:val="clear" w:color="auto" w:fill="FFFFFF"/>
          <w:lang w:bidi="ar"/>
        </w:rPr>
        <w:t>（此件公开发布）</w:t>
      </w:r>
    </w:p>
    <w:p>
      <w:pPr>
        <w:keepNext w:val="0"/>
        <w:keepLines w:val="0"/>
        <w:pageBreakBefore w:val="0"/>
        <w:kinsoku/>
        <w:overflowPunct/>
        <w:topLinePunct w:val="0"/>
        <w:autoSpaceDE/>
        <w:autoSpaceDN/>
        <w:bidi w:val="0"/>
        <w:adjustRightInd/>
        <w:spacing w:line="600" w:lineRule="exact"/>
        <w:jc w:val="both"/>
        <w:textAlignment w:val="auto"/>
        <w:rPr>
          <w:rFonts w:hint="eastAsia" w:ascii="宋体" w:hAnsi="宋体" w:eastAsia="方正仿宋_GBK" w:cs="方正仿宋_GBK"/>
          <w:color w:val="000000"/>
          <w:kern w:val="0"/>
          <w:szCs w:val="32"/>
          <w:shd w:val="clear" w:color="auto" w:fill="FFFFFF"/>
          <w:lang w:bidi="ar"/>
        </w:rPr>
      </w:pPr>
    </w:p>
    <w:p>
      <w:pPr>
        <w:keepNext w:val="0"/>
        <w:keepLines w:val="0"/>
        <w:pageBreakBefore w:val="0"/>
        <w:kinsoku/>
        <w:overflowPunct/>
        <w:topLinePunct w:val="0"/>
        <w:autoSpaceDE/>
        <w:autoSpaceDN/>
        <w:bidi w:val="0"/>
        <w:adjustRightInd/>
        <w:spacing w:line="600" w:lineRule="exact"/>
        <w:jc w:val="both"/>
        <w:textAlignment w:val="auto"/>
        <w:rPr>
          <w:rFonts w:hint="eastAsia" w:ascii="宋体" w:hAnsi="宋体" w:eastAsia="方正仿宋_GBK" w:cs="方正仿宋_GBK"/>
          <w:color w:val="000000"/>
          <w:kern w:val="0"/>
          <w:szCs w:val="32"/>
          <w:shd w:val="clear" w:color="auto" w:fill="FFFFFF"/>
          <w:lang w:bidi="ar"/>
        </w:rPr>
      </w:pPr>
    </w:p>
    <w:p>
      <w:pPr>
        <w:keepNext w:val="0"/>
        <w:keepLines w:val="0"/>
        <w:pageBreakBefore w:val="0"/>
        <w:kinsoku/>
        <w:overflowPunct/>
        <w:topLinePunct w:val="0"/>
        <w:autoSpaceDE/>
        <w:autoSpaceDN/>
        <w:bidi w:val="0"/>
        <w:adjustRightInd/>
        <w:spacing w:line="600" w:lineRule="exact"/>
        <w:jc w:val="both"/>
        <w:textAlignment w:val="auto"/>
        <w:rPr>
          <w:rFonts w:hint="eastAsia" w:ascii="宋体" w:hAnsi="宋体" w:eastAsia="方正仿宋_GBK" w:cs="方正仿宋_GBK"/>
          <w:color w:val="000000"/>
          <w:kern w:val="0"/>
          <w:szCs w:val="32"/>
          <w:shd w:val="clear" w:color="auto" w:fill="FFFFFF"/>
          <w:lang w:bidi="ar"/>
        </w:rPr>
      </w:pPr>
    </w:p>
    <w:p>
      <w:pPr>
        <w:keepNext w:val="0"/>
        <w:keepLines w:val="0"/>
        <w:pageBreakBefore w:val="0"/>
        <w:kinsoku/>
        <w:overflowPunct/>
        <w:topLinePunct w:val="0"/>
        <w:autoSpaceDE/>
        <w:autoSpaceDN/>
        <w:bidi w:val="0"/>
        <w:adjustRightInd/>
        <w:spacing w:line="600" w:lineRule="exact"/>
        <w:jc w:val="both"/>
        <w:textAlignment w:val="auto"/>
        <w:rPr>
          <w:rFonts w:hint="eastAsia" w:ascii="宋体" w:hAnsi="宋体" w:eastAsia="方正仿宋_GBK" w:cs="方正仿宋_GBK"/>
          <w:color w:val="000000"/>
          <w:kern w:val="0"/>
          <w:szCs w:val="32"/>
          <w:shd w:val="clear" w:color="auto" w:fill="FFFFFF"/>
          <w:lang w:bidi="ar"/>
        </w:rPr>
      </w:pPr>
    </w:p>
    <w:p>
      <w:pPr>
        <w:keepNext w:val="0"/>
        <w:keepLines w:val="0"/>
        <w:pageBreakBefore w:val="0"/>
        <w:kinsoku/>
        <w:overflowPunct/>
        <w:topLinePunct w:val="0"/>
        <w:autoSpaceDE/>
        <w:autoSpaceDN/>
        <w:bidi w:val="0"/>
        <w:adjustRightInd/>
        <w:spacing w:line="600" w:lineRule="exact"/>
        <w:jc w:val="both"/>
        <w:textAlignment w:val="auto"/>
        <w:rPr>
          <w:rFonts w:hint="eastAsia" w:ascii="宋体" w:hAnsi="宋体" w:eastAsia="方正仿宋_GBK" w:cs="方正仿宋_GBK"/>
          <w:color w:val="000000"/>
          <w:kern w:val="0"/>
          <w:szCs w:val="32"/>
          <w:shd w:val="clear" w:color="auto" w:fill="FFFFFF"/>
          <w:lang w:bidi="ar"/>
        </w:rPr>
      </w:pPr>
    </w:p>
    <w:p>
      <w:pPr>
        <w:keepNext w:val="0"/>
        <w:keepLines w:val="0"/>
        <w:pageBreakBefore w:val="0"/>
        <w:kinsoku/>
        <w:overflowPunct/>
        <w:topLinePunct w:val="0"/>
        <w:autoSpaceDE/>
        <w:autoSpaceDN/>
        <w:bidi w:val="0"/>
        <w:adjustRightInd/>
        <w:spacing w:line="600" w:lineRule="exact"/>
        <w:jc w:val="both"/>
        <w:textAlignment w:val="auto"/>
        <w:rPr>
          <w:rFonts w:hint="eastAsia" w:ascii="宋体" w:hAnsi="宋体" w:eastAsia="方正仿宋_GBK" w:cs="方正仿宋_GBK"/>
          <w:color w:val="000000"/>
          <w:kern w:val="0"/>
          <w:szCs w:val="32"/>
          <w:shd w:val="clear" w:color="auto" w:fill="FFFFFF"/>
          <w:lang w:bidi="ar"/>
        </w:rPr>
      </w:pPr>
    </w:p>
    <w:p>
      <w:pPr>
        <w:keepNext w:val="0"/>
        <w:keepLines w:val="0"/>
        <w:pageBreakBefore w:val="0"/>
        <w:kinsoku/>
        <w:overflowPunct/>
        <w:topLinePunct w:val="0"/>
        <w:autoSpaceDE/>
        <w:autoSpaceDN/>
        <w:bidi w:val="0"/>
        <w:adjustRightInd/>
        <w:snapToGrid w:val="0"/>
        <w:spacing w:line="60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荣昌区加快推进企业上市（挂牌）</w:t>
      </w:r>
    </w:p>
    <w:p>
      <w:pPr>
        <w:keepNext w:val="0"/>
        <w:keepLines w:val="0"/>
        <w:pageBreakBefore w:val="0"/>
        <w:kinsoku/>
        <w:overflowPunct/>
        <w:topLinePunct w:val="0"/>
        <w:autoSpaceDE/>
        <w:autoSpaceDN/>
        <w:bidi w:val="0"/>
        <w:adjustRightInd/>
        <w:snapToGrid w:val="0"/>
        <w:spacing w:line="600" w:lineRule="exact"/>
        <w:jc w:val="center"/>
        <w:textAlignment w:val="auto"/>
        <w:rPr>
          <w:rFonts w:hint="eastAsia" w:ascii="宋体" w:hAnsi="宋体" w:eastAsia="方正小标宋_GBK" w:cs="方正小标宋_GBK"/>
          <w:sz w:val="44"/>
          <w:szCs w:val="44"/>
        </w:rPr>
      </w:pPr>
      <w:r>
        <w:rPr>
          <w:rFonts w:hint="eastAsia" w:ascii="宋体" w:hAnsi="宋体" w:eastAsia="方正小标宋_GBK" w:cs="方正小标宋_GBK"/>
          <w:sz w:val="44"/>
          <w:szCs w:val="44"/>
        </w:rPr>
        <w:t>工作实施方案</w:t>
      </w: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方正小标宋_GBK" w:cs="方正小标宋_GBK"/>
          <w:sz w:val="44"/>
          <w:szCs w:val="44"/>
        </w:rPr>
      </w:pP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为推进企业上市（挂牌）工作，充分发挥资本市场在促进经济发展方式转型升级、优化经济结构、转换增长动力等方面的重要作用，促进全区经济高质量发展，根据重庆市人民政府办公厅《关于印发重庆市提升经济证券化水平行动计划（2018—2022年）的通知》（渝府办发﹝2018﹞109号）精神，结合我区实际，制定本实施方案。</w:t>
      </w:r>
    </w:p>
    <w:p>
      <w:pPr>
        <w:keepNext w:val="0"/>
        <w:keepLines w:val="0"/>
        <w:pageBreakBefore w:val="0"/>
        <w:numPr>
          <w:ilvl w:val="0"/>
          <w:numId w:val="1"/>
        </w:numPr>
        <w:kinsoku/>
        <w:overflowPunct/>
        <w:topLinePunct w:val="0"/>
        <w:autoSpaceDE/>
        <w:autoSpaceDN/>
        <w:bidi w:val="0"/>
        <w:adjustRightInd/>
        <w:spacing w:line="600" w:lineRule="exact"/>
        <w:ind w:firstLine="640" w:firstLineChars="200"/>
        <w:textAlignment w:val="auto"/>
        <w:rPr>
          <w:rFonts w:hint="eastAsia" w:ascii="宋体" w:hAnsi="宋体" w:eastAsia="方正黑体_GBK" w:cs="方正黑体_GBK"/>
          <w:szCs w:val="32"/>
        </w:rPr>
      </w:pPr>
      <w:r>
        <w:rPr>
          <w:rFonts w:hint="eastAsia" w:ascii="宋体" w:hAnsi="宋体" w:eastAsia="方正黑体_GBK" w:cs="方正黑体_GBK"/>
          <w:szCs w:val="32"/>
        </w:rPr>
        <w:t>总体目标</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坚持以习近平新时代中国特色社会主义思想为指导，深入贯彻党的十九大和十九届二中、三中全会精神以及全国、全市金融工作会议精神，把加快推进企业上市（挂牌）作为深化供给侧结构性改革的重要抓手，把利用多层次资本市场作为改造提升传统产业、培育新兴产业、壮大特色产业的重要路径，按照“企业主动、政府推动、市场拉动”的原则，到2022年底，力争全区新增境内外上市公司4家（境内上市指在沪深交易所主板、中小板、创业板和科创板）、总数达到5家，新增IPO申报公司5家、新增辅导备案公司6家、新增以上市为目标的股改公司10家。</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黑体_GBK" w:cs="方正黑体_GBK"/>
          <w:szCs w:val="32"/>
        </w:rPr>
      </w:pPr>
      <w:r>
        <w:rPr>
          <w:rFonts w:hint="eastAsia" w:ascii="宋体" w:hAnsi="宋体" w:eastAsia="方正黑体_GBK" w:cs="方正黑体_GBK"/>
          <w:szCs w:val="32"/>
        </w:rPr>
        <w:t>二、重点任务</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r>
        <w:rPr>
          <w:rFonts w:hint="eastAsia" w:ascii="宋体" w:hAnsi="宋体" w:eastAsia="方正楷体_GBK" w:cs="方正楷体_GBK"/>
          <w:szCs w:val="32"/>
        </w:rPr>
        <w:t>（一）建立区级拟上市资源后备库。</w:t>
      </w:r>
      <w:r>
        <w:rPr>
          <w:rFonts w:hint="eastAsia" w:ascii="宋体" w:hAnsi="宋体" w:eastAsia="方正仿宋_GBK" w:cs="方正仿宋_GBK"/>
          <w:szCs w:val="32"/>
        </w:rPr>
        <w:t>有上市（挂牌）意愿的企业，由企业提出申请，经主管部门初审、推荐，交区国资金融办审核，对符合我区产业发展方向、产权清晰、经营能力强、成长性好且有一定规模的优质企业纳入区级拟上市资源后备库培育。区级拟上市资源后备库实行动态管理，及时淘汰发展态势不好和没有主动性的企业，同时对发展态势好的企业推荐纳入市级拟上市资源储备库。</w:t>
      </w:r>
      <w:r>
        <w:rPr>
          <w:rFonts w:hint="eastAsia" w:ascii="宋体" w:hAnsi="宋体" w:eastAsia="方正楷体_GBK" w:cs="方正楷体_GBK"/>
          <w:szCs w:val="32"/>
        </w:rPr>
        <w:t>（责任单位：区国资金融办、区经济信息委、荣昌高新区管委会、区科委、区农委、区商务局、各镇街）</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r>
        <w:rPr>
          <w:rFonts w:hint="eastAsia" w:ascii="宋体" w:hAnsi="宋体" w:eastAsia="方正楷体_GBK" w:cs="方正楷体_GBK"/>
          <w:szCs w:val="32"/>
        </w:rPr>
        <w:t>（二）加快推动企业股份制改造。</w:t>
      </w:r>
      <w:r>
        <w:rPr>
          <w:rFonts w:hint="eastAsia" w:ascii="宋体" w:hAnsi="宋体" w:eastAsia="方正仿宋_GBK" w:cs="方正仿宋_GBK"/>
          <w:szCs w:val="32"/>
        </w:rPr>
        <w:t>根据后备企业规模、所处行业和发展阶段，在主办券商和具有证券从业资格的会计师事务所、律师事务所指导下，积极帮助后备企业制定合理的股改和上市方案，降低企业改制成本，对接引进战略投资者，有序推动后备企业开展股份制改造，5年内新增以上市为目标的股改公司10家。鼓励有上市发展战略的新设市场主体初始登记为股份有限公司。</w:t>
      </w:r>
      <w:r>
        <w:rPr>
          <w:rFonts w:hint="eastAsia" w:ascii="宋体" w:hAnsi="宋体" w:eastAsia="方正楷体_GBK" w:cs="方正楷体_GBK"/>
          <w:szCs w:val="32"/>
        </w:rPr>
        <w:t>（责任单位：区国资金融办、区经济信息委、荣昌高新区管委会、区农委）</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楷体_GBK" w:cs="方正楷体_GBK"/>
          <w:szCs w:val="32"/>
        </w:rPr>
        <w:t>（三）分类推进企业上市（挂牌）路径。</w:t>
      </w:r>
      <w:r>
        <w:rPr>
          <w:rFonts w:hint="eastAsia" w:ascii="宋体" w:hAnsi="宋体" w:eastAsia="方正仿宋_GBK" w:cs="方正仿宋_GBK"/>
          <w:szCs w:val="32"/>
        </w:rPr>
        <w:t>坚持境内和境外上市、直接和间接上市并重。</w:t>
      </w:r>
      <w:r>
        <w:rPr>
          <w:rFonts w:hint="eastAsia" w:ascii="宋体" w:hAnsi="宋体" w:eastAsia="方正楷体_GBK" w:cs="方正楷体_GBK"/>
          <w:szCs w:val="32"/>
        </w:rPr>
        <w:t>（责任单位：区国资金融办、荣昌高新区管委会、区经济信息委、区农委、区科委）</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1﹒积极推动规模较大、效益较好、竞争力较强的企业在沪深主板、中小板市场上市，科技含量较高、成长性较好、规模不大的中小企业在创业板上市；对外向型或新业态、新商业模式企业，鼓励境外上市；对区内装备制造、食品医药、轻工陶瓷、农牧高新产业优势企业进行重点培育，推动区内行业龙头企业改制上市，对暂不满足上市条件的企业，支持其进入科创板、新三板或重庆股份转让中心挂牌，进一步完善法人治理结构，健全内控制度，为主板上市奠定良好基础。</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2﹒鼓励区内有条件的企业通过资产置换、吸收合并等方式探索“借壳”上市。按照“借壳上市、国企转型、产业整合、招商引资、换道超车”的行动路径，通过设立产业投资基金，由基金管理公司专业化的运作团队进行管理，对符合借壳上市条件的目标企业提供充裕的资金支持、专业技术支撑和市场化的资本运作，帮助企业利用资本市场中合适的壳资源实现借壳上市。</w:t>
      </w:r>
    </w:p>
    <w:p>
      <w:pPr>
        <w:keepNext w:val="0"/>
        <w:keepLines w:val="0"/>
        <w:pageBreakBefore w:val="0"/>
        <w:numPr>
          <w:ilvl w:val="0"/>
          <w:numId w:val="2"/>
        </w:numPr>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r>
        <w:rPr>
          <w:rFonts w:hint="eastAsia" w:ascii="宋体" w:hAnsi="宋体" w:eastAsia="方正楷体_GBK" w:cs="方正楷体_GBK"/>
          <w:szCs w:val="32"/>
        </w:rPr>
        <w:t>加大财政扶持力度。</w:t>
      </w:r>
      <w:r>
        <w:rPr>
          <w:rFonts w:hint="eastAsia" w:ascii="宋体" w:hAnsi="宋体" w:eastAsia="方正仿宋_GBK" w:cs="方正仿宋_GBK"/>
          <w:szCs w:val="32"/>
        </w:rPr>
        <w:t>修改完善我区企业上市（挂牌）财政扶持政策，加大奖补范围和力度。对上市（挂牌）企业在享受市级补助和奖励的同时，可重复享受区级补助和奖励。</w:t>
      </w:r>
      <w:r>
        <w:rPr>
          <w:rFonts w:hint="eastAsia" w:ascii="宋体" w:hAnsi="宋体" w:eastAsia="方正楷体_GBK" w:cs="方正楷体_GBK"/>
          <w:szCs w:val="32"/>
        </w:rPr>
        <w:t>（责任单位：区财政局、区税务局、荣昌高新区管委会）</w:t>
      </w:r>
    </w:p>
    <w:p>
      <w:pPr>
        <w:keepNext w:val="0"/>
        <w:keepLines w:val="0"/>
        <w:pageBreakBefore w:val="0"/>
        <w:numPr>
          <w:ilvl w:val="0"/>
          <w:numId w:val="3"/>
        </w:numPr>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对进入市级重点拟上市企业储备库的企业进行股份制改造，</w:t>
      </w:r>
      <w:r>
        <w:rPr>
          <w:rFonts w:hint="eastAsia" w:ascii="宋体" w:hAnsi="宋体" w:eastAsia="方正仿宋_GBK" w:cs="方正仿宋_GBK"/>
          <w:szCs w:val="32"/>
          <w:shd w:val="clear" w:color="auto" w:fill="FFFFFF"/>
        </w:rPr>
        <w:t>追溯调整前三年利润依法补交的企业所得税，由区财政将企业缴纳的区级留成部分，全额</w:t>
      </w:r>
      <w:r>
        <w:rPr>
          <w:rFonts w:hint="eastAsia" w:ascii="宋体" w:hAnsi="宋体"/>
        </w:rPr>
        <w:t>专项补助</w:t>
      </w:r>
      <w:r>
        <w:rPr>
          <w:rFonts w:hint="eastAsia" w:ascii="宋体" w:hAnsi="宋体" w:eastAsia="方正仿宋_GBK" w:cs="方正仿宋_GBK"/>
          <w:szCs w:val="32"/>
          <w:shd w:val="clear" w:color="auto" w:fill="FFFFFF"/>
        </w:rPr>
        <w:t>给企业，</w:t>
      </w:r>
      <w:r>
        <w:rPr>
          <w:rFonts w:hint="eastAsia" w:ascii="宋体" w:hAnsi="宋体"/>
        </w:rPr>
        <w:t>最高不超过400万元。</w:t>
      </w:r>
    </w:p>
    <w:p>
      <w:pPr>
        <w:keepNext w:val="0"/>
        <w:keepLines w:val="0"/>
        <w:pageBreakBefore w:val="0"/>
        <w:numPr>
          <w:ilvl w:val="0"/>
          <w:numId w:val="3"/>
        </w:numPr>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对评定为市级拟上市重点培育企业，在3年重点培育期内，以其上一年度缴纳企业所得税为基数，缴纳的增量部分，由区财政在其纳入重庆证监局上市辅导备案后，按区级留成部分给予奖补，累计奖补额度最高不超过600万元，上市成功后不再享受。</w:t>
      </w:r>
    </w:p>
    <w:p>
      <w:pPr>
        <w:keepNext w:val="0"/>
        <w:keepLines w:val="0"/>
        <w:pageBreakBefore w:val="0"/>
        <w:numPr>
          <w:ilvl w:val="0"/>
          <w:numId w:val="3"/>
        </w:numPr>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对进入市级重点拟上市企业储备库的企业进行股份制改造，用未分配利润、盈余公积、资本公积（不含股份制企业股票溢价发行收入所形成的资本公积金）转增股本，自然人股东获得转增股本数额，按照利息、股息、红利所得应缴纳的个人所得税，可在不超过5年的期限内，按规定实施分期纳税。</w:t>
      </w:r>
    </w:p>
    <w:p>
      <w:pPr>
        <w:keepNext w:val="0"/>
        <w:keepLines w:val="0"/>
        <w:pageBreakBefore w:val="0"/>
        <w:numPr>
          <w:ilvl w:val="0"/>
          <w:numId w:val="3"/>
        </w:numPr>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对评定为市级拟上市重点培育企业拟在境内外证券交易所上市的，分阶段给予奖励：股份制改造完成后给予100万元奖励，申报材料正式受理后给予100万元奖励，审核通过后给予200万元奖励。对企业在境内证券交易所借壳上市的，审核通过后给予400万元奖励。对评定为市级拟上市重点培育企业拟在全国中小企业股份转让系统（新三板）及上海证券交易所科创板挂牌的，分阶段给予奖励：股份制改造完成后给予50万元奖励，审核通过后给予50万元奖励。</w:t>
      </w:r>
      <w:r>
        <w:rPr>
          <w:rFonts w:hint="eastAsia" w:ascii="宋体" w:hAnsi="宋体" w:eastAsia="方正仿宋_GBK"/>
          <w:szCs w:val="32"/>
        </w:rPr>
        <w:t>对进入区级拟上市资源后备库的企业拟在重庆股份转让中心（OTC）挂牌的，在成长板挂牌，审核通过后给予45万元奖励，其他板块挂牌，审核通过后给予5万元奖励。本条财政奖励“分段计算，不重复享受”，每家企业累计奖励不超过400万元。</w:t>
      </w:r>
    </w:p>
    <w:p>
      <w:pPr>
        <w:keepNext w:val="0"/>
        <w:keepLines w:val="0"/>
        <w:pageBreakBefore w:val="0"/>
        <w:numPr>
          <w:ilvl w:val="0"/>
          <w:numId w:val="3"/>
        </w:numPr>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szCs w:val="32"/>
        </w:rPr>
        <w:t>荣昌高新技术产业开发区园区内的企业上市，荣昌高新区管委会可再制定政策给予奖励。</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r>
        <w:rPr>
          <w:rFonts w:hint="eastAsia" w:ascii="宋体" w:hAnsi="宋体" w:eastAsia="方正楷体_GBK" w:cs="方正楷体_GBK"/>
          <w:szCs w:val="32"/>
        </w:rPr>
        <w:t>（五）提升上市服务效率。</w:t>
      </w:r>
      <w:r>
        <w:rPr>
          <w:rFonts w:hint="eastAsia" w:ascii="宋体" w:hAnsi="宋体" w:eastAsia="方正仿宋_GBK" w:cs="方正仿宋_GBK"/>
          <w:szCs w:val="32"/>
        </w:rPr>
        <w:t>按照我区企业上市相关政务服务事项办理规程要求，实行专人对接，专项服务，对企业上市涉及的社保、土地、环评、税收等问题，开辟“绿色通道”，予以优先办理；对企业的特殊需求，采取“一事一议”方式妥善解决；对后备企业生产经营中存在的各类不规范行为，应通过教育、警告、限期整改等方式，促进企业守法、规范经营，避免“以罚代管”。</w:t>
      </w:r>
      <w:r>
        <w:rPr>
          <w:rFonts w:hint="eastAsia" w:ascii="宋体" w:hAnsi="宋体" w:eastAsia="方正楷体_GBK" w:cs="方正楷体_GBK"/>
          <w:szCs w:val="32"/>
        </w:rPr>
        <w:t>（责任单位：区国资金融办、荣昌高新区管委会、区经济信息委、区农委等有关部门）</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r>
        <w:rPr>
          <w:rFonts w:hint="eastAsia" w:ascii="宋体" w:hAnsi="宋体" w:eastAsia="方正楷体_GBK" w:cs="方正楷体_GBK"/>
          <w:szCs w:val="32"/>
        </w:rPr>
        <w:t>（六）加强后备企业辅导培育。</w:t>
      </w:r>
      <w:r>
        <w:rPr>
          <w:rFonts w:hint="eastAsia" w:ascii="宋体" w:hAnsi="宋体" w:eastAsia="方正仿宋_GBK" w:cs="方正仿宋_GBK"/>
          <w:szCs w:val="32"/>
        </w:rPr>
        <w:t>积极组织后备企业参加区内及市上举办的人才培训、上市辅导培训等有关活动，引导后备企业建立现代企业制度。各有关主管部门要联合券商等中介机构引导后备企业对照上市基本条件，规范内部管理，完善股权构架，满足上市有关净利润、营业收入、经营性现金净流入、净资产及股本总额等要求，协助后备企业完善环保、税收、财务会计等方面的合规经营手续，夯实后备企业上市（挂牌）基础，加快实现上市融资。</w:t>
      </w:r>
      <w:r>
        <w:rPr>
          <w:rFonts w:hint="eastAsia" w:ascii="宋体" w:hAnsi="宋体" w:eastAsia="方正楷体_GBK" w:cs="方正楷体_GBK"/>
          <w:szCs w:val="32"/>
        </w:rPr>
        <w:t>（责任单位：区国资金融办、区经济信息委、荣昌高新区管委会、区农委）</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黑体_GBK" w:cs="方正黑体_GBK"/>
          <w:szCs w:val="32"/>
        </w:rPr>
      </w:pPr>
      <w:r>
        <w:rPr>
          <w:rFonts w:hint="eastAsia" w:ascii="宋体" w:hAnsi="宋体" w:eastAsia="方正黑体_GBK" w:cs="方正黑体_GBK"/>
          <w:szCs w:val="32"/>
        </w:rPr>
        <w:t>三、组织保障</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r>
        <w:rPr>
          <w:rFonts w:hint="eastAsia" w:ascii="宋体" w:hAnsi="宋体" w:eastAsia="方正楷体_GBK" w:cs="方正楷体_GBK"/>
          <w:szCs w:val="32"/>
        </w:rPr>
        <w:t>（七）加强组织统筹。</w:t>
      </w:r>
      <w:r>
        <w:rPr>
          <w:rFonts w:hint="eastAsia" w:ascii="宋体" w:hAnsi="宋体" w:eastAsia="方正仿宋_GBK" w:cs="方正仿宋_GBK"/>
          <w:szCs w:val="32"/>
        </w:rPr>
        <w:t>在区企业上市工作领导小组领导下，区国资金融办要抓好企业上市工作的统筹规划、组织协调、服务指导、政策落实；区经济信息委、荣昌高新区管委会、区科委、区农委、区商务局、区工商联等部门要培育筛选更多优质的拟上市规模以上企业进入区级拟上市资源后备库。各责任单位要明确专人负责本系统后备企业上市（挂牌）工作，开展全程跟踪服务，协调解决后备企业上市（挂牌）过程中遇到的问题和困难，推动企业尽快满足上市要求。</w:t>
      </w:r>
      <w:r>
        <w:rPr>
          <w:rFonts w:hint="eastAsia" w:ascii="宋体" w:hAnsi="宋体" w:eastAsia="方正楷体_GBK" w:cs="方正楷体_GBK"/>
          <w:szCs w:val="32"/>
        </w:rPr>
        <w:t>（责任单位：区国资金融办、区经济信息委、荣昌高新区管委会、区科委、区农委、区商务局、区工商联等有关部门）</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r>
        <w:rPr>
          <w:rFonts w:hint="eastAsia" w:ascii="宋体" w:hAnsi="宋体" w:eastAsia="方正楷体_GBK" w:cs="方正楷体_GBK"/>
          <w:szCs w:val="32"/>
        </w:rPr>
        <w:t>（八）加大产业扶持。</w:t>
      </w:r>
      <w:r>
        <w:rPr>
          <w:rFonts w:hint="eastAsia" w:ascii="宋体" w:hAnsi="宋体" w:eastAsia="方正仿宋_GBK" w:cs="方正仿宋_GBK"/>
          <w:szCs w:val="32"/>
        </w:rPr>
        <w:t>区级有关部门要对后备企业加强分类指导，在产业扶持政策、各类财政性资金补助、项目用地、高新技术企业申报认定等方面给予必要的政策扶持，同等条件下优先安排。</w:t>
      </w:r>
      <w:r>
        <w:rPr>
          <w:rFonts w:hint="eastAsia" w:ascii="宋体" w:hAnsi="宋体" w:eastAsia="方正楷体_GBK" w:cs="方正楷体_GBK"/>
          <w:szCs w:val="32"/>
        </w:rPr>
        <w:t>（责任单位：区发展改革委、区财政局、区国土房管局、区经济信息委、荣昌高新区管委会、区科委）</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r>
        <w:rPr>
          <w:rFonts w:hint="eastAsia" w:ascii="宋体" w:hAnsi="宋体" w:eastAsia="方正楷体_GBK" w:cs="方正楷体_GBK"/>
          <w:szCs w:val="32"/>
        </w:rPr>
        <w:t>（九）支持金融对接。</w:t>
      </w:r>
      <w:r>
        <w:rPr>
          <w:rFonts w:hint="eastAsia" w:ascii="宋体" w:hAnsi="宋体" w:eastAsia="方正仿宋_GBK" w:cs="方正仿宋_GBK"/>
          <w:szCs w:val="32"/>
        </w:rPr>
        <w:t>鼓励引导区内银行业等金融机构在风险可控前提下，优先支持后备企业发展，为后备企业制定综合融资方案。积极引导区内产业投资基金对优质后备企业进行股权投资，支持区内后备企业上市（挂牌）。</w:t>
      </w:r>
      <w:r>
        <w:rPr>
          <w:rFonts w:hint="eastAsia" w:ascii="宋体" w:hAnsi="宋体" w:eastAsia="方正楷体_GBK" w:cs="方正楷体_GBK"/>
          <w:szCs w:val="32"/>
        </w:rPr>
        <w:t>（责任单位：区国资金融办、荣昌高新区管委会、区科委、永川银监分局、人民银行永川中心支行）</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r>
        <w:rPr>
          <w:rFonts w:hint="eastAsia" w:ascii="宋体" w:hAnsi="宋体" w:eastAsia="方正楷体_GBK" w:cs="方正楷体_GBK"/>
          <w:szCs w:val="32"/>
        </w:rPr>
        <w:t>（十）加强督查考核。</w:t>
      </w:r>
      <w:r>
        <w:rPr>
          <w:rFonts w:hint="eastAsia" w:ascii="宋体" w:hAnsi="宋体" w:eastAsia="方正仿宋_GBK" w:cs="方正仿宋_GBK"/>
          <w:szCs w:val="32"/>
        </w:rPr>
        <w:t>区级有关部门要将推动企业上市（挂牌）工作做细做实，区政府督查室要加强督促检查，确保目标明确到位、责任分工到位、人员配备到位、工作落实到位。</w:t>
      </w:r>
      <w:r>
        <w:rPr>
          <w:rFonts w:hint="eastAsia" w:ascii="宋体" w:hAnsi="宋体" w:eastAsia="方正楷体_GBK" w:cs="方正楷体_GBK"/>
          <w:szCs w:val="32"/>
        </w:rPr>
        <w:t>（责任单位：区政府督查室、区国资金融办）</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楷体_GBK"/>
          <w:szCs w:val="32"/>
        </w:rPr>
      </w:pPr>
      <w:r>
        <w:rPr>
          <w:rFonts w:hint="eastAsia" w:ascii="宋体" w:hAnsi="宋体" w:eastAsia="方正黑体_GBK" w:cs="方正楷体_GBK"/>
          <w:szCs w:val="32"/>
        </w:rPr>
        <w:t>四、</w:t>
      </w:r>
      <w:r>
        <w:rPr>
          <w:rFonts w:hint="eastAsia" w:ascii="宋体" w:hAnsi="宋体" w:eastAsia="方正仿宋_GBK" w:cs="方正楷体_GBK"/>
          <w:szCs w:val="32"/>
        </w:rPr>
        <w:t>本《通知》从2019年1月1日起施行，原《重庆市荣昌区人民政府办公室关于印发重庆市荣昌区上市（挂牌）企业财政扶持办法的通知》（荣昌府办发</w:t>
      </w:r>
      <w:r>
        <w:rPr>
          <w:rFonts w:hint="eastAsia" w:ascii="宋体" w:hAnsi="宋体" w:eastAsia="方正仿宋_GBK"/>
          <w:bCs/>
          <w:szCs w:val="32"/>
        </w:rPr>
        <w:t>〔2015〕88号</w:t>
      </w:r>
      <w:r>
        <w:rPr>
          <w:rFonts w:hint="eastAsia" w:ascii="宋体" w:hAnsi="宋体" w:eastAsia="方正仿宋_GBK" w:cs="方正楷体_GBK"/>
          <w:szCs w:val="32"/>
        </w:rPr>
        <w:t>）同时废止。</w:t>
      </w: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楷体_GBK" w:cs="方正楷体_GBK"/>
          <w:szCs w:val="32"/>
        </w:rPr>
      </w:pPr>
    </w:p>
    <w:p>
      <w:pPr>
        <w:keepNext w:val="0"/>
        <w:keepLines w:val="0"/>
        <w:pageBreakBefore w:val="0"/>
        <w:kinsoku/>
        <w:overflowPunct/>
        <w:topLinePunct w:val="0"/>
        <w:autoSpaceDE/>
        <w:autoSpaceDN/>
        <w:bidi w:val="0"/>
        <w:adjustRightInd/>
        <w:spacing w:line="600" w:lineRule="exact"/>
        <w:ind w:firstLine="640" w:firstLineChars="200"/>
        <w:textAlignment w:val="auto"/>
        <w:rPr>
          <w:rFonts w:hint="eastAsia" w:ascii="宋体" w:hAnsi="宋体" w:eastAsia="方正仿宋_GBK" w:cs="方正仿宋_GBK"/>
          <w:szCs w:val="32"/>
        </w:rPr>
      </w:pPr>
      <w:r>
        <w:rPr>
          <w:rFonts w:hint="eastAsia" w:ascii="宋体" w:hAnsi="宋体" w:eastAsia="方正仿宋_GBK" w:cs="方正仿宋_GBK"/>
          <w:szCs w:val="32"/>
        </w:rPr>
        <w:t>附件：荣昌区推进企业上市（挂牌）工作任务分解表（2018</w:t>
      </w:r>
    </w:p>
    <w:p>
      <w:pPr>
        <w:keepNext w:val="0"/>
        <w:keepLines w:val="0"/>
        <w:pageBreakBefore w:val="0"/>
        <w:kinsoku/>
        <w:overflowPunct/>
        <w:topLinePunct w:val="0"/>
        <w:autoSpaceDE/>
        <w:autoSpaceDN/>
        <w:bidi w:val="0"/>
        <w:adjustRightInd/>
        <w:spacing w:line="600" w:lineRule="exact"/>
        <w:ind w:firstLine="1760" w:firstLineChars="550"/>
        <w:textAlignment w:val="auto"/>
        <w:rPr>
          <w:rFonts w:hint="eastAsia" w:ascii="宋体" w:hAnsi="宋体" w:eastAsia="方正楷体_GBK" w:cs="方正楷体_GBK"/>
          <w:szCs w:val="32"/>
        </w:rPr>
      </w:pPr>
      <w:r>
        <w:rPr>
          <w:rFonts w:hint="eastAsia" w:ascii="宋体" w:hAnsi="宋体" w:eastAsia="方正仿宋_GBK" w:cs="方正仿宋_GBK"/>
          <w:szCs w:val="32"/>
        </w:rPr>
        <w:t>—2022年）</w:t>
      </w:r>
    </w:p>
    <w:p>
      <w:pPr>
        <w:keepNext w:val="0"/>
        <w:keepLines w:val="0"/>
        <w:pageBreakBefore w:val="0"/>
        <w:kinsoku/>
        <w:overflowPunct/>
        <w:topLinePunct w:val="0"/>
        <w:autoSpaceDE/>
        <w:autoSpaceDN/>
        <w:bidi w:val="0"/>
        <w:adjustRightInd/>
        <w:spacing w:line="600" w:lineRule="exact"/>
        <w:textAlignment w:val="auto"/>
        <w:rPr>
          <w:rFonts w:hint="eastAsia" w:ascii="宋体" w:hAnsi="宋体" w:eastAsia="方正黑体_GBK" w:cs="方正楷体_GBK"/>
          <w:szCs w:val="32"/>
        </w:rPr>
      </w:pPr>
      <w:r>
        <w:rPr>
          <w:rFonts w:hint="eastAsia" w:ascii="宋体" w:hAnsi="宋体" w:eastAsia="方正楷体_GBK" w:cs="方正楷体_GBK"/>
          <w:szCs w:val="32"/>
        </w:rPr>
        <w:br w:type="page"/>
      </w:r>
      <w:r>
        <w:rPr>
          <w:rFonts w:hint="eastAsia" w:ascii="宋体" w:hAnsi="宋体" w:eastAsia="方正黑体_GBK" w:cs="方正楷体_GBK"/>
          <w:szCs w:val="32"/>
        </w:rPr>
        <w:t>附件</w:t>
      </w:r>
    </w:p>
    <w:p>
      <w:pPr>
        <w:spacing w:before="289" w:beforeLines="50"/>
        <w:jc w:val="center"/>
        <w:rPr>
          <w:rFonts w:hint="eastAsia" w:ascii="宋体" w:hAnsi="宋体" w:eastAsia="方正小标宋_GBK" w:cs="方正小标宋_GBK"/>
          <w:sz w:val="36"/>
          <w:szCs w:val="36"/>
        </w:rPr>
      </w:pPr>
      <w:r>
        <w:rPr>
          <w:rFonts w:hint="eastAsia" w:ascii="宋体" w:hAnsi="宋体" w:eastAsia="方正小标宋_GBK" w:cs="方正小标宋_GBK"/>
          <w:sz w:val="36"/>
          <w:szCs w:val="36"/>
        </w:rPr>
        <w:t>荣昌区推进企业上市（挂牌）工作任务分解表</w:t>
      </w:r>
    </w:p>
    <w:p>
      <w:pPr>
        <w:jc w:val="center"/>
        <w:rPr>
          <w:rFonts w:hint="eastAsia" w:ascii="宋体" w:hAnsi="宋体" w:eastAsia="方正小标宋_GBK" w:cs="方正小标宋_GBK"/>
          <w:szCs w:val="32"/>
        </w:rPr>
      </w:pPr>
      <w:r>
        <w:rPr>
          <w:rFonts w:hint="eastAsia" w:ascii="宋体" w:hAnsi="宋体" w:eastAsia="方正小标宋_GBK" w:cs="方正小标宋_GBK"/>
          <w:szCs w:val="32"/>
        </w:rPr>
        <w:t>（2018—2022年）</w:t>
      </w:r>
    </w:p>
    <w:p>
      <w:pPr>
        <w:jc w:val="right"/>
        <w:rPr>
          <w:rFonts w:hint="eastAsia" w:ascii="宋体" w:hAnsi="宋体" w:eastAsia="方正仿宋_GBK" w:cs="方正仿宋_GBK"/>
          <w:sz w:val="28"/>
          <w:szCs w:val="28"/>
        </w:rPr>
      </w:pPr>
      <w:r>
        <w:rPr>
          <w:rFonts w:hint="eastAsia" w:ascii="宋体" w:hAnsi="宋体" w:eastAsia="方正仿宋_GBK" w:cs="方正仿宋_GBK"/>
          <w:sz w:val="28"/>
          <w:szCs w:val="28"/>
        </w:rPr>
        <w:t>单位：家</w:t>
      </w:r>
    </w:p>
    <w:tbl>
      <w:tblPr>
        <w:tblStyle w:val="12"/>
        <w:tblW w:w="895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
      <w:tblGrid>
        <w:gridCol w:w="3147"/>
        <w:gridCol w:w="1276"/>
        <w:gridCol w:w="1381"/>
        <w:gridCol w:w="1364"/>
        <w:gridCol w:w="17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915" w:hRule="atLeast"/>
        </w:trPr>
        <w:tc>
          <w:tcPr>
            <w:tcW w:w="3147" w:type="dxa"/>
            <w:tcBorders>
              <w:bottom w:val="single" w:color="808080" w:sz="4" w:space="0"/>
              <w:right w:val="single" w:color="808080" w:sz="4" w:space="0"/>
              <w:tl2br w:val="single" w:color="auto" w:sz="4" w:space="0"/>
            </w:tcBorders>
            <w:noWrap w:val="0"/>
            <w:vAlign w:val="top"/>
          </w:tcPr>
          <w:p>
            <w:pPr>
              <w:spacing w:line="400" w:lineRule="exact"/>
              <w:jc w:val="right"/>
              <w:rPr>
                <w:rFonts w:hint="eastAsia" w:ascii="宋体" w:hAnsi="宋体" w:eastAsia="方正黑体_GBK" w:cs="方正黑体_GBK"/>
                <w:sz w:val="28"/>
                <w:szCs w:val="28"/>
              </w:rPr>
            </w:pPr>
            <w:r>
              <w:rPr>
                <w:rFonts w:hint="eastAsia" w:ascii="宋体" w:hAnsi="宋体" w:eastAsia="方正黑体_GBK" w:cs="方正黑体_GBK"/>
                <w:sz w:val="28"/>
                <w:szCs w:val="28"/>
              </w:rPr>
              <w:t xml:space="preserve">         新增公司类别</w:t>
            </w:r>
          </w:p>
          <w:p>
            <w:pPr>
              <w:snapToGrid w:val="0"/>
              <w:spacing w:line="400" w:lineRule="exact"/>
              <w:rPr>
                <w:rFonts w:hint="eastAsia" w:ascii="宋体" w:hAnsi="宋体" w:eastAsia="方正黑体_GBK" w:cs="方正黑体_GBK"/>
                <w:sz w:val="28"/>
                <w:szCs w:val="28"/>
              </w:rPr>
            </w:pPr>
            <w:r>
              <w:rPr>
                <w:rFonts w:hint="eastAsia" w:ascii="宋体" w:hAnsi="宋体" w:eastAsia="方正黑体_GBK" w:cs="方正黑体_GBK"/>
                <w:sz w:val="28"/>
                <w:szCs w:val="28"/>
              </w:rPr>
              <w:t>责任单位</w:t>
            </w:r>
          </w:p>
        </w:tc>
        <w:tc>
          <w:tcPr>
            <w:tcW w:w="1276" w:type="dxa"/>
            <w:tcBorders>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境内外上市公司</w:t>
            </w:r>
          </w:p>
        </w:tc>
        <w:tc>
          <w:tcPr>
            <w:tcW w:w="1381" w:type="dxa"/>
            <w:tcBorders>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IPO申报</w:t>
            </w:r>
          </w:p>
          <w:p>
            <w:pPr>
              <w:spacing w:line="400" w:lineRule="exact"/>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公司</w:t>
            </w:r>
          </w:p>
        </w:tc>
        <w:tc>
          <w:tcPr>
            <w:tcW w:w="1364" w:type="dxa"/>
            <w:tcBorders>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辅导备案</w:t>
            </w:r>
          </w:p>
          <w:p>
            <w:pPr>
              <w:spacing w:line="400" w:lineRule="exact"/>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公司</w:t>
            </w:r>
          </w:p>
        </w:tc>
        <w:tc>
          <w:tcPr>
            <w:tcW w:w="1791" w:type="dxa"/>
            <w:tcBorders>
              <w:left w:val="single" w:color="808080" w:sz="4" w:space="0"/>
              <w:bottom w:val="single" w:color="808080" w:sz="4" w:space="0"/>
            </w:tcBorders>
            <w:noWrap w:val="0"/>
            <w:vAlign w:val="center"/>
          </w:tcPr>
          <w:p>
            <w:pPr>
              <w:spacing w:line="400" w:lineRule="exact"/>
              <w:jc w:val="center"/>
              <w:rPr>
                <w:rFonts w:hint="eastAsia" w:ascii="宋体" w:hAnsi="宋体" w:eastAsia="方正黑体_GBK" w:cs="方正黑体_GBK"/>
                <w:sz w:val="28"/>
                <w:szCs w:val="28"/>
              </w:rPr>
            </w:pPr>
            <w:r>
              <w:rPr>
                <w:rFonts w:hint="eastAsia" w:ascii="宋体" w:hAnsi="宋体" w:eastAsia="方正黑体_GBK" w:cs="方正黑体_GBK"/>
                <w:sz w:val="28"/>
                <w:szCs w:val="28"/>
              </w:rPr>
              <w:t>以上市为目标的股改公司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90" w:hRule="atLeast"/>
        </w:trPr>
        <w:tc>
          <w:tcPr>
            <w:tcW w:w="3147" w:type="dxa"/>
            <w:tcBorders>
              <w:top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黑体_GBK"/>
                <w:sz w:val="28"/>
                <w:szCs w:val="28"/>
              </w:rPr>
            </w:pPr>
            <w:r>
              <w:rPr>
                <w:rFonts w:hint="eastAsia" w:ascii="宋体" w:hAnsi="宋体" w:eastAsia="方正仿宋_GBK" w:cs="方正黑体_GBK"/>
                <w:sz w:val="28"/>
                <w:szCs w:val="28"/>
              </w:rPr>
              <w:t>荣昌高新区管委会</w:t>
            </w:r>
          </w:p>
        </w:tc>
        <w:tc>
          <w:tcPr>
            <w:tcW w:w="1276" w:type="dxa"/>
            <w:tcBorders>
              <w:top w:val="single" w:color="808080" w:sz="4" w:space="0"/>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3</w:t>
            </w:r>
          </w:p>
        </w:tc>
        <w:tc>
          <w:tcPr>
            <w:tcW w:w="1381" w:type="dxa"/>
            <w:tcBorders>
              <w:top w:val="single" w:color="808080" w:sz="4" w:space="0"/>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3</w:t>
            </w:r>
          </w:p>
        </w:tc>
        <w:tc>
          <w:tcPr>
            <w:tcW w:w="1364" w:type="dxa"/>
            <w:tcBorders>
              <w:top w:val="single" w:color="808080" w:sz="4" w:space="0"/>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3</w:t>
            </w:r>
          </w:p>
        </w:tc>
        <w:tc>
          <w:tcPr>
            <w:tcW w:w="1791" w:type="dxa"/>
            <w:tcBorders>
              <w:top w:val="single" w:color="808080" w:sz="4" w:space="0"/>
              <w:left w:val="single" w:color="808080" w:sz="4" w:space="0"/>
              <w:bottom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644" w:hRule="atLeast"/>
        </w:trPr>
        <w:tc>
          <w:tcPr>
            <w:tcW w:w="3147" w:type="dxa"/>
            <w:tcBorders>
              <w:top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黑体_GBK"/>
                <w:sz w:val="28"/>
                <w:szCs w:val="28"/>
              </w:rPr>
            </w:pPr>
            <w:r>
              <w:rPr>
                <w:rFonts w:hint="eastAsia" w:ascii="宋体" w:hAnsi="宋体" w:eastAsia="方正仿宋_GBK" w:cs="方正黑体_GBK"/>
                <w:sz w:val="28"/>
                <w:szCs w:val="28"/>
              </w:rPr>
              <w:t>区经济信息委</w:t>
            </w:r>
          </w:p>
        </w:tc>
        <w:tc>
          <w:tcPr>
            <w:tcW w:w="1276" w:type="dxa"/>
            <w:tcBorders>
              <w:top w:val="single" w:color="808080" w:sz="4" w:space="0"/>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1</w:t>
            </w:r>
          </w:p>
        </w:tc>
        <w:tc>
          <w:tcPr>
            <w:tcW w:w="1381" w:type="dxa"/>
            <w:tcBorders>
              <w:top w:val="single" w:color="808080" w:sz="4" w:space="0"/>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1</w:t>
            </w:r>
          </w:p>
        </w:tc>
        <w:tc>
          <w:tcPr>
            <w:tcW w:w="1364" w:type="dxa"/>
            <w:tcBorders>
              <w:top w:val="single" w:color="808080" w:sz="4" w:space="0"/>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2</w:t>
            </w:r>
          </w:p>
        </w:tc>
        <w:tc>
          <w:tcPr>
            <w:tcW w:w="1791" w:type="dxa"/>
            <w:tcBorders>
              <w:top w:val="single" w:color="808080" w:sz="4" w:space="0"/>
              <w:left w:val="single" w:color="808080" w:sz="4" w:space="0"/>
              <w:bottom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1" w:hRule="atLeast"/>
        </w:trPr>
        <w:tc>
          <w:tcPr>
            <w:tcW w:w="3147" w:type="dxa"/>
            <w:tcBorders>
              <w:top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黑体_GBK"/>
                <w:sz w:val="28"/>
                <w:szCs w:val="28"/>
              </w:rPr>
            </w:pPr>
            <w:r>
              <w:rPr>
                <w:rFonts w:hint="eastAsia" w:ascii="宋体" w:hAnsi="宋体" w:eastAsia="方正仿宋_GBK" w:cs="方正黑体_GBK"/>
                <w:sz w:val="28"/>
                <w:szCs w:val="28"/>
              </w:rPr>
              <w:t>区农委</w:t>
            </w:r>
          </w:p>
        </w:tc>
        <w:tc>
          <w:tcPr>
            <w:tcW w:w="1276" w:type="dxa"/>
            <w:tcBorders>
              <w:top w:val="single" w:color="808080" w:sz="4" w:space="0"/>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0</w:t>
            </w:r>
          </w:p>
        </w:tc>
        <w:tc>
          <w:tcPr>
            <w:tcW w:w="1381" w:type="dxa"/>
            <w:tcBorders>
              <w:top w:val="single" w:color="808080" w:sz="4" w:space="0"/>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1</w:t>
            </w:r>
          </w:p>
        </w:tc>
        <w:tc>
          <w:tcPr>
            <w:tcW w:w="1364" w:type="dxa"/>
            <w:tcBorders>
              <w:top w:val="single" w:color="808080" w:sz="4" w:space="0"/>
              <w:left w:val="single" w:color="808080" w:sz="4" w:space="0"/>
              <w:bottom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1</w:t>
            </w:r>
          </w:p>
        </w:tc>
        <w:tc>
          <w:tcPr>
            <w:tcW w:w="1791" w:type="dxa"/>
            <w:tcBorders>
              <w:top w:val="single" w:color="808080" w:sz="4" w:space="0"/>
              <w:left w:val="single" w:color="808080" w:sz="4" w:space="0"/>
              <w:bottom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28" w:type="dxa"/>
            <w:bottom w:w="0" w:type="dxa"/>
            <w:right w:w="28" w:type="dxa"/>
          </w:tblCellMar>
        </w:tblPrEx>
        <w:trPr>
          <w:trHeight w:val="571" w:hRule="atLeast"/>
        </w:trPr>
        <w:tc>
          <w:tcPr>
            <w:tcW w:w="3147" w:type="dxa"/>
            <w:tcBorders>
              <w:top w:val="single" w:color="808080" w:sz="4" w:space="0"/>
              <w:right w:val="single" w:color="808080" w:sz="4" w:space="0"/>
            </w:tcBorders>
            <w:noWrap w:val="0"/>
            <w:vAlign w:val="center"/>
          </w:tcPr>
          <w:p>
            <w:pPr>
              <w:spacing w:line="400" w:lineRule="exact"/>
              <w:jc w:val="center"/>
              <w:rPr>
                <w:rFonts w:hint="eastAsia" w:ascii="宋体" w:hAnsi="宋体" w:eastAsia="方正仿宋_GBK" w:cs="方正黑体_GBK"/>
                <w:sz w:val="28"/>
                <w:szCs w:val="28"/>
              </w:rPr>
            </w:pPr>
            <w:r>
              <w:rPr>
                <w:rFonts w:hint="eastAsia" w:ascii="宋体" w:hAnsi="宋体" w:eastAsia="方正仿宋_GBK" w:cs="方正黑体_GBK"/>
                <w:sz w:val="28"/>
                <w:szCs w:val="28"/>
              </w:rPr>
              <w:t>合计</w:t>
            </w:r>
          </w:p>
        </w:tc>
        <w:tc>
          <w:tcPr>
            <w:tcW w:w="1276" w:type="dxa"/>
            <w:tcBorders>
              <w:top w:val="single" w:color="808080" w:sz="4" w:space="0"/>
              <w:left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4</w:t>
            </w:r>
          </w:p>
        </w:tc>
        <w:tc>
          <w:tcPr>
            <w:tcW w:w="1381" w:type="dxa"/>
            <w:tcBorders>
              <w:top w:val="single" w:color="808080" w:sz="4" w:space="0"/>
              <w:left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5</w:t>
            </w:r>
          </w:p>
        </w:tc>
        <w:tc>
          <w:tcPr>
            <w:tcW w:w="1364" w:type="dxa"/>
            <w:tcBorders>
              <w:top w:val="single" w:color="808080" w:sz="4" w:space="0"/>
              <w:left w:val="single" w:color="808080" w:sz="4" w:space="0"/>
              <w:righ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6</w:t>
            </w:r>
          </w:p>
        </w:tc>
        <w:tc>
          <w:tcPr>
            <w:tcW w:w="1791" w:type="dxa"/>
            <w:tcBorders>
              <w:top w:val="single" w:color="808080" w:sz="4" w:space="0"/>
              <w:left w:val="single" w:color="808080" w:sz="4" w:space="0"/>
            </w:tcBorders>
            <w:noWrap w:val="0"/>
            <w:vAlign w:val="center"/>
          </w:tcPr>
          <w:p>
            <w:pPr>
              <w:spacing w:line="400" w:lineRule="exact"/>
              <w:jc w:val="center"/>
              <w:rPr>
                <w:rFonts w:hint="eastAsia" w:ascii="宋体" w:hAnsi="宋体" w:eastAsia="方正仿宋_GBK" w:cs="方正仿宋_GBK"/>
                <w:sz w:val="28"/>
                <w:szCs w:val="28"/>
              </w:rPr>
            </w:pPr>
            <w:r>
              <w:rPr>
                <w:rFonts w:hint="eastAsia" w:ascii="宋体" w:hAnsi="宋体" w:eastAsia="方正仿宋_GBK" w:cs="方正仿宋_GBK"/>
                <w:sz w:val="28"/>
                <w:szCs w:val="28"/>
              </w:rPr>
              <w:t>10</w:t>
            </w:r>
          </w:p>
        </w:tc>
      </w:tr>
    </w:tbl>
    <w:p>
      <w:pPr>
        <w:spacing w:line="600" w:lineRule="exact"/>
        <w:rPr>
          <w:rFonts w:hint="eastAsia" w:ascii="宋体" w:hAnsi="宋体" w:eastAsia="方正楷体_GBK" w:cs="方正楷体_GBK"/>
          <w:szCs w:val="32"/>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kinsoku/>
        <w:overflowPunct/>
        <w:topLinePunct w:val="0"/>
        <w:bidi w:val="0"/>
        <w:spacing w:line="600" w:lineRule="exact"/>
        <w:textAlignment w:val="auto"/>
        <w:rPr>
          <w:rFonts w:hint="eastAsia" w:ascii="方正仿宋_GBK" w:hAnsi="方正仿宋_GBK" w:eastAsia="方正仿宋_GBK" w:cs="方正仿宋_GBK"/>
          <w:kern w:val="0"/>
          <w:sz w:val="32"/>
          <w:szCs w:val="32"/>
          <w:shd w:val="clear" w:color="auto" w:fill="FFFFFF"/>
          <w:lang w:eastAsia="zh-CN"/>
        </w:rPr>
      </w:pPr>
    </w:p>
    <w:sectPr>
      <w:headerReference r:id="rId3" w:type="default"/>
      <w:footerReference r:id="rId4" w:type="default"/>
      <w:pgSz w:w="11906" w:h="16838"/>
      <w:pgMar w:top="1962" w:right="1474" w:bottom="1848" w:left="1588" w:header="851" w:footer="992" w:gutter="0"/>
      <w:pgNumType w:fmt="numberInDash"/>
      <w:cols w:space="0" w:num="1"/>
      <w:docGrid w:type="lines" w:linePitch="31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仿宋简体">
    <w:altName w:val="方正仿宋_GBK"/>
    <w:panose1 w:val="03000509000000000000"/>
    <w:charset w:val="86"/>
    <w:family w:val="script"/>
    <w:pitch w:val="default"/>
    <w:sig w:usb0="00000000" w:usb1="00000000" w:usb2="00000010" w:usb3="00000000" w:csb0="00040000" w:csb1="00000000"/>
  </w:font>
  <w:font w:name="小标宋">
    <w:altName w:val="方正小标宋_GBK"/>
    <w:panose1 w:val="03000509000000000000"/>
    <w:charset w:val="00"/>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left="7296" w:leftChars="2280" w:firstLine="6400" w:firstLineChars="2000"/>
      <w:rPr>
        <w:rFonts w:eastAsia="仿宋"/>
        <w:sz w:val="32"/>
        <w:szCs w:val="48"/>
      </w:rPr>
    </w:pPr>
    <w:r>
      <w:rPr>
        <w:sz w:val="32"/>
      </w:rPr>
      <mc:AlternateContent>
        <mc:Choice Requires="wps">
          <w:drawing>
            <wp:anchor distT="0" distB="0" distL="114300" distR="114300" simplePos="0" relativeHeight="251665408" behindDoc="0" locked="0" layoutInCell="1" allowOverlap="1">
              <wp:simplePos x="0" y="0"/>
              <wp:positionH relativeFrom="margin">
                <wp:posOffset>5175250</wp:posOffset>
              </wp:positionH>
              <wp:positionV relativeFrom="paragraph">
                <wp:posOffset>0</wp:posOffset>
              </wp:positionV>
              <wp:extent cx="445135" cy="230505"/>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left:407.5pt;margin-top:0pt;height:18.15pt;width:35.05pt;mso-position-horizontal-relative:margin;mso-wrap-style:none;z-index:251665408;mso-width-relative:page;mso-height-relative:page;" filled="f" stroked="f" coordsize="21600,21600" o:gfxdata="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EolUVXWAAAABwEAAA8A&#10;AAAAAAAAAQAgAAAAIgAAAGRycy9kb3ducmV2LnhtbFBLAQIUABQAAAAIAIdO4kCCoAeuGQIAACEE&#10;AAAOAAAAAAAAAAEAIAAAACUBAABkcnMvZTJvRG9jLnhtbFBLBQYAAAAABgAGAFkBAACwBQAAAAA=&#10;">
              <v:fill on="f" focussize="0,0"/>
              <v:stroke on="f" weight="0.5pt"/>
              <v:imagedata o:title=""/>
              <o:lock v:ext="edit" aspectratio="f"/>
              <v:textbox inset="0mm,0mm,0mm,0mm" style="mso-fit-shape-to-text:t;">
                <w:txbxContent>
                  <w:p>
                    <w:pPr>
                      <w:pStyle w:val="9"/>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- 2 -</w:t>
                    </w:r>
                    <w:r>
                      <w:rPr>
                        <w:rFonts w:hint="eastAsia" w:ascii="宋体" w:hAnsi="宋体" w:eastAsia="宋体" w:cs="宋体"/>
                        <w:sz w:val="28"/>
                        <w:szCs w:val="28"/>
                      </w:rPr>
                      <w:fldChar w:fldCharType="end"/>
                    </w:r>
                  </w:p>
                </w:txbxContent>
              </v:textbox>
            </v:shape>
          </w:pict>
        </mc:Fallback>
      </mc:AlternateContent>
    </w:r>
  </w:p>
  <w:p>
    <w:pPr>
      <w:pStyle w:val="10"/>
      <w:wordWrap w:val="0"/>
      <w:ind w:left="1626" w:leftChars="508" w:firstLine="10115" w:firstLineChars="3161"/>
      <w:jc w:val="right"/>
      <w:rPr>
        <w:rFonts w:ascii="宋体" w:hAnsi="宋体" w:eastAsia="宋体" w:cs="宋体"/>
        <w:b/>
        <w:bCs/>
        <w:color w:val="005192"/>
        <w:sz w:val="28"/>
        <w:szCs w:val="44"/>
      </w:rPr>
    </w:pPr>
    <w:r>
      <w:rPr>
        <w:color w:val="FAFAFA"/>
        <w:sz w:val="32"/>
      </w:rPr>
      <mc:AlternateContent>
        <mc:Choice Requires="wps">
          <w:drawing>
            <wp:anchor distT="0" distB="0" distL="114300" distR="114300" simplePos="0" relativeHeight="251664384"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4384;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POnpdHUAAAABgEAAA8AAAAAAAAAAQAgAAAAIgAA&#10;AGRycy9kb3ducmV2LnhtbFBLAQIUABQAAAAIAIdO4kBCEJJo0wEAAHUDAAAOAAAAAAAAAAEAIAAA&#10;ACMBAABkcnMvZTJvRG9jLnhtbFBLBQYAAAAABgAGAFkBAABoBQAAAAA=&#10;">
              <v:fill on="f" focussize="0,0"/>
              <v:stroke weight="1.75pt" color="#005192" miterlimit="8" joinstyle="miter"/>
              <v:imagedata o:title=""/>
              <o:lock v:ext="edit" aspectratio="f"/>
            </v:line>
          </w:pict>
        </mc:Fallback>
      </mc:AlternateContent>
    </w:r>
    <w:r>
      <w:rPr>
        <w:rFonts w:ascii="宋体" w:hAnsi="宋体" w:eastAsia="宋体" w:cs="宋体"/>
        <w:b/>
        <w:bCs/>
        <w:color w:val="005192"/>
        <w:sz w:val="28"/>
        <w:szCs w:val="44"/>
      </w:rPr>
      <w:t>X</w:t>
    </w:r>
    <w:r>
      <w:rPr>
        <w:rFonts w:hint="eastAsia" w:ascii="宋体" w:hAnsi="宋体" w:eastAsia="宋体" w:cs="宋体"/>
        <w:b/>
        <w:bCs/>
        <w:color w:val="005192"/>
        <w:sz w:val="28"/>
        <w:szCs w:val="44"/>
        <w:lang w:eastAsia="zh-CN"/>
      </w:rPr>
      <w:t>重庆市荣昌区人民政府办公室</w:t>
    </w:r>
    <w:r>
      <w:rPr>
        <w:rFonts w:hint="eastAsia" w:ascii="宋体" w:hAnsi="宋体" w:eastAsia="宋体" w:cs="宋体"/>
        <w:b/>
        <w:bCs/>
        <w:color w:val="005192"/>
        <w:sz w:val="28"/>
        <w:szCs w:val="44"/>
      </w:rPr>
      <w:t>发布</w:t>
    </w:r>
    <w:r>
      <w:rPr>
        <w:rFonts w:hint="eastAsia" w:ascii="宋体" w:hAnsi="宋体" w:eastAsia="宋体" w:cs="宋体"/>
        <w:b/>
        <w:bCs/>
        <w:color w:val="005192"/>
        <w:sz w:val="28"/>
        <w:szCs w:val="44"/>
        <w:lang w:val="en-US" w:eastAsia="zh-CN"/>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textAlignment w:val="center"/>
      <w:rPr>
        <w:rFonts w:ascii="方正仿宋_GBK" w:hAnsi="方正仿宋_GBK" w:eastAsia="方正仿宋_GBK" w:cs="方正仿宋_GBK"/>
        <w:b/>
        <w:bCs/>
        <w:color w:val="000000" w:themeColor="text1"/>
        <w:sz w:val="32"/>
        <w14:textFill>
          <w14:solidFill>
            <w14:schemeClr w14:val="tx1"/>
          </w14:solidFill>
        </w14:textFill>
      </w:rPr>
    </w:pPr>
    <w:r>
      <w:rPr>
        <w:rFonts w:ascii="方正仿宋_GBK" w:hAnsi="方正仿宋_GBK" w:eastAsia="方正仿宋_GBK" w:cs="方正仿宋_GBK"/>
        <w:b/>
        <w:bCs/>
        <w:color w:val="000000" w:themeColor="text1"/>
        <w:sz w:val="32"/>
        <w14:textFill>
          <w14:solidFill>
            <w14:schemeClr w14:val="tx1"/>
          </w14:solidFill>
        </w14:textFill>
      </w:rPr>
      <w:ptab w:relativeTo="margin" w:alignment="center" w:leader="none"/>
    </w:r>
    <w:r>
      <w:rPr>
        <w:rFonts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690245</wp:posOffset>
              </wp:positionV>
              <wp:extent cx="5620385" cy="0"/>
              <wp:effectExtent l="0" t="10795" r="18415" b="17780"/>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60288;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DcR5KzUAAAACAEAAA8AAAAAAAAA&#10;AQAgAAAAIgAAAGRycy9kb3ducmV2LnhtbFBLAQIUABQAAAAIAIdO4kDam2zn3AEAAH0DAAAOAAAA&#10;AAAAAAEAIAAAACMBAABkcnMvZTJvRG9jLnhtbFBLBQYAAAAABgAGAFkBAABxBQAAAAA=&#10;">
              <v:fill on="f" focussize="0,0"/>
              <v:stroke weight="1.75pt" color="#005192" miterlimit="8" joinstyle="miter"/>
              <v:imagedata o:title=""/>
              <o:lock v:ext="edit" aspectratio="f"/>
            </v:line>
          </w:pict>
        </mc:Fallback>
      </mc:AlternateContent>
    </w:r>
  </w:p>
  <w:p>
    <w:pPr>
      <w:pStyle w:val="10"/>
      <w:textAlignment w:val="center"/>
      <w:rPr>
        <w:rFonts w:ascii="宋体" w:hAnsi="宋体" w:eastAsia="宋体" w:cs="宋体"/>
        <w:b/>
        <w:bCs/>
        <w:color w:val="005192"/>
        <w:sz w:val="32"/>
        <w:szCs w:val="32"/>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eastAsia="zh-CN"/>
      </w:rPr>
      <w:t>重庆市荣昌区人民政府行政</w:t>
    </w:r>
    <w:r>
      <w:rPr>
        <w:rFonts w:hint="eastAsia" w:ascii="宋体" w:hAnsi="宋体" w:eastAsia="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8"/>
    <w:multiLevelType w:val="singleLevel"/>
    <w:tmpl w:val="00000008"/>
    <w:lvl w:ilvl="0" w:tentative="0">
      <w:start w:val="1"/>
      <w:numFmt w:val="chineseCounting"/>
      <w:suff w:val="nothing"/>
      <w:lvlText w:val="%1、"/>
      <w:lvlJc w:val="left"/>
    </w:lvl>
  </w:abstractNum>
  <w:abstractNum w:abstractNumId="1">
    <w:nsid w:val="0000000C"/>
    <w:multiLevelType w:val="singleLevel"/>
    <w:tmpl w:val="0000000C"/>
    <w:lvl w:ilvl="0" w:tentative="0">
      <w:start w:val="1"/>
      <w:numFmt w:val="decimal"/>
      <w:suff w:val="nothing"/>
      <w:lvlText w:val="%1．"/>
      <w:lvlJc w:val="left"/>
      <w:pPr>
        <w:ind w:left="0" w:firstLine="400"/>
      </w:pPr>
      <w:rPr>
        <w:rFonts w:hint="default"/>
      </w:rPr>
    </w:lvl>
  </w:abstractNum>
  <w:abstractNum w:abstractNumId="2">
    <w:nsid w:val="0000000E"/>
    <w:multiLevelType w:val="singleLevel"/>
    <w:tmpl w:val="0000000E"/>
    <w:lvl w:ilvl="0" w:tentative="0">
      <w:start w:val="4"/>
      <w:numFmt w:val="chineseCounting"/>
      <w:suff w:val="nothing"/>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05"/>
  <w:drawingGridVerticalSpacing w:val="158"/>
  <w:displayHorizontalDrawingGridEvery w:val="2"/>
  <w:displayVerticalDrawingGridEvery w:val="2"/>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72A27"/>
    <w:rsid w:val="0039749E"/>
    <w:rsid w:val="003A5298"/>
    <w:rsid w:val="004E722F"/>
    <w:rsid w:val="007A0D7E"/>
    <w:rsid w:val="007F2D90"/>
    <w:rsid w:val="00A24B31"/>
    <w:rsid w:val="00A33AFA"/>
    <w:rsid w:val="00C431B2"/>
    <w:rsid w:val="00CB1B84"/>
    <w:rsid w:val="00CB3B3E"/>
    <w:rsid w:val="00D9716C"/>
    <w:rsid w:val="00DB3DBC"/>
    <w:rsid w:val="00E46AA7"/>
    <w:rsid w:val="00EA71AA"/>
    <w:rsid w:val="00F84C47"/>
    <w:rsid w:val="00FB5B62"/>
    <w:rsid w:val="019E71BD"/>
    <w:rsid w:val="01E93D58"/>
    <w:rsid w:val="04B679C3"/>
    <w:rsid w:val="05F07036"/>
    <w:rsid w:val="06E00104"/>
    <w:rsid w:val="080F63D8"/>
    <w:rsid w:val="09341458"/>
    <w:rsid w:val="098254C2"/>
    <w:rsid w:val="0A766EDE"/>
    <w:rsid w:val="0AD64BE8"/>
    <w:rsid w:val="0B0912D7"/>
    <w:rsid w:val="0E025194"/>
    <w:rsid w:val="0EEF0855"/>
    <w:rsid w:val="107A654D"/>
    <w:rsid w:val="11DB7C71"/>
    <w:rsid w:val="152D2DCA"/>
    <w:rsid w:val="187168EA"/>
    <w:rsid w:val="196673CA"/>
    <w:rsid w:val="1CF734C9"/>
    <w:rsid w:val="1DEC284C"/>
    <w:rsid w:val="1E6523AC"/>
    <w:rsid w:val="22440422"/>
    <w:rsid w:val="22BB4BBB"/>
    <w:rsid w:val="25EB1AF4"/>
    <w:rsid w:val="2DD05FE1"/>
    <w:rsid w:val="2EAE3447"/>
    <w:rsid w:val="31A15F24"/>
    <w:rsid w:val="36FB1DF0"/>
    <w:rsid w:val="395347B5"/>
    <w:rsid w:val="39A232A0"/>
    <w:rsid w:val="39E745AA"/>
    <w:rsid w:val="3B5A6BBB"/>
    <w:rsid w:val="3CA154E3"/>
    <w:rsid w:val="3CD8524D"/>
    <w:rsid w:val="3EDA13A6"/>
    <w:rsid w:val="3FF56C14"/>
    <w:rsid w:val="417B75E9"/>
    <w:rsid w:val="42430A63"/>
    <w:rsid w:val="42F058B7"/>
    <w:rsid w:val="436109F6"/>
    <w:rsid w:val="441A38D4"/>
    <w:rsid w:val="4504239D"/>
    <w:rsid w:val="4BC77339"/>
    <w:rsid w:val="4C9236C5"/>
    <w:rsid w:val="4E250A85"/>
    <w:rsid w:val="4FFD4925"/>
    <w:rsid w:val="505C172E"/>
    <w:rsid w:val="506405EA"/>
    <w:rsid w:val="52F46F0B"/>
    <w:rsid w:val="532B6A10"/>
    <w:rsid w:val="539E4E99"/>
    <w:rsid w:val="53D8014D"/>
    <w:rsid w:val="550C209A"/>
    <w:rsid w:val="55E064E0"/>
    <w:rsid w:val="572C6D10"/>
    <w:rsid w:val="58CF24CF"/>
    <w:rsid w:val="5DC34279"/>
    <w:rsid w:val="5DCF9B6A"/>
    <w:rsid w:val="5FCD688E"/>
    <w:rsid w:val="5FF9BDAA"/>
    <w:rsid w:val="608816D1"/>
    <w:rsid w:val="60EF4E7F"/>
    <w:rsid w:val="648B0A32"/>
    <w:rsid w:val="658F6764"/>
    <w:rsid w:val="665233C1"/>
    <w:rsid w:val="669937F0"/>
    <w:rsid w:val="69AC0D42"/>
    <w:rsid w:val="6AD9688B"/>
    <w:rsid w:val="6B68303F"/>
    <w:rsid w:val="6D0E3F22"/>
    <w:rsid w:val="744E4660"/>
    <w:rsid w:val="753355A2"/>
    <w:rsid w:val="759F1C61"/>
    <w:rsid w:val="769F2DE8"/>
    <w:rsid w:val="76FDEB7C"/>
    <w:rsid w:val="78DA1E49"/>
    <w:rsid w:val="79C65162"/>
    <w:rsid w:val="79EE7E31"/>
    <w:rsid w:val="7BCE7259"/>
    <w:rsid w:val="7C9011D9"/>
    <w:rsid w:val="7DC651C5"/>
    <w:rsid w:val="7FCC2834"/>
    <w:rsid w:val="7FF74D88"/>
    <w:rsid w:val="92DD1CEF"/>
    <w:rsid w:val="9F7C871F"/>
    <w:rsid w:val="BAF38D96"/>
    <w:rsid w:val="BD9D1569"/>
    <w:rsid w:val="CA69A697"/>
    <w:rsid w:val="DFD6B6F1"/>
    <w:rsid w:val="EBDDA9D0"/>
    <w:rsid w:val="EFFC77D8"/>
    <w:rsid w:val="F05B4F69"/>
    <w:rsid w:val="F7F902F6"/>
    <w:rsid w:val="F97D9566"/>
    <w:rsid w:val="FDFF411C"/>
    <w:rsid w:val="FFFB0C5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方正仿宋_GBK" w:cs="Times New Roman"/>
      <w:kern w:val="2"/>
      <w:sz w:val="32"/>
      <w:lang w:val="en-US" w:eastAsia="zh-CN" w:bidi="ar-SA"/>
    </w:rPr>
  </w:style>
  <w:style w:type="paragraph" w:styleId="3">
    <w:name w:val="heading 1"/>
    <w:basedOn w:val="1"/>
    <w:next w:val="1"/>
    <w:qFormat/>
    <w:uiPriority w:val="0"/>
    <w:pPr>
      <w:snapToGrid w:val="0"/>
      <w:spacing w:line="720" w:lineRule="atLeast"/>
      <w:outlineLvl w:val="0"/>
    </w:pPr>
    <w:rPr>
      <w:rFonts w:ascii="宋体" w:hAnsi="宋体" w:eastAsia="方正小标宋_GBK" w:cs="宋体"/>
      <w:kern w:val="44"/>
      <w:sz w:val="44"/>
      <w:szCs w:val="44"/>
    </w:rPr>
  </w:style>
  <w:style w:type="paragraph" w:styleId="4">
    <w:name w:val="heading 3"/>
    <w:basedOn w:val="1"/>
    <w:next w:val="1"/>
    <w:unhideWhenUsed/>
    <w:qFormat/>
    <w:uiPriority w:val="0"/>
    <w:pPr>
      <w:spacing w:beforeAutospacing="1" w:afterAutospacing="1"/>
      <w:jc w:val="center"/>
      <w:outlineLvl w:val="2"/>
    </w:pPr>
    <w:rPr>
      <w:rFonts w:hint="eastAsia" w:ascii="宋体" w:hAnsi="宋体" w:cs="宋体"/>
      <w:b/>
      <w:kern w:val="0"/>
      <w:szCs w:val="27"/>
    </w:rPr>
  </w:style>
  <w:style w:type="paragraph" w:styleId="5">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3">
    <w:name w:val="Default Paragraph Font"/>
    <w:link w:val="14"/>
    <w:semiHidden/>
    <w:unhideWhenUsed/>
    <w:qFormat/>
    <w:uiPriority w:val="1"/>
    <w:rPr>
      <w:rFonts w:eastAsia="方正仿宋简体"/>
      <w:szCs w:val="24"/>
    </w:rPr>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customStyle="1" w:styleId="2">
    <w:name w:val="Default"/>
    <w:basedOn w:val="1"/>
    <w:qFormat/>
    <w:uiPriority w:val="0"/>
    <w:pPr>
      <w:widowControl/>
      <w:autoSpaceDE w:val="0"/>
      <w:autoSpaceDN w:val="0"/>
      <w:adjustRightInd w:val="0"/>
      <w:jc w:val="left"/>
    </w:pPr>
    <w:rPr>
      <w:rFonts w:ascii="Arial" w:hAnsi="Arial" w:eastAsia="宋体" w:cs="Arial"/>
      <w:color w:val="000000"/>
      <w:kern w:val="0"/>
      <w:sz w:val="24"/>
      <w:szCs w:val="24"/>
    </w:rPr>
  </w:style>
  <w:style w:type="paragraph" w:styleId="6">
    <w:name w:val="annotation text"/>
    <w:basedOn w:val="1"/>
    <w:qFormat/>
    <w:uiPriority w:val="0"/>
    <w:pPr>
      <w:jc w:val="left"/>
    </w:pPr>
  </w:style>
  <w:style w:type="paragraph" w:styleId="7">
    <w:name w:val="Body Text"/>
    <w:basedOn w:val="1"/>
    <w:qFormat/>
    <w:uiPriority w:val="0"/>
    <w:pPr>
      <w:spacing w:line="0" w:lineRule="atLeast"/>
    </w:pPr>
    <w:rPr>
      <w:rFonts w:eastAsia="小标宋"/>
      <w:sz w:val="44"/>
      <w:szCs w:val="20"/>
    </w:rPr>
  </w:style>
  <w:style w:type="paragraph" w:styleId="8">
    <w:name w:val="Balloon Text"/>
    <w:basedOn w:val="1"/>
    <w:link w:val="19"/>
    <w:qFormat/>
    <w:uiPriority w:val="0"/>
    <w:rPr>
      <w:sz w:val="18"/>
      <w:szCs w:val="18"/>
    </w:r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1">
    <w:name w:val="Normal (Web)"/>
    <w:basedOn w:val="1"/>
    <w:qFormat/>
    <w:uiPriority w:val="0"/>
    <w:pPr>
      <w:spacing w:beforeAutospacing="1" w:afterAutospacing="1"/>
      <w:jc w:val="left"/>
    </w:pPr>
    <w:rPr>
      <w:rFonts w:cs="Times New Roman"/>
      <w:kern w:val="0"/>
      <w:sz w:val="24"/>
    </w:rPr>
  </w:style>
  <w:style w:type="paragraph" w:customStyle="1" w:styleId="14">
    <w:name w:val="Char1 Char Char Char"/>
    <w:basedOn w:val="1"/>
    <w:link w:val="13"/>
    <w:qFormat/>
    <w:uiPriority w:val="0"/>
    <w:pPr>
      <w:widowControl/>
      <w:spacing w:after="160" w:line="240" w:lineRule="exact"/>
      <w:jc w:val="left"/>
    </w:pPr>
    <w:rPr>
      <w:rFonts w:eastAsia="方正仿宋简体"/>
      <w:szCs w:val="24"/>
    </w:rPr>
  </w:style>
  <w:style w:type="character" w:styleId="15">
    <w:name w:val="Strong"/>
    <w:basedOn w:val="13"/>
    <w:qFormat/>
    <w:uiPriority w:val="0"/>
    <w:rPr>
      <w:b/>
      <w:bCs/>
    </w:rPr>
  </w:style>
  <w:style w:type="character" w:styleId="16">
    <w:name w:val="page number"/>
    <w:basedOn w:val="13"/>
    <w:qFormat/>
    <w:uiPriority w:val="0"/>
    <w:rPr>
      <w:rFonts w:eastAsia="宋体"/>
      <w:sz w:val="28"/>
    </w:rPr>
  </w:style>
  <w:style w:type="character" w:styleId="17">
    <w:name w:val="annotation reference"/>
    <w:basedOn w:val="13"/>
    <w:qFormat/>
    <w:uiPriority w:val="0"/>
    <w:rPr>
      <w:sz w:val="21"/>
      <w:szCs w:val="21"/>
    </w:rPr>
  </w:style>
  <w:style w:type="paragraph" w:customStyle="1" w:styleId="18">
    <w:name w:val="p0"/>
    <w:basedOn w:val="1"/>
    <w:qFormat/>
    <w:uiPriority w:val="0"/>
    <w:pPr>
      <w:widowControl/>
    </w:pPr>
    <w:rPr>
      <w:rFonts w:ascii="Calibri" w:hAnsi="Calibri" w:eastAsia="宋体" w:cs="宋体"/>
      <w:kern w:val="0"/>
      <w:szCs w:val="32"/>
    </w:rPr>
  </w:style>
  <w:style w:type="character" w:customStyle="1" w:styleId="19">
    <w:name w:val="批注框文本 Char"/>
    <w:basedOn w:val="13"/>
    <w:link w:val="8"/>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8</Words>
  <Characters>48</Characters>
  <Lines>1</Lines>
  <Paragraphs>1</Paragraphs>
  <TotalTime>1</TotalTime>
  <ScaleCrop>false</ScaleCrop>
  <LinksUpToDate>false</LinksUpToDate>
  <CharactersWithSpaces>55</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2022-06-11T03:34:00Z</dcterms:created>
  <dc:creator>t</dc:creator>
  <cp:lastModifiedBy>Administrator</cp:lastModifiedBy>
  <cp:lastPrinted>2022-06-08T16:09:00Z</cp:lastPrinted>
  <dcterms:modified xsi:type="dcterms:W3CDTF">2022-06-12T07:28:17Z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y fmtid="{D5CDD505-2E9C-101B-9397-08002B2CF9AE}" pid="3" name="ICV">
    <vt:lpwstr>48C61CB29D3F4D9384F5922CF0F7FFB4</vt:lpwstr>
  </property>
</Properties>
</file>