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keepNext w:val="0"/>
        <w:keepLines w:val="0"/>
        <w:pageBreakBefore w:val="0"/>
        <w:widowControl/>
        <w:kinsoku/>
        <w:wordWrap/>
        <w:overflowPunct/>
        <w:topLinePunct w:val="0"/>
        <w:autoSpaceDE/>
        <w:autoSpaceDN/>
        <w:bidi w:val="0"/>
        <w:adjustRightInd/>
        <w:snapToGrid w:val="0"/>
        <w:spacing w:line="540" w:lineRule="atLeast"/>
        <w:jc w:val="center"/>
        <w:textAlignment w:val="auto"/>
        <w:outlineLvl w:val="1"/>
        <w:rPr>
          <w:rFonts w:hint="eastAsia" w:ascii="方正小标宋_GBK" w:hAnsi="宋体" w:eastAsia="方正小标宋_GBK"/>
          <w:bCs/>
          <w:sz w:val="44"/>
          <w:szCs w:val="44"/>
        </w:rPr>
      </w:pPr>
    </w:p>
    <w:p>
      <w:pPr>
        <w:pStyle w:val="18"/>
        <w:keepNext w:val="0"/>
        <w:keepLines w:val="0"/>
        <w:pageBreakBefore w:val="0"/>
        <w:widowControl/>
        <w:kinsoku/>
        <w:wordWrap/>
        <w:overflowPunct/>
        <w:topLinePunct w:val="0"/>
        <w:autoSpaceDE/>
        <w:autoSpaceDN/>
        <w:bidi w:val="0"/>
        <w:adjustRightInd/>
        <w:snapToGrid w:val="0"/>
        <w:spacing w:line="540" w:lineRule="atLeast"/>
        <w:jc w:val="center"/>
        <w:textAlignment w:val="auto"/>
        <w:outlineLvl w:val="1"/>
        <w:rPr>
          <w:rFonts w:hint="eastAsia" w:ascii="方正小标宋_GBK" w:hAnsi="宋体" w:eastAsia="方正小标宋_GBK"/>
          <w:bCs/>
          <w:sz w:val="44"/>
          <w:szCs w:val="44"/>
        </w:rPr>
      </w:pPr>
    </w:p>
    <w:p>
      <w:pPr>
        <w:pStyle w:val="18"/>
        <w:keepNext w:val="0"/>
        <w:keepLines w:val="0"/>
        <w:pageBreakBefore w:val="0"/>
        <w:widowControl/>
        <w:kinsoku/>
        <w:wordWrap/>
        <w:overflowPunct/>
        <w:topLinePunct w:val="0"/>
        <w:autoSpaceDE/>
        <w:autoSpaceDN/>
        <w:bidi w:val="0"/>
        <w:adjustRightInd/>
        <w:snapToGrid w:val="0"/>
        <w:spacing w:line="540" w:lineRule="atLeast"/>
        <w:jc w:val="center"/>
        <w:textAlignment w:val="auto"/>
        <w:outlineLvl w:val="1"/>
        <w:rPr>
          <w:rFonts w:ascii="方正小标宋_GBK" w:hAnsi="宋体" w:eastAsia="方正小标宋_GBK"/>
          <w:bCs/>
          <w:sz w:val="44"/>
          <w:szCs w:val="44"/>
        </w:rPr>
      </w:pPr>
      <w:r>
        <w:rPr>
          <w:rFonts w:hint="eastAsia" w:ascii="方正小标宋_GBK" w:hAnsi="宋体" w:eastAsia="方正小标宋_GBK"/>
          <w:bCs/>
          <w:sz w:val="44"/>
          <w:szCs w:val="44"/>
        </w:rPr>
        <w:t>重庆市荣昌区人民政府</w:t>
      </w:r>
    </w:p>
    <w:p>
      <w:pPr>
        <w:pStyle w:val="18"/>
        <w:keepNext w:val="0"/>
        <w:keepLines w:val="0"/>
        <w:pageBreakBefore w:val="0"/>
        <w:widowControl/>
        <w:kinsoku/>
        <w:wordWrap/>
        <w:overflowPunct/>
        <w:topLinePunct w:val="0"/>
        <w:autoSpaceDE/>
        <w:autoSpaceDN/>
        <w:bidi w:val="0"/>
        <w:adjustRightInd/>
        <w:snapToGrid w:val="0"/>
        <w:spacing w:line="540" w:lineRule="atLeast"/>
        <w:jc w:val="center"/>
        <w:textAlignment w:val="auto"/>
        <w:outlineLvl w:val="1"/>
        <w:rPr>
          <w:rFonts w:hint="eastAsia" w:ascii="方正小标宋_GBK" w:hAnsi="宋体" w:eastAsia="方正小标宋_GBK"/>
          <w:bCs/>
          <w:sz w:val="44"/>
          <w:szCs w:val="44"/>
        </w:rPr>
      </w:pPr>
      <w:r>
        <w:rPr>
          <w:rFonts w:hint="eastAsia" w:ascii="方正小标宋_GBK" w:hAnsi="宋体" w:eastAsia="方正小标宋_GBK"/>
          <w:bCs/>
          <w:sz w:val="44"/>
          <w:szCs w:val="44"/>
        </w:rPr>
        <w:t>关于调整高污染燃料禁燃区的通告</w:t>
      </w:r>
    </w:p>
    <w:p>
      <w:pPr>
        <w:keepNext w:val="0"/>
        <w:keepLines w:val="0"/>
        <w:pageBreakBefore w:val="0"/>
        <w:kinsoku/>
        <w:overflowPunct/>
        <w:topLinePunct w:val="0"/>
        <w:autoSpaceDE/>
        <w:autoSpaceDN/>
        <w:bidi w:val="0"/>
        <w:adjustRightInd/>
        <w:snapToGrid w:val="0"/>
        <w:spacing w:line="600" w:lineRule="exact"/>
        <w:jc w:val="center"/>
        <w:textAlignment w:val="auto"/>
        <w:rPr>
          <w:rFonts w:hint="eastAsia" w:ascii="方正小标宋_GBK" w:hAnsi="宋体" w:eastAsia="方正小标宋_GBK"/>
          <w:bCs/>
          <w:sz w:val="44"/>
          <w:szCs w:val="44"/>
        </w:rPr>
      </w:pPr>
      <w:r>
        <w:rPr>
          <w:rFonts w:hint="eastAsia" w:ascii="宋体" w:hAnsi="宋体" w:eastAsia="方正仿宋_GBK" w:cs="方正仿宋_GBK"/>
          <w:szCs w:val="32"/>
        </w:rPr>
        <w:t>荣昌府通〔2020〕4号</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bCs/>
          <w:szCs w:val="32"/>
        </w:rPr>
      </w:pPr>
    </w:p>
    <w:p>
      <w:pPr>
        <w:keepNext w:val="0"/>
        <w:keepLines w:val="0"/>
        <w:pageBreakBefore w:val="0"/>
        <w:kinsoku/>
        <w:overflowPunct/>
        <w:topLinePunct w:val="0"/>
        <w:autoSpaceDE/>
        <w:autoSpaceDN/>
        <w:bidi w:val="0"/>
        <w:adjustRightInd/>
        <w:spacing w:line="600" w:lineRule="exact"/>
        <w:ind w:firstLine="640" w:firstLineChars="200"/>
        <w:textAlignment w:val="auto"/>
        <w:rPr>
          <w:rFonts w:ascii="宋体" w:hAnsi="宋体" w:eastAsia="方正仿宋_GBK" w:cs="方正仿宋_GBK"/>
          <w:szCs w:val="32"/>
        </w:rPr>
      </w:pPr>
      <w:r>
        <w:rPr>
          <w:rFonts w:hint="eastAsia" w:ascii="宋体" w:hAnsi="宋体" w:eastAsia="方正仿宋_GBK" w:cs="方正仿宋_GBK"/>
          <w:szCs w:val="32"/>
        </w:rPr>
        <w:t>为持续改善环境空气质量，保障人民群众身体健康，根据《中华人民共和国大气污染防治法》《重庆市大气污染防治实施条例》有关规定，经区政府第97次常务会议审议同意，决定调整高污染燃料禁燃区。现通告如下：</w:t>
      </w:r>
    </w:p>
    <w:p>
      <w:pPr>
        <w:pStyle w:val="18"/>
        <w:keepNext w:val="0"/>
        <w:keepLines w:val="0"/>
        <w:pageBreakBefore w:val="0"/>
        <w:kinsoku/>
        <w:overflowPunct/>
        <w:topLinePunct w:val="0"/>
        <w:autoSpaceDE/>
        <w:autoSpaceDN/>
        <w:bidi w:val="0"/>
        <w:adjustRightInd/>
        <w:spacing w:line="600" w:lineRule="exact"/>
        <w:ind w:firstLine="640" w:firstLineChars="200"/>
        <w:textAlignment w:val="auto"/>
        <w:outlineLvl w:val="1"/>
        <w:rPr>
          <w:rFonts w:ascii="宋体" w:hAnsi="宋体" w:eastAsia="方正黑体_GBK" w:cs="方正黑体_GBK"/>
          <w:szCs w:val="32"/>
        </w:rPr>
      </w:pPr>
      <w:r>
        <w:rPr>
          <w:rFonts w:hint="eastAsia" w:ascii="宋体" w:hAnsi="宋体" w:eastAsia="方正黑体_GBK" w:cs="方正黑体_GBK"/>
          <w:szCs w:val="32"/>
        </w:rPr>
        <w:t>一、禁止燃用的高污染燃料类型</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ascii="宋体" w:hAnsi="宋体" w:eastAsia="方正仿宋_GBK" w:cs="方正仿宋_GBK"/>
          <w:kern w:val="0"/>
          <w:szCs w:val="32"/>
        </w:rPr>
      </w:pPr>
      <w:r>
        <w:rPr>
          <w:rFonts w:hint="eastAsia" w:ascii="宋体" w:hAnsi="宋体" w:eastAsia="方正仿宋_GBK" w:cs="方正仿宋_GBK"/>
          <w:kern w:val="0"/>
          <w:szCs w:val="32"/>
        </w:rPr>
        <w:t>根据原环保部《高污染燃料目录》（国环规大气〔</w:t>
      </w:r>
      <w:r>
        <w:rPr>
          <w:rFonts w:ascii="宋体" w:hAnsi="宋体" w:eastAsia="方正仿宋_GBK" w:cs="方正仿宋_GBK"/>
          <w:kern w:val="0"/>
          <w:szCs w:val="32"/>
        </w:rPr>
        <w:t>2017</w:t>
      </w:r>
      <w:r>
        <w:rPr>
          <w:rFonts w:hint="eastAsia" w:ascii="宋体" w:hAnsi="宋体" w:eastAsia="方正仿宋_GBK" w:cs="方正仿宋_GBK"/>
          <w:kern w:val="0"/>
          <w:szCs w:val="32"/>
        </w:rPr>
        <w:t>〕</w:t>
      </w:r>
      <w:r>
        <w:rPr>
          <w:rFonts w:ascii="宋体" w:hAnsi="宋体" w:eastAsia="方正仿宋_GBK" w:cs="方正仿宋_GBK"/>
          <w:kern w:val="0"/>
          <w:szCs w:val="32"/>
        </w:rPr>
        <w:t>2</w:t>
      </w:r>
      <w:r>
        <w:rPr>
          <w:rFonts w:hint="eastAsia" w:ascii="宋体" w:hAnsi="宋体" w:eastAsia="方正仿宋_GBK" w:cs="方正仿宋_GBK"/>
          <w:kern w:val="0"/>
          <w:szCs w:val="32"/>
        </w:rPr>
        <w:t>号）及我区实际，我区高污染燃料禁燃区执行Ⅲ类（严格）管理，禁燃区内禁止燃用以下燃料组合：</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ascii="宋体" w:hAnsi="宋体" w:eastAsia="方正仿宋_GBK" w:cs="方正仿宋_GBK"/>
          <w:kern w:val="0"/>
          <w:szCs w:val="32"/>
        </w:rPr>
      </w:pPr>
      <w:r>
        <w:rPr>
          <w:rFonts w:hint="eastAsia" w:ascii="宋体" w:hAnsi="宋体" w:eastAsia="方正仿宋_GBK" w:cs="方正仿宋_GBK"/>
          <w:kern w:val="0"/>
          <w:szCs w:val="32"/>
        </w:rPr>
        <w:t>（一）煤炭及其制品（包括原煤、散煤、煤矸石、煤泥、煤粉、水煤浆、型煤、焦炭、兰炭等）。</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ascii="宋体" w:hAnsi="宋体" w:eastAsia="方正仿宋_GBK" w:cs="方正仿宋_GBK"/>
          <w:kern w:val="0"/>
          <w:szCs w:val="32"/>
        </w:rPr>
      </w:pPr>
      <w:r>
        <w:rPr>
          <w:rFonts w:hint="eastAsia" w:ascii="宋体" w:hAnsi="宋体" w:eastAsia="方正仿宋_GBK" w:cs="方正仿宋_GBK"/>
          <w:kern w:val="0"/>
          <w:szCs w:val="32"/>
        </w:rPr>
        <w:t>（二）石油焦、油页岩、原油、重油、渣油、煤焦油。</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ascii="宋体" w:hAnsi="宋体" w:eastAsia="方正仿宋_GBK" w:cs="方正仿宋_GBK"/>
          <w:kern w:val="0"/>
          <w:szCs w:val="32"/>
        </w:rPr>
      </w:pPr>
      <w:r>
        <w:rPr>
          <w:rFonts w:hint="eastAsia" w:ascii="宋体" w:hAnsi="宋体" w:eastAsia="方正仿宋_GBK" w:cs="方正仿宋_GBK"/>
          <w:kern w:val="0"/>
          <w:szCs w:val="32"/>
        </w:rPr>
        <w:t>（三）非专用锅炉或未配置高效除尘设施的专用锅炉燃用的生物质成型燃料。</w:t>
      </w:r>
    </w:p>
    <w:p>
      <w:pPr>
        <w:pStyle w:val="18"/>
        <w:keepNext w:val="0"/>
        <w:keepLines w:val="0"/>
        <w:pageBreakBefore w:val="0"/>
        <w:kinsoku/>
        <w:overflowPunct/>
        <w:topLinePunct w:val="0"/>
        <w:autoSpaceDE/>
        <w:autoSpaceDN/>
        <w:bidi w:val="0"/>
        <w:adjustRightInd/>
        <w:spacing w:line="600" w:lineRule="exact"/>
        <w:ind w:firstLine="640" w:firstLineChars="200"/>
        <w:textAlignment w:val="auto"/>
        <w:outlineLvl w:val="1"/>
        <w:rPr>
          <w:rFonts w:ascii="宋体" w:hAnsi="宋体" w:eastAsia="方正黑体_GBK" w:cs="方正黑体_GBK"/>
          <w:szCs w:val="32"/>
        </w:rPr>
      </w:pPr>
      <w:r>
        <w:rPr>
          <w:rFonts w:hint="eastAsia" w:ascii="宋体" w:hAnsi="宋体" w:eastAsia="方正黑体_GBK" w:cs="方正黑体_GBK"/>
          <w:szCs w:val="32"/>
        </w:rPr>
        <w:t>二、禁燃区调整后范围</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kern w:val="0"/>
          <w:szCs w:val="32"/>
        </w:rPr>
      </w:pPr>
      <w:r>
        <w:rPr>
          <w:rFonts w:hint="eastAsia" w:ascii="宋体" w:hAnsi="宋体" w:eastAsia="方正仿宋_GBK" w:cs="方正仿宋_GBK"/>
          <w:kern w:val="0"/>
          <w:szCs w:val="32"/>
        </w:rPr>
        <w:t>禁燃区域为城区中心区域及板桥工业园区部分区域。四至范</w:t>
      </w:r>
    </w:p>
    <w:p>
      <w:pPr>
        <w:keepNext w:val="0"/>
        <w:keepLines w:val="0"/>
        <w:pageBreakBefore w:val="0"/>
        <w:kinsoku/>
        <w:overflowPunct/>
        <w:topLinePunct w:val="0"/>
        <w:autoSpaceDE/>
        <w:autoSpaceDN/>
        <w:bidi w:val="0"/>
        <w:adjustRightInd/>
        <w:spacing w:line="600" w:lineRule="exact"/>
        <w:textAlignment w:val="auto"/>
        <w:rPr>
          <w:rFonts w:ascii="宋体" w:hAnsi="宋体" w:eastAsia="方正仿宋_GBK" w:cs="方正仿宋_GBK"/>
          <w:kern w:val="0"/>
          <w:szCs w:val="32"/>
        </w:rPr>
      </w:pPr>
      <w:r>
        <w:rPr>
          <w:rFonts w:hint="eastAsia" w:ascii="宋体" w:hAnsi="宋体" w:eastAsia="方正仿宋_GBK" w:cs="方正仿宋_GBK"/>
          <w:kern w:val="0"/>
          <w:szCs w:val="32"/>
        </w:rPr>
        <w:t>围：东北部扩至东环路和渝隆路交界处，东部扩至明珠路，南部扩至万福路，北部至成渝高速公路，西部至碧水西城。面积约20.8平方公里，比2018年增加9平方公里。涉及镇街及社区：昌元街道（玉屏社区、桂花社区、白象社区、海棠社区）、昌州街道（宝城寺社区、黄金坡社区、杜家坝社区、板桥社区、海螺社区、油栎社区）、峰高街道（东湖社区）。</w:t>
      </w:r>
      <w:bookmarkStart w:id="0" w:name="_GoBack"/>
      <w:bookmarkEnd w:id="0"/>
    </w:p>
    <w:p>
      <w:pPr>
        <w:pStyle w:val="18"/>
        <w:keepNext w:val="0"/>
        <w:keepLines w:val="0"/>
        <w:pageBreakBefore w:val="0"/>
        <w:kinsoku/>
        <w:overflowPunct/>
        <w:topLinePunct w:val="0"/>
        <w:autoSpaceDE/>
        <w:autoSpaceDN/>
        <w:bidi w:val="0"/>
        <w:adjustRightInd/>
        <w:spacing w:line="600" w:lineRule="exact"/>
        <w:ind w:firstLine="640" w:firstLineChars="200"/>
        <w:textAlignment w:val="auto"/>
        <w:outlineLvl w:val="1"/>
        <w:rPr>
          <w:rFonts w:ascii="宋体" w:hAnsi="宋体" w:eastAsia="方正黑体_GBK" w:cs="方正仿宋_GBK"/>
          <w:szCs w:val="32"/>
        </w:rPr>
      </w:pPr>
      <w:r>
        <w:rPr>
          <w:rFonts w:hint="eastAsia" w:ascii="宋体" w:hAnsi="宋体" w:eastAsia="方正黑体_GBK" w:cs="方正黑体_GBK"/>
          <w:szCs w:val="32"/>
        </w:rPr>
        <w:t>三、禁燃区管理规定</w:t>
      </w:r>
    </w:p>
    <w:p>
      <w:pPr>
        <w:pStyle w:val="18"/>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（一）自本通告实施之日起，禁燃区内禁止销售、燃用高污染燃料；禁燃区内不得新建、改建、扩建任何燃用高污染燃料的项目和设备。</w:t>
      </w:r>
    </w:p>
    <w:p>
      <w:pPr>
        <w:pStyle w:val="18"/>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（二）本通告实施前已建成燃用高污染燃料的各类设备应于2020年12月31日前拆除，或者改用管道天</w:t>
      </w:r>
      <w:r>
        <w:rPr>
          <w:rFonts w:hint="eastAsia" w:ascii="方正仿宋_GBK" w:hAnsi="方正仿宋_GBK" w:eastAsia="方正仿宋_GBK" w:cs="方正仿宋_GBK"/>
          <w:szCs w:val="32"/>
          <w:lang w:eastAsia="zh-CN"/>
        </w:rPr>
        <w:t>然</w:t>
      </w:r>
      <w:r>
        <w:rPr>
          <w:rFonts w:hint="eastAsia" w:ascii="方正仿宋_GBK" w:hAnsi="方正仿宋_GBK" w:eastAsia="方正仿宋_GBK" w:cs="方正仿宋_GBK"/>
          <w:szCs w:val="32"/>
        </w:rPr>
        <w:t>气、页岩气、液化石油气、电等清洁能源，或者配备专用锅炉和除尘装置的生物质成型燃料。</w:t>
      </w:r>
    </w:p>
    <w:p>
      <w:pPr>
        <w:pStyle w:val="18"/>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（三）现有燃用高污染燃料设备在拆除或改造之前，有关单位和个人应当采取措施，确保排放的大气污染物达到国家和重庆市规定的排放标准。</w:t>
      </w:r>
    </w:p>
    <w:p>
      <w:pPr>
        <w:pStyle w:val="18"/>
        <w:keepNext w:val="0"/>
        <w:keepLines w:val="0"/>
        <w:pageBreakBefore w:val="0"/>
        <w:kinsoku/>
        <w:overflowPunct/>
        <w:topLinePunct w:val="0"/>
        <w:autoSpaceDE/>
        <w:autoSpaceDN/>
        <w:bidi w:val="0"/>
        <w:adjustRightInd/>
        <w:spacing w:line="600" w:lineRule="exact"/>
        <w:ind w:firstLine="640" w:firstLineChars="200"/>
        <w:textAlignment w:val="auto"/>
        <w:outlineLvl w:val="1"/>
        <w:rPr>
          <w:rFonts w:ascii="宋体" w:hAnsi="宋体" w:eastAsia="方正黑体_GBK" w:cs="方正黑体_GBK"/>
          <w:szCs w:val="32"/>
        </w:rPr>
      </w:pPr>
      <w:r>
        <w:rPr>
          <w:rFonts w:hint="eastAsia" w:ascii="宋体" w:hAnsi="宋体" w:eastAsia="方正黑体_GBK" w:cs="方正黑体_GBK"/>
          <w:szCs w:val="32"/>
        </w:rPr>
        <w:t>四、实施时间</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ascii="宋体" w:hAnsi="宋体" w:eastAsia="方正仿宋_GBK" w:cs="方正仿宋_GBK"/>
          <w:szCs w:val="32"/>
        </w:rPr>
      </w:pPr>
      <w:r>
        <w:rPr>
          <w:rFonts w:hint="eastAsia" w:ascii="宋体" w:hAnsi="宋体" w:eastAsia="方正仿宋_GBK" w:cs="方正仿宋_GBK"/>
          <w:szCs w:val="32"/>
        </w:rPr>
        <w:t>本通告自2020年12月29日起施行。原《重庆市荣昌区人民政府关于调整高污染燃料禁燃区的通告》（荣昌府通〔2018〕2号）同时废止。</w:t>
      </w:r>
    </w:p>
    <w:p>
      <w:pPr>
        <w:keepNext w:val="0"/>
        <w:keepLines w:val="0"/>
        <w:pageBreakBefore w:val="0"/>
        <w:kinsoku/>
        <w:overflowPunct/>
        <w:topLinePunct w:val="0"/>
        <w:autoSpaceDE/>
        <w:autoSpaceDN/>
        <w:bidi w:val="0"/>
        <w:adjustRightInd/>
        <w:spacing w:line="600" w:lineRule="exact"/>
        <w:ind w:firstLine="200"/>
        <w:textAlignment w:val="auto"/>
        <w:rPr>
          <w:rFonts w:hint="eastAsia" w:ascii="宋体" w:hAnsi="宋体" w:eastAsia="方正仿宋_GBK" w:cs="方正仿宋_GBK"/>
          <w:szCs w:val="32"/>
        </w:rPr>
      </w:pPr>
    </w:p>
    <w:p>
      <w:pPr>
        <w:keepNext w:val="0"/>
        <w:keepLines w:val="0"/>
        <w:pageBreakBefore w:val="0"/>
        <w:kinsoku/>
        <w:overflowPunct/>
        <w:topLinePunct w:val="0"/>
        <w:autoSpaceDE/>
        <w:autoSpaceDN/>
        <w:bidi w:val="0"/>
        <w:adjustRightInd/>
        <w:spacing w:line="600" w:lineRule="exact"/>
        <w:ind w:firstLine="200"/>
        <w:textAlignment w:val="auto"/>
        <w:rPr>
          <w:rFonts w:hint="eastAsia" w:ascii="宋体" w:hAnsi="宋体" w:eastAsia="方正仿宋_GBK" w:cs="方正仿宋_GBK"/>
          <w:szCs w:val="32"/>
        </w:rPr>
      </w:pPr>
    </w:p>
    <w:p>
      <w:pPr>
        <w:keepNext w:val="0"/>
        <w:keepLines w:val="0"/>
        <w:pageBreakBefore w:val="0"/>
        <w:kinsoku/>
        <w:overflowPunct/>
        <w:topLinePunct w:val="0"/>
        <w:autoSpaceDE/>
        <w:autoSpaceDN/>
        <w:bidi w:val="0"/>
        <w:adjustRightInd/>
        <w:spacing w:line="600" w:lineRule="exact"/>
        <w:ind w:firstLine="200"/>
        <w:textAlignment w:val="auto"/>
        <w:rPr>
          <w:rFonts w:hint="eastAsia" w:ascii="宋体" w:hAnsi="宋体" w:eastAsia="方正仿宋_GBK" w:cs="方正仿宋_GBK"/>
          <w:szCs w:val="32"/>
        </w:rPr>
      </w:pPr>
    </w:p>
    <w:p>
      <w:pPr>
        <w:keepNext w:val="0"/>
        <w:keepLines w:val="0"/>
        <w:pageBreakBefore w:val="0"/>
        <w:kinsoku/>
        <w:wordWrap w:val="0"/>
        <w:overflowPunct/>
        <w:topLinePunct w:val="0"/>
        <w:autoSpaceDE/>
        <w:autoSpaceDN/>
        <w:bidi w:val="0"/>
        <w:adjustRightInd/>
        <w:spacing w:line="600" w:lineRule="exact"/>
        <w:ind w:firstLine="200"/>
        <w:jc w:val="right"/>
        <w:textAlignment w:val="auto"/>
        <w:rPr>
          <w:rFonts w:ascii="宋体" w:hAnsi="宋体" w:eastAsia="方正仿宋_GBK" w:cs="方正仿宋_GBK"/>
          <w:kern w:val="0"/>
          <w:szCs w:val="32"/>
        </w:rPr>
      </w:pPr>
      <w:r>
        <w:rPr>
          <w:rFonts w:hint="eastAsia" w:ascii="宋体" w:hAnsi="宋体" w:eastAsia="方正仿宋_GBK" w:cs="方正仿宋_GBK"/>
          <w:kern w:val="0"/>
          <w:szCs w:val="32"/>
        </w:rPr>
        <w:t>重庆市荣昌区人民政府　　　</w:t>
      </w:r>
    </w:p>
    <w:p>
      <w:pPr>
        <w:keepNext w:val="0"/>
        <w:keepLines w:val="0"/>
        <w:pageBreakBefore w:val="0"/>
        <w:kinsoku/>
        <w:wordWrap w:val="0"/>
        <w:overflowPunct/>
        <w:topLinePunct w:val="0"/>
        <w:autoSpaceDE/>
        <w:autoSpaceDN/>
        <w:bidi w:val="0"/>
        <w:adjustRightInd/>
        <w:spacing w:line="600" w:lineRule="exact"/>
        <w:ind w:firstLine="200"/>
        <w:jc w:val="right"/>
        <w:textAlignment w:val="auto"/>
        <w:rPr>
          <w:rFonts w:hint="eastAsia" w:ascii="宋体" w:hAnsi="宋体" w:eastAsia="方正仿宋_GBK" w:cs="方正仿宋_GBK"/>
          <w:kern w:val="0"/>
          <w:szCs w:val="32"/>
        </w:rPr>
      </w:pPr>
      <w:r>
        <w:rPr>
          <w:rFonts w:hint="eastAsia" w:ascii="宋体" w:hAnsi="宋体" w:eastAsia="方正仿宋_GBK" w:cs="方正仿宋_GBK"/>
          <w:kern w:val="0"/>
          <w:szCs w:val="32"/>
        </w:rPr>
        <w:t>2020年12月29日　　　　</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color w:val="000000"/>
          <w:kern w:val="0"/>
          <w:szCs w:val="32"/>
          <w:shd w:val="clear" w:color="auto" w:fill="FFFFFF"/>
          <w:lang w:bidi="ar"/>
        </w:rPr>
      </w:pPr>
      <w:r>
        <w:rPr>
          <w:rFonts w:hint="eastAsia" w:ascii="宋体" w:hAnsi="宋体" w:eastAsia="方正仿宋_GBK" w:cs="方正仿宋_GBK"/>
          <w:color w:val="000000"/>
          <w:kern w:val="0"/>
          <w:szCs w:val="32"/>
          <w:shd w:val="clear" w:color="auto" w:fill="FFFFFF"/>
          <w:lang w:bidi="ar"/>
        </w:rPr>
        <w:t>（此件公开发布）</w:t>
      </w:r>
    </w:p>
    <w:p>
      <w:pPr>
        <w:ind w:firstLine="200"/>
        <w:rPr>
          <w:rFonts w:hint="eastAsia" w:ascii="宋体" w:hAnsi="宋体" w:eastAsia="方正仿宋_GBK"/>
          <w:szCs w:val="32"/>
        </w:rPr>
      </w:pPr>
    </w:p>
    <w:p>
      <w:pPr>
        <w:keepNext w:val="0"/>
        <w:keepLines w:val="0"/>
        <w:pageBreakBefore w:val="0"/>
        <w:kinsoku/>
        <w:overflowPunct/>
        <w:topLinePunct w:val="0"/>
        <w:bidi w:val="0"/>
        <w:spacing w:line="600" w:lineRule="exact"/>
        <w:textAlignment w:val="auto"/>
        <w:rPr>
          <w:rFonts w:hint="eastAsia" w:ascii="方正仿宋_GBK" w:hAnsi="方正仿宋_GBK" w:eastAsia="方正仿宋_GBK" w:cs="方正仿宋_GBK"/>
          <w:kern w:val="0"/>
          <w:sz w:val="32"/>
          <w:szCs w:val="32"/>
          <w:shd w:val="clear" w:color="auto" w:fill="FFFFFF"/>
          <w:lang w:eastAsia="zh-CN"/>
        </w:rPr>
      </w:pPr>
    </w:p>
    <w:sectPr>
      <w:headerReference r:id="rId3" w:type="default"/>
      <w:footerReference r:id="rId4" w:type="default"/>
      <w:pgSz w:w="11906" w:h="16838"/>
      <w:pgMar w:top="1962" w:right="1474" w:bottom="1848" w:left="1588"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altName w:val="方正仿宋_GBK"/>
    <w:panose1 w:val="03000509000000000000"/>
    <w:charset w:val="86"/>
    <w:family w:val="script"/>
    <w:pitch w:val="default"/>
    <w:sig w:usb0="00000000" w:usb1="00000000" w:usb2="00000010" w:usb3="00000000" w:csb0="00040000" w:csb1="00000000"/>
  </w:font>
  <w:font w:name="小标宋">
    <w:altName w:val="方正小标宋_GBK"/>
    <w:panose1 w:val="03000509000000000000"/>
    <w:charset w:val="00"/>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7296" w:leftChars="2280" w:firstLine="6400" w:firstLineChars="2000"/>
      <w:rPr>
        <w:rFonts w:eastAsia="仿宋"/>
        <w:sz w:val="32"/>
        <w:szCs w:val="48"/>
      </w:rPr>
    </w:pPr>
    <w:r>
      <w:rPr>
        <w:sz w:val="32"/>
      </w:rPr>
      <mc:AlternateContent>
        <mc:Choice Requires="wps">
          <w:drawing>
            <wp:anchor distT="0" distB="0" distL="114300" distR="114300" simplePos="0" relativeHeight="251665408" behindDoc="0" locked="0" layoutInCell="1" allowOverlap="1">
              <wp:simplePos x="0" y="0"/>
              <wp:positionH relativeFrom="margin">
                <wp:posOffset>5175250</wp:posOffset>
              </wp:positionH>
              <wp:positionV relativeFrom="paragraph">
                <wp:posOffset>0</wp:posOffset>
              </wp:positionV>
              <wp:extent cx="445135" cy="23050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7.5pt;margin-top:0pt;height:18.15pt;width:35.05pt;mso-position-horizontal-relative:margin;mso-wrap-style:none;z-index:251665408;mso-width-relative:page;mso-height-relative:page;" filled="f" stroked="f" coordsize="21600,21600" o:gfxdata="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olUVXWAAAABwEAAA8A&#10;AAAAAAAAAQAgAAAAIgAAAGRycy9kb3ducmV2LnhtbFBLAQIUABQAAAAIAIdO4kCCoAeuGQIAACEE&#10;AAAOAAAAAAAAAAEAIAAAACUBAABkcnMvZTJvRG9jLnhtbFBLBQYAAAAABgAGAFkBAACw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p>
    <w:pPr>
      <w:pStyle w:val="10"/>
      <w:wordWrap w:val="0"/>
      <w:ind w:left="1626"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438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OnpdHUAAAABgEAAA8AAAAAAAAAAQAgAAAAIgAA&#10;AGRycy9kb3ducmV2LnhtbFBLAQIUABQAAAAIAIdO4kBCEJJo0wEAAHUDAAAOAAAAAAAAAAEAIAAA&#10;ACMBAABkcnMvZTJvRG9jLnhtbFBLBQYAAAAABgAGAFkBAABoBQAAAAA=&#10;">
              <v:fill on="f" focussize="0,0"/>
              <v:stroke weight="1.75pt" color="#005192" miterlimit="8" joinstyle="miter"/>
              <v:imagedata o:title=""/>
              <o:lock v:ext="edit" aspectratio="f"/>
            </v:line>
          </w:pict>
        </mc:Fallback>
      </mc:AlternateContent>
    </w:r>
    <w:r>
      <w:rPr>
        <w:rFonts w:ascii="宋体" w:hAnsi="宋体" w:eastAsia="宋体" w:cs="宋体"/>
        <w:b/>
        <w:bCs/>
        <w:color w:val="005192"/>
        <w:sz w:val="28"/>
        <w:szCs w:val="44"/>
      </w:rPr>
      <w:t>X</w:t>
    </w:r>
    <w:r>
      <w:rPr>
        <w:rFonts w:hint="eastAsia" w:ascii="宋体" w:hAnsi="宋体" w:eastAsia="宋体" w:cs="宋体"/>
        <w:b/>
        <w:bCs/>
        <w:color w:val="005192"/>
        <w:sz w:val="28"/>
        <w:szCs w:val="44"/>
        <w:lang w:eastAsia="zh-CN"/>
      </w:rPr>
      <w:t>重庆市荣昌区人民政府办公室</w:t>
    </w:r>
    <w:r>
      <w:rPr>
        <w:rFonts w:hint="eastAsia" w:ascii="宋体" w:hAnsi="宋体" w:eastAsia="宋体" w:cs="宋体"/>
        <w:b/>
        <w:bCs/>
        <w:color w:val="005192"/>
        <w:sz w:val="28"/>
        <w:szCs w:val="44"/>
      </w:rPr>
      <w:t>发布</w:t>
    </w:r>
    <w:r>
      <w:rPr>
        <w:rFonts w:hint="eastAsia" w:ascii="宋体" w:hAnsi="宋体" w:eastAsia="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w:ptab w:relativeTo="margin" w:alignment="center" w:leader="none"/>
    </w: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cR5KzUAAAACAEAAA8AAAAAAAAA&#10;AQAgAAAAIgAAAGRycy9kb3ducmV2LnhtbFBLAQIUABQAAAAIAIdO4kDam2zn3AEAAH0DAAAOAAAA&#10;AAAAAAEAIAAAACMBAABkcnMvZTJvRG9jLnhtbFBLBQYAAAAABgAGAFkBAABxBQAAAAA=&#10;">
              <v:fill on="f" focussize="0,0"/>
              <v:stroke weight="1.75pt" color="#005192" miterlimit="8" joinstyle="miter"/>
              <v:imagedata o:title=""/>
              <o:lock v:ext="edit" aspectratio="f"/>
            </v:line>
          </w:pict>
        </mc:Fallback>
      </mc:AlternateContent>
    </w:r>
  </w:p>
  <w:p>
    <w:pPr>
      <w:pStyle w:val="1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重庆市荣昌区人民政府行政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39749E"/>
    <w:rsid w:val="003A5298"/>
    <w:rsid w:val="004E722F"/>
    <w:rsid w:val="007A0D7E"/>
    <w:rsid w:val="007F2D90"/>
    <w:rsid w:val="00A24B31"/>
    <w:rsid w:val="00A33AFA"/>
    <w:rsid w:val="00C431B2"/>
    <w:rsid w:val="00CB1B84"/>
    <w:rsid w:val="00CB3B3E"/>
    <w:rsid w:val="00D9716C"/>
    <w:rsid w:val="00DB3DBC"/>
    <w:rsid w:val="00E46AA7"/>
    <w:rsid w:val="00EA71AA"/>
    <w:rsid w:val="00F84C47"/>
    <w:rsid w:val="00FB5B62"/>
    <w:rsid w:val="019E71BD"/>
    <w:rsid w:val="01E93D58"/>
    <w:rsid w:val="04B679C3"/>
    <w:rsid w:val="05F07036"/>
    <w:rsid w:val="06E00104"/>
    <w:rsid w:val="080F63D8"/>
    <w:rsid w:val="09341458"/>
    <w:rsid w:val="098254C2"/>
    <w:rsid w:val="0A766EDE"/>
    <w:rsid w:val="0AD64BE8"/>
    <w:rsid w:val="0B0912D7"/>
    <w:rsid w:val="0E025194"/>
    <w:rsid w:val="0EEF0855"/>
    <w:rsid w:val="107A654D"/>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CD8524D"/>
    <w:rsid w:val="3EDA13A6"/>
    <w:rsid w:val="3FF56C14"/>
    <w:rsid w:val="417B75E9"/>
    <w:rsid w:val="42430A63"/>
    <w:rsid w:val="42F058B7"/>
    <w:rsid w:val="436109F6"/>
    <w:rsid w:val="441A38D4"/>
    <w:rsid w:val="4504239D"/>
    <w:rsid w:val="4BC77339"/>
    <w:rsid w:val="4C9236C5"/>
    <w:rsid w:val="4E250A85"/>
    <w:rsid w:val="4FFD4925"/>
    <w:rsid w:val="505C172E"/>
    <w:rsid w:val="506405EA"/>
    <w:rsid w:val="515A6AD6"/>
    <w:rsid w:val="52F46F0B"/>
    <w:rsid w:val="532B6A10"/>
    <w:rsid w:val="539E4E99"/>
    <w:rsid w:val="53D8014D"/>
    <w:rsid w:val="550C209A"/>
    <w:rsid w:val="55E064E0"/>
    <w:rsid w:val="572C6D10"/>
    <w:rsid w:val="58CF24CF"/>
    <w:rsid w:val="5DC34279"/>
    <w:rsid w:val="5DCF9B6A"/>
    <w:rsid w:val="5FCD688E"/>
    <w:rsid w:val="5FF9BDAA"/>
    <w:rsid w:val="608816D1"/>
    <w:rsid w:val="60EF4E7F"/>
    <w:rsid w:val="648B0A32"/>
    <w:rsid w:val="658F6764"/>
    <w:rsid w:val="665233C1"/>
    <w:rsid w:val="669937F0"/>
    <w:rsid w:val="69AC0D42"/>
    <w:rsid w:val="6AD9688B"/>
    <w:rsid w:val="6B68303F"/>
    <w:rsid w:val="6D0E3F22"/>
    <w:rsid w:val="744E4660"/>
    <w:rsid w:val="753355A2"/>
    <w:rsid w:val="759F1C61"/>
    <w:rsid w:val="769F2DE8"/>
    <w:rsid w:val="76FDEB7C"/>
    <w:rsid w:val="79C65162"/>
    <w:rsid w:val="79EE7E31"/>
    <w:rsid w:val="7BCE7259"/>
    <w:rsid w:val="7C9011D9"/>
    <w:rsid w:val="7DC651C5"/>
    <w:rsid w:val="7F222072"/>
    <w:rsid w:val="7FCC2834"/>
    <w:rsid w:val="7FF74D88"/>
    <w:rsid w:val="92DD1CEF"/>
    <w:rsid w:val="9F7C871F"/>
    <w:rsid w:val="BAF38D96"/>
    <w:rsid w:val="BD9D1569"/>
    <w:rsid w:val="CA69A697"/>
    <w:rsid w:val="DFD6B6F1"/>
    <w:rsid w:val="EBDDA9D0"/>
    <w:rsid w:val="EFFC77D8"/>
    <w:rsid w:val="F05B4F69"/>
    <w:rsid w:val="F7F902F6"/>
    <w:rsid w:val="F97D9566"/>
    <w:rsid w:val="FDFF411C"/>
    <w:rsid w:val="FFFB0C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qFormat/>
    <w:uiPriority w:val="0"/>
    <w:pPr>
      <w:snapToGrid w:val="0"/>
      <w:spacing w:line="720" w:lineRule="atLeast"/>
      <w:outlineLvl w:val="0"/>
    </w:pPr>
    <w:rPr>
      <w:rFonts w:ascii="宋体" w:hAnsi="宋体" w:eastAsia="方正小标宋_GBK" w:cs="宋体"/>
      <w:kern w:val="44"/>
      <w:sz w:val="44"/>
      <w:szCs w:val="44"/>
    </w:rPr>
  </w:style>
  <w:style w:type="paragraph" w:styleId="4">
    <w:name w:val="heading 3"/>
    <w:basedOn w:val="1"/>
    <w:next w:val="1"/>
    <w:unhideWhenUsed/>
    <w:qFormat/>
    <w:uiPriority w:val="0"/>
    <w:pPr>
      <w:spacing w:beforeAutospacing="1" w:afterAutospacing="1"/>
      <w:jc w:val="center"/>
      <w:outlineLvl w:val="2"/>
    </w:pPr>
    <w:rPr>
      <w:rFonts w:hint="eastAsia" w:ascii="宋体" w:hAnsi="宋体" w:cs="宋体"/>
      <w:b/>
      <w:kern w:val="0"/>
      <w:szCs w:val="27"/>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link w:val="13"/>
    <w:unhideWhenUsed/>
    <w:qFormat/>
    <w:uiPriority w:val="1"/>
    <w:rPr>
      <w:rFonts w:eastAsia="方正仿宋简体"/>
      <w:szCs w:val="24"/>
    </w:rPr>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basedOn w:val="1"/>
    <w:qFormat/>
    <w:uiPriority w:val="0"/>
    <w:pPr>
      <w:widowControl/>
      <w:autoSpaceDE w:val="0"/>
      <w:autoSpaceDN w:val="0"/>
      <w:adjustRightInd w:val="0"/>
      <w:jc w:val="left"/>
    </w:pPr>
    <w:rPr>
      <w:rFonts w:ascii="Arial" w:hAnsi="Arial" w:eastAsia="宋体" w:cs="Arial"/>
      <w:color w:val="000000"/>
      <w:kern w:val="0"/>
      <w:sz w:val="24"/>
      <w:szCs w:val="24"/>
    </w:rPr>
  </w:style>
  <w:style w:type="paragraph" w:styleId="6">
    <w:name w:val="annotation text"/>
    <w:basedOn w:val="1"/>
    <w:qFormat/>
    <w:uiPriority w:val="0"/>
    <w:pPr>
      <w:jc w:val="left"/>
    </w:pPr>
  </w:style>
  <w:style w:type="paragraph" w:styleId="7">
    <w:name w:val="Body Text"/>
    <w:basedOn w:val="1"/>
    <w:qFormat/>
    <w:uiPriority w:val="0"/>
    <w:pPr>
      <w:spacing w:line="0" w:lineRule="atLeast"/>
    </w:pPr>
    <w:rPr>
      <w:rFonts w:eastAsia="小标宋"/>
      <w:sz w:val="44"/>
      <w:szCs w:val="20"/>
    </w:rPr>
  </w:style>
  <w:style w:type="paragraph" w:styleId="8">
    <w:name w:val="Balloon Text"/>
    <w:basedOn w:val="1"/>
    <w:link w:val="19"/>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Autospacing="1" w:afterAutospacing="1"/>
      <w:jc w:val="left"/>
    </w:pPr>
    <w:rPr>
      <w:rFonts w:cs="Times New Roman"/>
      <w:kern w:val="0"/>
      <w:sz w:val="24"/>
    </w:rPr>
  </w:style>
  <w:style w:type="paragraph" w:customStyle="1" w:styleId="13">
    <w:name w:val="Char1 Char Char Char"/>
    <w:basedOn w:val="1"/>
    <w:link w:val="12"/>
    <w:qFormat/>
    <w:uiPriority w:val="0"/>
    <w:pPr>
      <w:widowControl/>
      <w:spacing w:after="160" w:line="240" w:lineRule="exact"/>
      <w:jc w:val="left"/>
    </w:pPr>
    <w:rPr>
      <w:rFonts w:eastAsia="方正仿宋简体"/>
      <w:szCs w:val="24"/>
    </w:rPr>
  </w:style>
  <w:style w:type="character" w:styleId="14">
    <w:name w:val="Strong"/>
    <w:basedOn w:val="12"/>
    <w:qFormat/>
    <w:uiPriority w:val="0"/>
    <w:rPr>
      <w:b/>
      <w:bCs/>
    </w:rPr>
  </w:style>
  <w:style w:type="character" w:styleId="15">
    <w:name w:val="page number"/>
    <w:basedOn w:val="12"/>
    <w:qFormat/>
    <w:uiPriority w:val="0"/>
    <w:rPr>
      <w:rFonts w:eastAsia="宋体"/>
      <w:sz w:val="28"/>
    </w:rPr>
  </w:style>
  <w:style w:type="character" w:styleId="16">
    <w:name w:val="annotation reference"/>
    <w:basedOn w:val="12"/>
    <w:qFormat/>
    <w:uiPriority w:val="0"/>
    <w:rPr>
      <w:sz w:val="21"/>
      <w:szCs w:val="21"/>
    </w:rPr>
  </w:style>
  <w:style w:type="paragraph" w:customStyle="1" w:styleId="18">
    <w:name w:val="p0"/>
    <w:basedOn w:val="1"/>
    <w:qFormat/>
    <w:uiPriority w:val="0"/>
    <w:pPr>
      <w:widowControl/>
    </w:pPr>
    <w:rPr>
      <w:rFonts w:ascii="Calibri" w:hAnsi="Calibri" w:eastAsia="宋体" w:cs="宋体"/>
      <w:kern w:val="0"/>
      <w:szCs w:val="32"/>
    </w:rPr>
  </w:style>
  <w:style w:type="character" w:customStyle="1" w:styleId="19">
    <w:name w:val="批注框文本 Char"/>
    <w:basedOn w:val="12"/>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Words>
  <Characters>48</Characters>
  <Lines>1</Lines>
  <Paragraphs>1</Paragraphs>
  <TotalTime>2</TotalTime>
  <ScaleCrop>false</ScaleCrop>
  <LinksUpToDate>false</LinksUpToDate>
  <CharactersWithSpaces>55</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2022-06-11T03:34:00Z</dcterms:created>
  <dc:creator>t</dc:creator>
  <cp:lastModifiedBy>Administrator</cp:lastModifiedBy>
  <cp:lastPrinted>2022-06-08T16:09:00Z</cp:lastPrinted>
  <dcterms:modified xsi:type="dcterms:W3CDTF">2023-10-31T07:32:11Z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48C61CB29D3F4D9384F5922CF0F7FFB4</vt:lpwstr>
  </property>
</Properties>
</file>