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default" w:ascii="Times New Roman" w:hAnsi="Times New Roman" w:eastAsia="Times New Roman"/>
          <w:sz w:val="44"/>
          <w:lang w:val="en-US"/>
        </w:rPr>
      </w:pPr>
      <w:r>
        <w:rPr>
          <w:rFonts w:hint="eastAsia" w:ascii="方正小标宋_GBK" w:hAnsi="方正小标宋_GBK" w:eastAsia="方正小标宋_GBK"/>
          <w:sz w:val="44"/>
          <w:lang w:val="zh-CN"/>
        </w:rPr>
        <w:t>重庆市荣昌区人民政府办公室</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sz w:val="44"/>
          <w:lang w:val="zh-CN"/>
        </w:rPr>
      </w:pPr>
      <w:r>
        <w:rPr>
          <w:rFonts w:hint="eastAsia" w:ascii="方正小标宋_GBK" w:hAnsi="方正小标宋_GBK" w:eastAsia="方正小标宋_GBK"/>
          <w:sz w:val="44"/>
          <w:lang w:val="zh-CN"/>
        </w:rPr>
        <w:t>关于印发重庆市荣昌区声环境功能区划分</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default" w:ascii="Times New Roman" w:hAnsi="Times New Roman" w:eastAsia="Times New Roman"/>
          <w:color w:val="000000"/>
          <w:kern w:val="2"/>
          <w:sz w:val="44"/>
          <w:lang w:val="en-US"/>
        </w:rPr>
      </w:pPr>
      <w:r>
        <w:rPr>
          <w:rFonts w:hint="eastAsia" w:ascii="方正小标宋_GBK" w:hAnsi="方正小标宋_GBK" w:eastAsia="方正小标宋_GBK"/>
          <w:sz w:val="44"/>
          <w:lang w:val="zh-CN"/>
        </w:rPr>
        <w:t>调整方案的通知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320" w:right="320"/>
        <w:jc w:val="center"/>
        <w:textAlignment w:val="auto"/>
        <w:rPr>
          <w:rFonts w:hint="eastAsia" w:ascii="方正仿宋简体" w:hAnsi="方正仿宋简体" w:eastAsia="方正仿宋简体"/>
          <w:color w:val="auto"/>
          <w:kern w:val="2"/>
          <w:sz w:val="32"/>
          <w:lang w:val="zh-CN"/>
        </w:rPr>
      </w:pPr>
      <w:r>
        <w:rPr>
          <w:rFonts w:hint="eastAsia" w:ascii="方正仿宋_GBK" w:hAnsi="方正仿宋_GBK" w:eastAsia="方正仿宋_GBK"/>
          <w:color w:val="auto"/>
          <w:kern w:val="2"/>
          <w:sz w:val="32"/>
          <w:lang w:val="zh-CN"/>
        </w:rPr>
        <w:t>荣昌府办发〔2018〕118号</w:t>
      </w:r>
    </w:p>
    <w:p>
      <w:pPr>
        <w:keepNext w:val="0"/>
        <w:keepLines w:val="0"/>
        <w:pageBreakBefore w:val="0"/>
        <w:widowControl w:val="0"/>
        <w:tabs>
          <w:tab w:val="left" w:pos="6270"/>
        </w:tabs>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Times New Roman"/>
          <w:color w:val="auto"/>
          <w:sz w:val="32"/>
          <w:lang w:val="en-US"/>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各镇人民政府，各街道办事处，区级有关部门，有关单位：</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《重庆市荣昌区声环境功能区划分调整方案》已经区政府第34次常务会审议通过，现印发给你们，请认真遵照执行。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仿宋_GBK" w:hAnsi="方正仿宋_GBK" w:eastAsia="方正仿宋_GBK"/>
          <w:color w:val="auto"/>
          <w:spacing w:val="-14"/>
          <w:kern w:val="2"/>
          <w:sz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宋体" w:hAnsi="宋体" w:eastAsia="宋体"/>
          <w:color w:val="auto"/>
          <w:spacing w:val="-14"/>
          <w:kern w:val="2"/>
          <w:sz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3680"/>
        <w:jc w:val="both"/>
        <w:textAlignment w:val="auto"/>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t>重庆市荣昌区人民政府办公室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480"/>
        <w:jc w:val="both"/>
        <w:textAlignment w:val="auto"/>
        <w:rPr>
          <w:rFonts w:hint="eastAsia" w:ascii="方正仿宋_GBK" w:hAnsi="方正仿宋_GBK" w:eastAsia="方正仿宋_GBK"/>
          <w:color w:val="auto"/>
          <w:kern w:val="2"/>
          <w:sz w:val="32"/>
          <w:lang w:val="zh-CN"/>
        </w:rPr>
      </w:pPr>
      <w:r>
        <w:rPr>
          <w:rFonts w:hint="eastAsia" w:ascii="宋体" w:hAnsi="宋体" w:eastAsia="宋体"/>
          <w:color w:val="auto"/>
          <w:kern w:val="2"/>
          <w:sz w:val="32"/>
          <w:lang w:val="zh-CN"/>
        </w:rPr>
        <w:t>2018</w:t>
      </w:r>
      <w:r>
        <w:rPr>
          <w:rFonts w:hint="eastAsia" w:ascii="方正仿宋_GBK" w:hAnsi="方正仿宋_GBK" w:eastAsia="方正仿宋_GBK"/>
          <w:color w:val="auto"/>
          <w:kern w:val="2"/>
          <w:sz w:val="32"/>
          <w:lang w:val="zh-CN"/>
        </w:rPr>
        <w:t>年9月21日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t>（此件公开发布）　　　　</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仿宋_GBK" w:hAnsi="方正仿宋_GBK" w:eastAsia="方正仿宋_GBK"/>
          <w:color w:val="auto"/>
          <w:kern w:val="2"/>
          <w:sz w:val="32"/>
          <w:lang w:val="zh-CN"/>
        </w:rPr>
      </w:pPr>
      <w:r>
        <w:rPr>
          <w:rFonts w:hint="eastAsia" w:ascii="宋体" w:hAnsi="宋体" w:eastAsia="宋体"/>
          <w:color w:val="auto"/>
          <w:kern w:val="2"/>
          <w:sz w:val="32"/>
          <w:lang w:val="zh-CN"/>
        </w:rPr>
        <w:br w:type="page"/>
      </w:r>
    </w:p>
    <w:p>
      <w:pPr>
        <w:spacing w:beforeLines="0" w:afterLines="0"/>
        <w:jc w:val="center"/>
        <w:rPr>
          <w:rFonts w:hint="eastAsia" w:ascii="方正小标宋_GBK" w:hAnsi="方正小标宋_GBK" w:eastAsia="方正小标宋_GBK"/>
          <w:color w:val="auto"/>
          <w:kern w:val="2"/>
          <w:sz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color w:val="auto"/>
          <w:kern w:val="2"/>
          <w:sz w:val="44"/>
          <w:lang w:val="zh-CN"/>
        </w:rPr>
      </w:pPr>
      <w:r>
        <w:rPr>
          <w:rFonts w:hint="eastAsia" w:ascii="方正小标宋_GBK" w:hAnsi="方正小标宋_GBK" w:eastAsia="方正小标宋_GBK"/>
          <w:color w:val="auto"/>
          <w:kern w:val="2"/>
          <w:sz w:val="44"/>
          <w:lang w:val="zh-CN"/>
        </w:rPr>
        <w:t>重庆市荣昌区声环境功能区划分</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color w:val="auto"/>
          <w:kern w:val="2"/>
          <w:sz w:val="44"/>
          <w:lang w:val="zh-CN"/>
        </w:rPr>
      </w:pPr>
      <w:r>
        <w:rPr>
          <w:rFonts w:hint="eastAsia" w:ascii="方正小标宋_GBK" w:hAnsi="方正小标宋_GBK" w:eastAsia="方正小标宋_GBK"/>
          <w:color w:val="auto"/>
          <w:kern w:val="2"/>
          <w:sz w:val="44"/>
          <w:lang w:val="zh-CN"/>
        </w:rPr>
        <w:t>调整方案</w:t>
      </w:r>
    </w:p>
    <w:p>
      <w:pPr>
        <w:spacing w:beforeLines="0" w:afterLines="0"/>
        <w:jc w:val="center"/>
        <w:rPr>
          <w:rFonts w:hint="eastAsia" w:ascii="方正小标宋_GBK" w:hAnsi="方正小标宋_GBK" w:eastAsia="方正小标宋_GBK"/>
          <w:color w:val="auto"/>
          <w:kern w:val="2"/>
          <w:sz w:val="48"/>
          <w:lang w:val="zh-CN"/>
        </w:rPr>
      </w:pPr>
    </w:p>
    <w:p>
      <w:pPr>
        <w:spacing w:beforeLines="0" w:afterLines="0"/>
        <w:jc w:val="center"/>
        <w:rPr>
          <w:rFonts w:hint="eastAsia" w:ascii="方正小标宋_GBK" w:hAnsi="方正小标宋_GBK" w:eastAsia="方正小标宋_GBK"/>
          <w:color w:val="auto"/>
          <w:kern w:val="2"/>
          <w:sz w:val="48"/>
          <w:lang w:val="zh-CN"/>
        </w:rPr>
      </w:pPr>
    </w:p>
    <w:p>
      <w:pPr>
        <w:spacing w:beforeLines="0" w:afterLines="0"/>
        <w:jc w:val="both"/>
        <w:rPr>
          <w:rFonts w:hint="eastAsia" w:ascii="方正小标宋_GBK" w:hAnsi="方正小标宋_GBK" w:eastAsia="方正小标宋_GBK"/>
          <w:color w:val="auto"/>
          <w:kern w:val="2"/>
          <w:sz w:val="48"/>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仿宋_GBK" w:hAnsi="方正仿宋_GBK" w:eastAsia="方正仿宋_GBK"/>
          <w:b/>
          <w:color w:val="auto"/>
          <w:kern w:val="2"/>
          <w:sz w:val="32"/>
          <w:lang w:val="zh-CN"/>
        </w:rPr>
      </w:pPr>
    </w:p>
    <w:p>
      <w:pPr>
        <w:spacing w:beforeLines="0" w:afterLines="0"/>
        <w:jc w:val="center"/>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重庆市环境科学研究院</w:t>
      </w:r>
    </w:p>
    <w:p>
      <w:pPr>
        <w:spacing w:beforeLines="0" w:afterLines="0"/>
        <w:jc w:val="center"/>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2018年7月</w:t>
      </w:r>
    </w:p>
    <w:p>
      <w:pPr>
        <w:spacing w:beforeLines="0" w:afterLines="0"/>
        <w:jc w:val="center"/>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br w:type="page"/>
      </w:r>
    </w:p>
    <w:p>
      <w:pPr>
        <w:spacing w:beforeLines="0" w:afterLines="0"/>
        <w:jc w:val="center"/>
        <w:rPr>
          <w:rFonts w:hint="eastAsia" w:ascii="方正仿宋_GBK" w:hAnsi="方正仿宋_GBK" w:eastAsia="方正仿宋_GBK"/>
          <w:color w:val="auto"/>
          <w:kern w:val="2"/>
          <w:sz w:val="32"/>
          <w:lang w:val="zh-CN"/>
        </w:rPr>
      </w:pPr>
    </w:p>
    <w:p>
      <w:pPr>
        <w:spacing w:beforeLines="0" w:afterLines="0"/>
        <w:jc w:val="center"/>
        <w:rPr>
          <w:rFonts w:hint="eastAsia" w:ascii="方正小标宋_GBK" w:hAnsi="方正小标宋_GBK" w:eastAsia="方正小标宋_GBK"/>
          <w:color w:val="auto"/>
          <w:kern w:val="2"/>
          <w:sz w:val="44"/>
          <w:lang w:val="zh-CN"/>
        </w:rPr>
      </w:pPr>
      <w:r>
        <w:rPr>
          <w:rFonts w:hint="eastAsia" w:ascii="方正小标宋_GBK" w:hAnsi="方正小标宋_GBK" w:eastAsia="方正小标宋_GBK"/>
          <w:color w:val="auto"/>
          <w:kern w:val="2"/>
          <w:sz w:val="44"/>
          <w:lang w:val="zh-CN"/>
        </w:rPr>
        <w:t>目  录</w:t>
      </w:r>
    </w:p>
    <w:p>
      <w:pPr>
        <w:tabs>
          <w:tab w:val="right" w:leader="dot" w:pos="8296"/>
          <w:tab w:val="right" w:leader="dot" w:pos="8494"/>
        </w:tabs>
        <w:spacing w:beforeLines="0" w:afterLines="0" w:line="400" w:lineRule="exact"/>
        <w:jc w:val="both"/>
        <w:rPr>
          <w:rFonts w:hint="eastAsia" w:ascii="方正黑体_GBK" w:hAnsi="方正黑体_GBK" w:eastAsia="方正黑体_GBK"/>
          <w:color w:val="auto"/>
          <w:kern w:val="2"/>
          <w:sz w:val="21"/>
          <w:lang w:val="zh-CN"/>
        </w:rPr>
      </w:pP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"_Toc517272500"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前言</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10</w:t>
      </w:r>
      <w:r>
        <w:rPr>
          <w:rFonts w:hint="eastAsia" w:ascii="方正黑体_GBK" w:hAnsi="方正黑体_GBK" w:eastAsia="方正黑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"_Toc517272501"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一、总则</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11</w:t>
      </w:r>
      <w:r>
        <w:rPr>
          <w:rFonts w:hint="eastAsia" w:ascii="方正黑体_GBK" w:hAnsi="方正黑体_GBK" w:eastAsia="方正黑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"_Toc517272502"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（一）指导思想</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11</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"_Toc517272503"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（二）划分原则</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11</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"_Toc517272504"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（三）划分依据</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12</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"_Toc517272505"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（四）区划时限、范围</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13</w:t>
      </w:r>
      <w:r>
        <w:rPr>
          <w:rFonts w:hint="eastAsia" w:ascii="方正楷体_GBK" w:hAnsi="方正楷体_GBK" w:eastAsia="方正楷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"_Toc517272506"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二、区划类型及声环境质量标准</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13</w:t>
      </w:r>
      <w:r>
        <w:rPr>
          <w:rFonts w:hint="eastAsia" w:ascii="方正黑体_GBK" w:hAnsi="方正黑体_GBK" w:eastAsia="方正黑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"_Toc517272507"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三、区划步骤</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15</w:t>
      </w:r>
      <w:r>
        <w:rPr>
          <w:rFonts w:hint="eastAsia" w:ascii="方正黑体_GBK" w:hAnsi="方正黑体_GBK" w:eastAsia="方正黑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"_Toc517272508"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（一）基础数据入库</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15</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"_Toc517272509"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（二）划分噪声区划单元</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15</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"_Toc517272510"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（三）确定声环境功能区类型</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15</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"_Toc517272511"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（四）综合分析</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16</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"_Toc517272512"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（五）现场踏勘与优化</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16</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"_Toc517272513"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（六）综合制图</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16</w:t>
      </w:r>
      <w:r>
        <w:rPr>
          <w:rFonts w:hint="eastAsia" w:ascii="方正楷体_GBK" w:hAnsi="方正楷体_GBK" w:eastAsia="方正楷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"_Toc517272514"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四、荣昌城区声环境功能区划分结果</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17</w:t>
      </w:r>
      <w:r>
        <w:rPr>
          <w:rFonts w:hint="eastAsia" w:ascii="方正黑体_GBK" w:hAnsi="方正黑体_GBK" w:eastAsia="方正黑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"_Toc517272515"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（一）1类、2类和3类声环境功能区划分结果</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17</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"_Toc517272516"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（二）4类声环境功能区划分结果</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20</w:t>
      </w:r>
      <w:r>
        <w:rPr>
          <w:rFonts w:hint="eastAsia" w:ascii="方正楷体_GBK" w:hAnsi="方正楷体_GBK" w:eastAsia="方正楷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"_Toc517272517"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五、组织实施</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22</w:t>
      </w:r>
      <w:r>
        <w:rPr>
          <w:rFonts w:hint="eastAsia" w:ascii="方正黑体_GBK" w:hAnsi="方正黑体_GBK" w:eastAsia="方正黑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"_Toc517272518"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（一）强化监测评估</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22</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"_Toc517272519"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（二）加强源头预防</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22</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"_Toc517272520"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（三）推进空间管控</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22</w:t>
      </w:r>
      <w:r>
        <w:rPr>
          <w:rFonts w:hint="eastAsia" w:ascii="方正楷体_GBK" w:hAnsi="方正楷体_GBK" w:eastAsia="方正楷体_GBK"/>
          <w:color w:val="auto"/>
          <w:kern w:val="2"/>
          <w:sz w:val="32"/>
          <w:lang w:val="zh-CN"/>
        </w:rPr>
        <w:fldChar w:fldCharType="end"/>
      </w:r>
    </w:p>
    <w:p>
      <w:pPr>
        <w:tabs>
          <w:tab w:val="right" w:leader="dot" w:pos="8296"/>
        </w:tabs>
        <w:spacing w:beforeLines="0" w:afterLines="0"/>
        <w:ind w:left="320"/>
        <w:jc w:val="both"/>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fldChar w:fldCharType="begin"/>
      </w:r>
      <w:r>
        <w:rPr>
          <w:rFonts w:hint="eastAsia" w:ascii="方正楷体_GBK" w:hAnsi="方正楷体_GBK" w:eastAsia="方正楷体_GBK"/>
          <w:color w:val="auto"/>
          <w:kern w:val="2"/>
          <w:sz w:val="32"/>
          <w:lang w:val="zh-CN"/>
        </w:rPr>
        <w:instrText xml:space="preserve">HYPERLINK "\l "_Toc517272521" "</w:instrText>
      </w:r>
      <w:r>
        <w:rPr>
          <w:rFonts w:hint="eastAsia" w:ascii="方正楷体_GBK" w:hAnsi="方正楷体_GBK" w:eastAsia="方正楷体_GBK"/>
          <w:color w:val="auto"/>
          <w:kern w:val="2"/>
          <w:sz w:val="32"/>
          <w:lang w:val="zh-CN"/>
        </w:rPr>
        <w:fldChar w:fldCharType="separate"/>
      </w:r>
      <w:r>
        <w:rPr>
          <w:rFonts w:hint="eastAsia" w:ascii="方正楷体_GBK" w:hAnsi="方正楷体_GBK" w:eastAsia="方正楷体_GBK"/>
          <w:color w:val="auto"/>
          <w:kern w:val="2"/>
          <w:sz w:val="32"/>
          <w:u w:val="single"/>
          <w:lang w:val="zh-CN"/>
        </w:rPr>
        <w:t>（四）严格修改程序</w:t>
      </w:r>
      <w:r>
        <w:rPr>
          <w:rFonts w:hint="eastAsia" w:ascii="方正楷体_GBK" w:hAnsi="方正楷体_GBK" w:eastAsia="方正楷体_GBK"/>
          <w:color w:val="auto"/>
          <w:kern w:val="2"/>
          <w:sz w:val="32"/>
          <w:lang w:val="zh-CN"/>
        </w:rPr>
        <w:tab/>
      </w:r>
      <w:r>
        <w:rPr>
          <w:rFonts w:hint="eastAsia" w:ascii="方正楷体_GBK" w:hAnsi="方正楷体_GBK" w:eastAsia="方正楷体_GBK"/>
          <w:color w:val="auto"/>
          <w:kern w:val="2"/>
          <w:sz w:val="32"/>
          <w:lang w:val="zh-CN"/>
        </w:rPr>
        <w:t>23</w:t>
      </w:r>
      <w:r>
        <w:rPr>
          <w:rFonts w:hint="eastAsia" w:ascii="方正楷体_GBK" w:hAnsi="方正楷体_GBK" w:eastAsia="方正楷体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fldChar w:fldCharType="begin"/>
      </w:r>
      <w:r>
        <w:rPr>
          <w:rFonts w:hint="eastAsia" w:ascii="方正黑体_GBK" w:hAnsi="方正黑体_GBK" w:eastAsia="方正黑体_GBK"/>
          <w:color w:val="auto"/>
          <w:kern w:val="2"/>
          <w:sz w:val="32"/>
          <w:lang w:val="zh-CN"/>
        </w:rPr>
        <w:instrText xml:space="preserve">HYPERLINK "\l "_Toc517272522" "</w:instrText>
      </w:r>
      <w:r>
        <w:rPr>
          <w:rFonts w:hint="eastAsia" w:ascii="方正黑体_GBK" w:hAnsi="方正黑体_GBK" w:eastAsia="方正黑体_GBK"/>
          <w:color w:val="auto"/>
          <w:kern w:val="2"/>
          <w:sz w:val="32"/>
          <w:lang w:val="zh-CN"/>
        </w:rPr>
        <w:fldChar w:fldCharType="separate"/>
      </w:r>
      <w:r>
        <w:rPr>
          <w:rFonts w:hint="eastAsia" w:ascii="方正黑体_GBK" w:hAnsi="方正黑体_GBK" w:eastAsia="方正黑体_GBK"/>
          <w:color w:val="auto"/>
          <w:kern w:val="2"/>
          <w:sz w:val="32"/>
          <w:u w:val="single"/>
          <w:lang w:val="zh-CN"/>
        </w:rPr>
        <w:t>六、荣昌城区声环境功能区划分其他说明</w:t>
      </w:r>
      <w:r>
        <w:rPr>
          <w:rFonts w:hint="eastAsia" w:ascii="方正黑体_GBK" w:hAnsi="方正黑体_GBK" w:eastAsia="方正黑体_GBK"/>
          <w:color w:val="auto"/>
          <w:kern w:val="2"/>
          <w:sz w:val="32"/>
          <w:lang w:val="zh-CN"/>
        </w:rPr>
        <w:tab/>
      </w:r>
      <w:r>
        <w:rPr>
          <w:rFonts w:hint="eastAsia" w:ascii="方正黑体_GBK" w:hAnsi="方正黑体_GBK" w:eastAsia="方正黑体_GBK"/>
          <w:color w:val="auto"/>
          <w:kern w:val="2"/>
          <w:sz w:val="32"/>
          <w:lang w:val="zh-CN"/>
        </w:rPr>
        <w:t>23</w:t>
      </w:r>
      <w:r>
        <w:rPr>
          <w:rFonts w:hint="eastAsia" w:ascii="方正黑体_GBK" w:hAnsi="方正黑体_GBK" w:eastAsia="方正黑体_GBK"/>
          <w:color w:val="auto"/>
          <w:kern w:val="2"/>
          <w:sz w:val="32"/>
          <w:lang w:val="zh-CN"/>
        </w:rPr>
        <w:fldChar w:fldCharType="end"/>
      </w:r>
    </w:p>
    <w:p>
      <w:pPr>
        <w:tabs>
          <w:tab w:val="right" w:leader="dot" w:pos="8296"/>
          <w:tab w:val="right" w:leader="dot" w:pos="8494"/>
        </w:tabs>
        <w:spacing w:beforeLines="0" w:afterLines="0"/>
        <w:jc w:val="both"/>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fldChar w:fldCharType="begin"/>
      </w:r>
      <w:r>
        <w:rPr>
          <w:rFonts w:hint="eastAsia" w:ascii="方正仿宋_GBK" w:hAnsi="方正仿宋_GBK" w:eastAsia="方正仿宋_GBK"/>
          <w:color w:val="auto"/>
          <w:kern w:val="2"/>
          <w:sz w:val="32"/>
          <w:lang w:val="zh-CN"/>
        </w:rPr>
        <w:instrText xml:space="preserve">HYPERLINK "\l "_Toc517272523" "</w:instrText>
      </w:r>
      <w:r>
        <w:rPr>
          <w:rFonts w:hint="eastAsia" w:ascii="方正仿宋_GBK" w:hAnsi="方正仿宋_GBK" w:eastAsia="方正仿宋_GBK"/>
          <w:color w:val="auto"/>
          <w:kern w:val="2"/>
          <w:sz w:val="32"/>
          <w:lang w:val="zh-CN"/>
        </w:rPr>
        <w:fldChar w:fldCharType="separate"/>
      </w:r>
      <w:r>
        <w:rPr>
          <w:rFonts w:hint="eastAsia" w:ascii="方正仿宋_GBK" w:hAnsi="方正仿宋_GBK" w:eastAsia="方正仿宋_GBK"/>
          <w:color w:val="auto"/>
          <w:kern w:val="2"/>
          <w:sz w:val="32"/>
          <w:u w:val="single"/>
          <w:lang w:val="zh-CN"/>
        </w:rPr>
        <w:t>附录一  荣昌区声功能区划范围图</w:t>
      </w:r>
      <w:r>
        <w:rPr>
          <w:rFonts w:hint="eastAsia" w:ascii="方正仿宋_GBK" w:hAnsi="方正仿宋_GBK" w:eastAsia="方正仿宋_GBK"/>
          <w:color w:val="auto"/>
          <w:kern w:val="2"/>
          <w:sz w:val="32"/>
          <w:lang w:val="zh-CN"/>
        </w:rPr>
        <w:tab/>
      </w:r>
      <w:r>
        <w:rPr>
          <w:rFonts w:hint="eastAsia" w:ascii="方正仿宋_GBK" w:hAnsi="方正仿宋_GBK" w:eastAsia="方正仿宋_GBK"/>
          <w:color w:val="auto"/>
          <w:kern w:val="2"/>
          <w:sz w:val="32"/>
          <w:lang w:val="zh-CN"/>
        </w:rPr>
        <w:t>24</w:t>
      </w:r>
      <w:r>
        <w:rPr>
          <w:rFonts w:hint="eastAsia" w:ascii="方正仿宋_GBK" w:hAnsi="方正仿宋_GBK" w:eastAsia="方正仿宋_GBK"/>
          <w:color w:val="auto"/>
          <w:kern w:val="2"/>
          <w:sz w:val="32"/>
          <w:lang w:val="zh-CN"/>
        </w:rPr>
        <w:fldChar w:fldCharType="end"/>
      </w:r>
    </w:p>
    <w:p>
      <w:pPr>
        <w:tabs>
          <w:tab w:val="right" w:leader="dot" w:pos="8296"/>
          <w:tab w:val="right" w:leader="dot" w:pos="8494"/>
        </w:tabs>
        <w:spacing w:beforeLines="0" w:afterLines="0"/>
        <w:jc w:val="both"/>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fldChar w:fldCharType="begin"/>
      </w:r>
      <w:r>
        <w:rPr>
          <w:rFonts w:hint="eastAsia" w:ascii="方正仿宋_GBK" w:hAnsi="方正仿宋_GBK" w:eastAsia="方正仿宋_GBK"/>
          <w:color w:val="auto"/>
          <w:kern w:val="2"/>
          <w:sz w:val="32"/>
          <w:lang w:val="zh-CN"/>
        </w:rPr>
        <w:instrText xml:space="preserve">HYPERLINK "\l "_Toc517272524" "</w:instrText>
      </w:r>
      <w:r>
        <w:rPr>
          <w:rFonts w:hint="eastAsia" w:ascii="方正仿宋_GBK" w:hAnsi="方正仿宋_GBK" w:eastAsia="方正仿宋_GBK"/>
          <w:color w:val="auto"/>
          <w:kern w:val="2"/>
          <w:sz w:val="32"/>
          <w:lang w:val="zh-CN"/>
        </w:rPr>
        <w:fldChar w:fldCharType="separate"/>
      </w:r>
      <w:r>
        <w:rPr>
          <w:rFonts w:hint="eastAsia" w:ascii="方正仿宋_GBK" w:hAnsi="方正仿宋_GBK" w:eastAsia="方正仿宋_GBK"/>
          <w:color w:val="auto"/>
          <w:kern w:val="2"/>
          <w:sz w:val="32"/>
          <w:u w:val="single"/>
          <w:lang w:val="zh-CN"/>
        </w:rPr>
        <w:t>附录二  荣昌区声功能区划分图</w:t>
      </w:r>
      <w:r>
        <w:rPr>
          <w:rFonts w:hint="eastAsia" w:ascii="方正仿宋_GBK" w:hAnsi="方正仿宋_GBK" w:eastAsia="方正仿宋_GBK"/>
          <w:color w:val="auto"/>
          <w:kern w:val="2"/>
          <w:sz w:val="32"/>
          <w:lang w:val="zh-CN"/>
        </w:rPr>
        <w:tab/>
      </w:r>
      <w:r>
        <w:rPr>
          <w:rFonts w:hint="eastAsia" w:ascii="方正仿宋_GBK" w:hAnsi="方正仿宋_GBK" w:eastAsia="方正仿宋_GBK"/>
          <w:color w:val="auto"/>
          <w:kern w:val="2"/>
          <w:sz w:val="32"/>
          <w:lang w:val="zh-CN"/>
        </w:rPr>
        <w:t>25</w:t>
      </w:r>
      <w:r>
        <w:rPr>
          <w:rFonts w:hint="eastAsia" w:ascii="方正仿宋_GBK" w:hAnsi="方正仿宋_GBK" w:eastAsia="方正仿宋_GBK"/>
          <w:color w:val="auto"/>
          <w:kern w:val="2"/>
          <w:sz w:val="32"/>
          <w:lang w:val="zh-CN"/>
        </w:rPr>
        <w:fldChar w:fldCharType="end"/>
      </w:r>
    </w:p>
    <w:p>
      <w:pPr>
        <w:tabs>
          <w:tab w:val="right" w:leader="dot" w:pos="8296"/>
          <w:tab w:val="right" w:leader="dot" w:pos="8494"/>
        </w:tabs>
        <w:spacing w:beforeLines="0" w:afterLines="0"/>
        <w:jc w:val="both"/>
        <w:rPr>
          <w:rFonts w:hint="eastAsia" w:ascii="方正黑体_GBK" w:hAnsi="方正黑体_GBK" w:eastAsia="方正黑体_GBK"/>
          <w:color w:val="auto"/>
          <w:kern w:val="2"/>
          <w:sz w:val="32"/>
          <w:lang w:val="zh-CN"/>
        </w:rPr>
      </w:pPr>
      <w:r>
        <w:rPr>
          <w:rFonts w:hint="eastAsia" w:ascii="方正仿宋_GBK" w:hAnsi="方正仿宋_GBK" w:eastAsia="方正仿宋_GBK"/>
          <w:color w:val="auto"/>
          <w:kern w:val="2"/>
          <w:sz w:val="32"/>
          <w:lang w:val="zh-CN"/>
        </w:rPr>
        <w:fldChar w:fldCharType="begin"/>
      </w:r>
      <w:r>
        <w:rPr>
          <w:rFonts w:hint="eastAsia" w:ascii="方正仿宋_GBK" w:hAnsi="方正仿宋_GBK" w:eastAsia="方正仿宋_GBK"/>
          <w:color w:val="auto"/>
          <w:kern w:val="2"/>
          <w:sz w:val="32"/>
          <w:lang w:val="zh-CN"/>
        </w:rPr>
        <w:instrText xml:space="preserve">HYPERLINK "\l "_Toc517272525" "</w:instrText>
      </w:r>
      <w:r>
        <w:rPr>
          <w:rFonts w:hint="eastAsia" w:ascii="方正仿宋_GBK" w:hAnsi="方正仿宋_GBK" w:eastAsia="方正仿宋_GBK"/>
          <w:color w:val="auto"/>
          <w:kern w:val="2"/>
          <w:sz w:val="32"/>
          <w:lang w:val="zh-CN"/>
        </w:rPr>
        <w:fldChar w:fldCharType="separate"/>
      </w:r>
      <w:r>
        <w:rPr>
          <w:rFonts w:hint="eastAsia" w:ascii="方正仿宋_GBK" w:hAnsi="方正仿宋_GBK" w:eastAsia="方正仿宋_GBK"/>
          <w:color w:val="auto"/>
          <w:kern w:val="2"/>
          <w:sz w:val="32"/>
          <w:u w:val="single"/>
          <w:lang w:val="zh-CN"/>
        </w:rPr>
        <w:t>附录三  荣昌区区声功能区单元基础信息表</w:t>
      </w:r>
      <w:r>
        <w:rPr>
          <w:rFonts w:hint="eastAsia" w:ascii="方正仿宋_GBK" w:hAnsi="方正仿宋_GBK" w:eastAsia="方正仿宋_GBK"/>
          <w:color w:val="auto"/>
          <w:kern w:val="2"/>
          <w:sz w:val="32"/>
          <w:lang w:val="zh-CN"/>
        </w:rPr>
        <w:tab/>
      </w:r>
      <w:r>
        <w:rPr>
          <w:rFonts w:hint="eastAsia" w:ascii="方正仿宋_GBK" w:hAnsi="方正仿宋_GBK" w:eastAsia="方正仿宋_GBK"/>
          <w:color w:val="auto"/>
          <w:kern w:val="2"/>
          <w:sz w:val="32"/>
          <w:lang w:val="zh-CN"/>
        </w:rPr>
        <w:t>26</w:t>
      </w:r>
      <w:r>
        <w:rPr>
          <w:rFonts w:hint="eastAsia" w:ascii="方正仿宋_GBK" w:hAnsi="方正仿宋_GBK" w:eastAsia="方正仿宋_GBK"/>
          <w:color w:val="auto"/>
          <w:kern w:val="2"/>
          <w:sz w:val="32"/>
          <w:lang w:val="zh-CN"/>
        </w:rPr>
        <w:fldChar w:fldCharType="end"/>
      </w:r>
    </w:p>
    <w:p>
      <w:pPr>
        <w:spacing w:beforeLines="0" w:afterLines="0"/>
        <w:jc w:val="both"/>
        <w:rPr>
          <w:rFonts w:hint="default" w:ascii="Times New Roman" w:hAnsi="Times New Roman" w:eastAsia="Times New Roman"/>
          <w:b/>
          <w:color w:val="auto"/>
          <w:kern w:val="2"/>
          <w:sz w:val="32"/>
          <w:lang w:val="en-US"/>
        </w:rPr>
      </w:pPr>
    </w:p>
    <w:p>
      <w:pPr>
        <w:pageBreakBefore w:val="0"/>
        <w:widowControl w:val="0"/>
        <w:kinsoku/>
        <w:wordWrap/>
        <w:overflowPunct/>
        <w:topLinePunct w:val="0"/>
        <w:autoSpaceDE/>
        <w:autoSpaceDN/>
        <w:bidi w:val="0"/>
        <w:adjustRightInd/>
        <w:snapToGrid/>
        <w:spacing w:beforeLines="0" w:afterLines="0" w:line="600" w:lineRule="exact"/>
        <w:ind w:left="0" w:right="0" w:firstLine="640"/>
        <w:jc w:val="both"/>
        <w:textAlignment w:val="auto"/>
        <w:rPr>
          <w:rFonts w:hint="eastAsia" w:ascii="方正仿宋简体" w:hAnsi="方正仿宋简体" w:eastAsia="方正仿宋简体"/>
          <w:b/>
          <w:color w:val="auto"/>
          <w:kern w:val="2"/>
          <w:sz w:val="32"/>
          <w:lang w:val="zh-CN"/>
        </w:rPr>
      </w:pPr>
      <w:r>
        <w:rPr>
          <w:rFonts w:hint="default" w:ascii="Times New Roman" w:hAnsi="Times New Roman" w:eastAsia="Times New Roman"/>
          <w:b/>
          <w:color w:val="auto"/>
          <w:kern w:val="2"/>
          <w:sz w:val="32"/>
          <w:lang w:val="en-US"/>
        </w:rPr>
        <w:br w:type="page"/>
      </w:r>
    </w:p>
    <w:p>
      <w:pPr>
        <w:pageBreakBefore w:val="0"/>
        <w:widowControl w:val="0"/>
        <w:kinsoku/>
        <w:wordWrap/>
        <w:overflowPunct/>
        <w:topLinePunct w:val="0"/>
        <w:autoSpaceDE/>
        <w:autoSpaceDN/>
        <w:bidi w:val="0"/>
        <w:adjustRightInd/>
        <w:snapToGrid/>
        <w:spacing w:beforeLines="0" w:afterLines="0" w:line="600" w:lineRule="exact"/>
        <w:ind w:left="0" w:right="0"/>
        <w:jc w:val="center"/>
        <w:textAlignment w:val="auto"/>
        <w:rPr>
          <w:rFonts w:hint="eastAsia" w:ascii="方正小标宋_GBK" w:hAnsi="方正小标宋_GBK" w:eastAsia="方正小标宋_GBK"/>
          <w:color w:val="auto"/>
          <w:kern w:val="2"/>
          <w:sz w:val="44"/>
          <w:lang w:val="zh-CN"/>
        </w:rPr>
      </w:pPr>
    </w:p>
    <w:p>
      <w:pPr>
        <w:pageBreakBefore w:val="0"/>
        <w:widowControl w:val="0"/>
        <w:kinsoku/>
        <w:wordWrap/>
        <w:overflowPunct/>
        <w:topLinePunct w:val="0"/>
        <w:autoSpaceDE/>
        <w:autoSpaceDN/>
        <w:bidi w:val="0"/>
        <w:adjustRightInd/>
        <w:snapToGrid/>
        <w:spacing w:beforeLines="0" w:afterLines="0" w:line="600" w:lineRule="exact"/>
        <w:ind w:left="0" w:right="0"/>
        <w:jc w:val="center"/>
        <w:textAlignment w:val="auto"/>
        <w:rPr>
          <w:rFonts w:hint="eastAsia" w:ascii="方正小标宋_GBK" w:hAnsi="方正小标宋_GBK" w:eastAsia="方正小标宋_GBK"/>
          <w:color w:val="auto"/>
          <w:kern w:val="2"/>
          <w:sz w:val="44"/>
          <w:lang w:val="zh-CN"/>
        </w:rPr>
      </w:pPr>
      <w:r>
        <w:rPr>
          <w:rFonts w:hint="eastAsia" w:ascii="方正小标宋_GBK" w:hAnsi="方正小标宋_GBK" w:eastAsia="方正小标宋_GBK"/>
          <w:color w:val="auto"/>
          <w:kern w:val="2"/>
          <w:sz w:val="44"/>
          <w:lang w:val="zh-CN"/>
        </w:rPr>
        <w:t>前  言</w:t>
      </w:r>
    </w:p>
    <w:p>
      <w:pPr>
        <w:pageBreakBefore w:val="0"/>
        <w:widowControl w:val="0"/>
        <w:kinsoku/>
        <w:wordWrap/>
        <w:overflowPunct/>
        <w:topLinePunct w:val="0"/>
        <w:autoSpaceDE/>
        <w:autoSpaceDN/>
        <w:bidi w:val="0"/>
        <w:adjustRightInd/>
        <w:snapToGrid/>
        <w:spacing w:beforeLines="0" w:afterLines="0" w:line="600" w:lineRule="exact"/>
        <w:ind w:left="0" w:right="0" w:firstLine="616"/>
        <w:jc w:val="both"/>
        <w:textAlignment w:val="auto"/>
        <w:rPr>
          <w:rFonts w:hint="default" w:ascii="Times New Roman" w:hAnsi="Times New Roman" w:eastAsia="Times New Roman"/>
          <w:color w:val="auto"/>
          <w:spacing w:val="-6"/>
          <w:kern w:val="2"/>
          <w:sz w:val="32"/>
          <w:lang w:val="en-US"/>
        </w:rPr>
      </w:pPr>
    </w:p>
    <w:p>
      <w:pPr>
        <w:pageBreakBefore w:val="0"/>
        <w:widowControl w:val="0"/>
        <w:kinsoku/>
        <w:wordWrap/>
        <w:overflowPunct/>
        <w:topLinePunct w:val="0"/>
        <w:autoSpaceDE/>
        <w:autoSpaceDN/>
        <w:bidi w:val="0"/>
        <w:adjustRightInd/>
        <w:snapToGrid/>
        <w:spacing w:beforeLines="0" w:afterLines="0" w:line="60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近年来，我区城镇化规模迅速扩大，城市交通高速发展，部分城市区域的功能及声环境发生了一定变化，《重庆市城市区域环境噪声标准适用区域划分规定调整方案》（渝环发〔2007〕39号）已不再适应新形势下环境管理需要。为改善我区城市声环境质量，营造良好人居环境，依据《中华人民共和国环境保护法》、《重庆市环境保护条例》和《重庆市环境噪声污染防治办法》（重庆市人民政府令270号）等有关法律法规的规定，根据《声环境质量标准》（GB3096-2008）、《声环境功能区划技术规范》（GB/T15190-2014）、《重庆市声环境功能区划分技术规范实施细则（试行）》（渝环〔2015〕429号）等相关技术规范，结合我区城市建设现状和未来发展规划，特制定本方案。</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left="0" w:right="0" w:firstLine="616"/>
        <w:jc w:val="both"/>
        <w:textAlignment w:val="auto"/>
        <w:rPr>
          <w:rFonts w:hint="eastAsia" w:ascii="方正仿宋_GBK" w:hAnsi="方正仿宋_GBK" w:eastAsia="方正仿宋_GBK"/>
          <w:color w:val="auto"/>
          <w:spacing w:val="-6"/>
          <w:kern w:val="44"/>
          <w:sz w:val="32"/>
          <w:lang w:val="zh-CN"/>
        </w:rPr>
      </w:pPr>
      <w:r>
        <w:rPr>
          <w:rFonts w:hint="eastAsia" w:ascii="方正仿宋_GBK" w:hAnsi="方正仿宋_GBK" w:eastAsia="方正仿宋_GBK"/>
          <w:color w:val="auto"/>
          <w:spacing w:val="-6"/>
          <w:kern w:val="44"/>
          <w:sz w:val="32"/>
          <w:lang w:val="zh-CN"/>
        </w:rPr>
        <w:br w:type="page"/>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jc w:val="both"/>
        <w:textAlignment w:val="auto"/>
        <w:rPr>
          <w:rFonts w:hint="eastAsia" w:ascii="方正黑体_GBK" w:hAnsi="方正黑体_GBK" w:eastAsia="方正黑体_GBK"/>
          <w:color w:val="auto"/>
          <w:kern w:val="44"/>
          <w:sz w:val="32"/>
          <w:lang w:val="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firstLine="640" w:firstLineChars="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总则</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（一）指导思想。</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以新时代中国特色社会主义理论体系为指导，全面贯彻党的十九大及市委五届三次全会精神，深入贯彻习近平总书记治国理政新理念新思想新战略，全面落实习近平总书记视察重庆重要讲话精神，切实增强</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四个意识</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，紧紧围绕统筹推进</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五位一体</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总体布局和协调推进</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四个全面</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战略布局，坚持以人民为中心的发展思想，贯彻落实新发展理念，以提高城市声环境质量为目标，坚持有利于城市规划的实施和可持续发展的原则，科学、合理划分调整，促进社会、经济和环境协调发展。</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（二）划分原则。</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t>坚持以人为本，科学规范。</w:t>
      </w:r>
      <w:r>
        <w:rPr>
          <w:rFonts w:hint="eastAsia" w:ascii="方正仿宋_GBK" w:hAnsi="方正仿宋_GBK" w:eastAsia="方正仿宋_GBK"/>
          <w:color w:val="auto"/>
          <w:spacing w:val="-6"/>
          <w:kern w:val="2"/>
          <w:sz w:val="32"/>
          <w:lang w:val="zh-CN"/>
        </w:rPr>
        <w:t>以提高城市声环境质量为目标，有效的控制环境噪声污染状况，保障城市居民生活、工作、休息等正常需要，严格按照国家《声环境质量标准》（GB3096-2008）、《声环境功能区划技术规范》（GB/T15190-2014）、《重庆市声环境功能区划分技术规范实施细则（试行）》（渝环〔2015〕429号）进行划分。</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kern w:val="2"/>
          <w:sz w:val="32"/>
          <w:lang w:val="zh-CN"/>
        </w:rPr>
        <w:t>坚持规划导向，统筹考虑。</w:t>
      </w:r>
      <w:r>
        <w:rPr>
          <w:rFonts w:hint="eastAsia" w:ascii="方正仿宋_GBK" w:hAnsi="方正仿宋_GBK" w:eastAsia="方正仿宋_GBK"/>
          <w:color w:val="auto"/>
          <w:spacing w:val="-6"/>
          <w:kern w:val="2"/>
          <w:sz w:val="32"/>
          <w:lang w:val="zh-CN"/>
        </w:rPr>
        <w:t>在《重庆市城乡总体规划（2007</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2020年）》的总体要求下，以《荣昌区城乡总体规划（2009</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2030年）》为主要依据，统筹考虑全市城市区域土地利用类型、声环境质量现状和规划进行划分。</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仿宋_GBK" w:hAnsi="方正仿宋_GBK" w:eastAsia="方正仿宋_GBK"/>
          <w:color w:val="auto"/>
          <w:kern w:val="2"/>
          <w:sz w:val="32"/>
          <w:lang w:val="zh-CN"/>
        </w:rPr>
      </w:pPr>
      <w:r>
        <w:rPr>
          <w:rFonts w:hint="eastAsia" w:ascii="方正仿宋_GBK" w:hAnsi="方正仿宋_GBK" w:eastAsia="方正仿宋_GBK"/>
          <w:color w:val="auto"/>
          <w:kern w:val="2"/>
          <w:sz w:val="32"/>
          <w:lang w:val="zh-CN"/>
        </w:rPr>
        <w:t>坚持持续发展，动态调整。</w:t>
      </w:r>
      <w:r>
        <w:rPr>
          <w:rFonts w:hint="eastAsia" w:ascii="方正仿宋_GBK" w:hAnsi="方正仿宋_GBK" w:eastAsia="方正仿宋_GBK"/>
          <w:color w:val="auto"/>
          <w:spacing w:val="-6"/>
          <w:kern w:val="2"/>
          <w:sz w:val="32"/>
          <w:lang w:val="zh-CN"/>
        </w:rPr>
        <w:t>坚持城市生态性原则、经济性原则和可持续发展原则，要有利于城市规划的实施和城市的改建，充分利用城市行政区划及自然地貌，科学合理的区划。适时根据城市经济发展审环境质量管理科学技术的提高，动态调整功能区划分。</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kern w:val="2"/>
          <w:sz w:val="32"/>
          <w:lang w:val="zh-CN"/>
        </w:rPr>
        <w:t>坚持宏观控制，严控范围。</w:t>
      </w:r>
      <w:r>
        <w:rPr>
          <w:rFonts w:hint="eastAsia" w:ascii="方正仿宋_GBK" w:hAnsi="方正仿宋_GBK" w:eastAsia="方正仿宋_GBK"/>
          <w:color w:val="auto"/>
          <w:spacing w:val="-6"/>
          <w:kern w:val="2"/>
          <w:sz w:val="32"/>
          <w:lang w:val="zh-CN"/>
        </w:rPr>
        <w:t>以宏观控制为主，成片划分，宜大不宜小，宜粗不宜细，单块声功能区面积原则上不低于0.5km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，严格控制4类声环境功能区范围。</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（三）划分依据。</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1﹒《中华人民共和国环境噪声污染防治法》；</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2﹒《声环境质量标准》（GB3096-2008）；</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3﹒《声环境功能区划技术规范》（GB/T15190-2014）</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4﹒《城市用地分类与规划建设用地标准》（GB50137-2011）；</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000000"/>
          <w:kern w:val="2"/>
          <w:sz w:val="32"/>
          <w:lang w:val="zh-CN"/>
        </w:rPr>
      </w:pPr>
      <w:r>
        <w:rPr>
          <w:rFonts w:hint="eastAsia" w:ascii="方正仿宋_GBK" w:hAnsi="方正仿宋_GBK" w:eastAsia="方正仿宋_GBK"/>
          <w:color w:val="auto"/>
          <w:spacing w:val="-6"/>
          <w:kern w:val="2"/>
          <w:sz w:val="32"/>
          <w:lang w:val="zh-CN"/>
        </w:rPr>
        <w:t>5﹒</w:t>
      </w:r>
      <w:r>
        <w:rPr>
          <w:rFonts w:hint="eastAsia" w:ascii="方正仿宋_GBK" w:hAnsi="方正仿宋_GBK" w:eastAsia="方正仿宋_GBK"/>
          <w:color w:val="000000"/>
          <w:kern w:val="2"/>
          <w:sz w:val="32"/>
          <w:lang w:val="zh-CN"/>
        </w:rPr>
        <w:t>《环境保护部关于加强环境噪声污染防治工作改善城乡声环境质量的指导意见》（环发〔2010〕144号）；</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000000"/>
          <w:kern w:val="2"/>
          <w:sz w:val="32"/>
          <w:lang w:val="zh-CN"/>
        </w:rPr>
      </w:pPr>
      <w:r>
        <w:rPr>
          <w:rFonts w:hint="eastAsia" w:ascii="方正仿宋_GBK" w:hAnsi="方正仿宋_GBK" w:eastAsia="方正仿宋_GBK"/>
          <w:color w:val="auto"/>
          <w:spacing w:val="-6"/>
          <w:kern w:val="2"/>
          <w:sz w:val="32"/>
          <w:lang w:val="zh-CN"/>
        </w:rPr>
        <w:t>6﹒</w:t>
      </w:r>
      <w:r>
        <w:rPr>
          <w:rFonts w:hint="eastAsia" w:ascii="方正仿宋_GBK" w:hAnsi="方正仿宋_GBK" w:eastAsia="方正仿宋_GBK"/>
          <w:color w:val="000000"/>
          <w:kern w:val="2"/>
          <w:sz w:val="32"/>
          <w:lang w:val="zh-CN"/>
        </w:rPr>
        <w:t>《环保部办公厅关于加强和规范声环境功能区划分管理工作的通知》（环办大气函〔2017〕1709号）；</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7﹒《重庆市环境保护条例》；</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8﹒《重庆市环境噪声污染防治办法》；</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9．《重庆市城乡总体规划（2007</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2020年）》；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10﹒《重庆市声环境功能区划分技术规范实施细则（试行）》（渝环〔2015〕429号）；</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11﹒《荣昌区城乡总体规划（2009</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2030年）》；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12﹒《重庆市荣昌区综合交通体系规划》；</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13﹒《重庆市荣昌区综合交通运输</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十三五</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发展规划》（荣昌府发〔2017〕25号）；</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14﹒《重庆荣昌高新技术产业开发区</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十三五</w:t>
      </w:r>
      <w:r>
        <w:rPr>
          <w:rFonts w:hint="default" w:ascii="方正仿宋_GBK" w:hAnsi="方正仿宋_GBK" w:eastAsia="方正仿宋_GBK"/>
          <w:color w:val="auto"/>
          <w:spacing w:val="-6"/>
          <w:kern w:val="2"/>
          <w:sz w:val="32"/>
          <w:lang w:val="zh-CN"/>
        </w:rPr>
        <w:t>”</w:t>
      </w:r>
      <w:r>
        <w:rPr>
          <w:rFonts w:hint="eastAsia" w:ascii="方正仿宋_GBK" w:hAnsi="方正仿宋_GBK" w:eastAsia="方正仿宋_GBK"/>
          <w:color w:val="auto"/>
          <w:spacing w:val="-6"/>
          <w:kern w:val="2"/>
          <w:sz w:val="32"/>
          <w:lang w:val="zh-CN"/>
        </w:rPr>
        <w:t>发展规划》。</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（四）区划时限、范围。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1﹒区划时限</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区划基准年：2017年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区划时间：2018~2022年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2﹒区划范围</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本方案中区划范围包括荣昌区城市规划区范围（主要包括安富街道、广顺街道、昌元街道、昌州街道、峰高街道中心城区和直升镇镇部分区域）及仁义镇、吴家镇、双河街道、盘龙镇、铜鼓镇、清流镇、观胜镇、远觉镇、直升镇、清江镇、清升镇、万灵镇、龙集镇、河包镇、古昌镇、荣隆镇中心区域（见附录一）。</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二、区划类型及声环境质量标准</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1﹒区划类型</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根据《声环境质量标准》（GB3096-2008）的规定，声环境功能区分为0类、1类、2类、3类和4类，其中：</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0 类声环境功能区：指康复疗养区等特别需要安静的区域。</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1类声环境功能区：指以居民住宅、医疗卫生、文化教育、科研设计、行政办公为主要功能，需要保持安静的区域。</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2类声环境功能区：指以商业金融、集市贸易为主要功能，或者居住、商业、工业混杂，需要维护住宅安静的区域。</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3类声环境功能区：指以工业生产、仓储物流为主要功能，需要防止工业噪声对周围环境产生严重影响的区域。</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4类声环境功能区：指交通干线两侧一定距离之内（见表1），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000000"/>
          <w:sz w:val="32"/>
          <w:lang w:val="zh-CN"/>
        </w:rPr>
      </w:pPr>
      <w:r>
        <w:rPr>
          <w:rFonts w:hint="eastAsia" w:ascii="方正黑体_GBK" w:hAnsi="方正黑体_GBK" w:eastAsia="方正黑体_GBK"/>
          <w:color w:val="000000"/>
          <w:sz w:val="32"/>
          <w:lang w:val="zh-CN"/>
        </w:rPr>
        <w:t>表1  交通干线相邻区域4类功能区距离的确定</w:t>
      </w:r>
    </w:p>
    <w:tbl>
      <w:tblPr>
        <w:tblStyle w:val="12"/>
        <w:tblW w:w="8791" w:type="dxa"/>
        <w:jc w:val="center"/>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Layout w:type="fixed"/>
        <w:tblCellMar>
          <w:top w:w="0" w:type="dxa"/>
          <w:left w:w="10" w:type="dxa"/>
          <w:bottom w:w="0" w:type="dxa"/>
          <w:right w:w="10" w:type="dxa"/>
        </w:tblCellMar>
      </w:tblPr>
      <w:tblGrid>
        <w:gridCol w:w="10"/>
        <w:gridCol w:w="4284"/>
        <w:gridCol w:w="10"/>
        <w:gridCol w:w="2115"/>
        <w:gridCol w:w="10"/>
        <w:gridCol w:w="2352"/>
        <w:gridCol w:w="10"/>
      </w:tblGrid>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12" w:hRule="exact"/>
          <w:jc w:val="center"/>
        </w:trPr>
        <w:tc>
          <w:tcPr>
            <w:tcW w:w="4294" w:type="dxa"/>
            <w:gridSpan w:val="2"/>
            <w:tcBorders>
              <w:top w:val="single" w:color="auto"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源强类型</w:t>
            </w:r>
          </w:p>
        </w:tc>
        <w:tc>
          <w:tcPr>
            <w:tcW w:w="2125" w:type="dxa"/>
            <w:gridSpan w:val="2"/>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划分距离（m）</w:t>
            </w:r>
          </w:p>
        </w:tc>
        <w:tc>
          <w:tcPr>
            <w:tcW w:w="2362" w:type="dxa"/>
            <w:gridSpan w:val="2"/>
            <w:tcBorders>
              <w:top w:val="single" w:color="auto"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相邻功能区类型</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7" w:hRule="exact"/>
          <w:jc w:val="center"/>
        </w:trPr>
        <w:tc>
          <w:tcPr>
            <w:tcW w:w="4294" w:type="dxa"/>
            <w:gridSpan w:val="2"/>
            <w:vMerge w:val="restart"/>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高速公路、城市快速路</w:t>
            </w:r>
            <w:r>
              <w:rPr>
                <w:rFonts w:hint="eastAsia" w:ascii="方正仿宋_GBK" w:hAnsi="方正仿宋_GBK" w:eastAsia="方正仿宋_GBK"/>
                <w:color w:val="000000"/>
                <w:kern w:val="2"/>
                <w:sz w:val="28"/>
                <w:lang w:val="zh-CN"/>
              </w:rPr>
              <w:t>、</w:t>
            </w:r>
            <w:r>
              <w:rPr>
                <w:rFonts w:hint="eastAsia" w:ascii="方正仿宋_GBK" w:hAnsi="方正仿宋_GBK" w:eastAsia="方正仿宋_GBK"/>
                <w:color w:val="auto"/>
                <w:kern w:val="2"/>
                <w:sz w:val="28"/>
                <w:lang w:val="zh-CN"/>
              </w:rPr>
              <w:t>城市轨道交通（钢轨</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地面段）、铁路</w:t>
            </w: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7" w:hRule="exact"/>
          <w:jc w:val="center"/>
        </w:trPr>
        <w:tc>
          <w:tcPr>
            <w:tcW w:w="4294" w:type="dxa"/>
            <w:gridSpan w:val="2"/>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40</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w:t>
            </w:r>
            <w:r>
              <w:rPr>
                <w:rFonts w:hint="eastAsia" w:ascii="方正仿宋_GBK" w:hAnsi="方正仿宋_GBK" w:eastAsia="方正仿宋_GBK"/>
                <w:color w:val="auto"/>
                <w:kern w:val="2"/>
                <w:sz w:val="28"/>
                <w:lang w:val="zh-CN"/>
              </w:rPr>
              <w:t>类区</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397" w:hRule="exact"/>
          <w:jc w:val="center"/>
        </w:trPr>
        <w:tc>
          <w:tcPr>
            <w:tcW w:w="4294" w:type="dxa"/>
            <w:gridSpan w:val="2"/>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25</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7" w:hRule="exact"/>
          <w:jc w:val="center"/>
        </w:trPr>
        <w:tc>
          <w:tcPr>
            <w:tcW w:w="4294" w:type="dxa"/>
            <w:gridSpan w:val="2"/>
            <w:vMerge w:val="restart"/>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一级公路、城市主干路、</w:t>
            </w:r>
            <w:r>
              <w:rPr>
                <w:rFonts w:hint="eastAsia" w:ascii="方正仿宋_GBK" w:hAnsi="方正仿宋_GBK" w:eastAsia="方正仿宋_GBK"/>
                <w:color w:val="000000"/>
                <w:kern w:val="2"/>
                <w:sz w:val="28"/>
                <w:lang w:val="zh-CN"/>
              </w:rPr>
              <w:t>内河航道</w:t>
            </w: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50</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7" w:hRule="exact"/>
          <w:jc w:val="center"/>
        </w:trPr>
        <w:tc>
          <w:tcPr>
            <w:tcW w:w="4294" w:type="dxa"/>
            <w:gridSpan w:val="2"/>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35</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w:t>
            </w:r>
            <w:r>
              <w:rPr>
                <w:rFonts w:hint="eastAsia" w:ascii="方正仿宋_GBK" w:hAnsi="方正仿宋_GBK" w:eastAsia="方正仿宋_GBK"/>
                <w:color w:val="auto"/>
                <w:kern w:val="2"/>
                <w:sz w:val="28"/>
                <w:lang w:val="zh-CN"/>
              </w:rPr>
              <w:t>类区</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37" w:hRule="exact"/>
          <w:jc w:val="center"/>
        </w:trPr>
        <w:tc>
          <w:tcPr>
            <w:tcW w:w="4294" w:type="dxa"/>
            <w:gridSpan w:val="2"/>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20</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7" w:hRule="exact"/>
          <w:jc w:val="center"/>
        </w:trPr>
        <w:tc>
          <w:tcPr>
            <w:tcW w:w="4294" w:type="dxa"/>
            <w:gridSpan w:val="2"/>
            <w:vMerge w:val="restart"/>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二级公路、城市次干路、城市轨道交通（胶轨</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地面段）</w:t>
            </w: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62" w:hRule="exact"/>
          <w:jc w:val="center"/>
        </w:trPr>
        <w:tc>
          <w:tcPr>
            <w:tcW w:w="4294" w:type="dxa"/>
            <w:gridSpan w:val="2"/>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30</w:t>
            </w:r>
          </w:p>
        </w:tc>
        <w:tc>
          <w:tcPr>
            <w:tcW w:w="236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w:t>
            </w:r>
            <w:r>
              <w:rPr>
                <w:rFonts w:hint="eastAsia" w:ascii="方正仿宋_GBK" w:hAnsi="方正仿宋_GBK" w:eastAsia="方正仿宋_GBK"/>
                <w:color w:val="auto"/>
                <w:kern w:val="2"/>
                <w:sz w:val="28"/>
                <w:lang w:val="zh-CN"/>
              </w:rPr>
              <w:t>类区</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99" w:hRule="exact"/>
          <w:jc w:val="center"/>
        </w:trPr>
        <w:tc>
          <w:tcPr>
            <w:tcW w:w="4294" w:type="dxa"/>
            <w:gridSpan w:val="2"/>
            <w:vMerge w:val="continue"/>
            <w:tcBorders>
              <w:top w:val="single" w:color="808080" w:sz="4" w:space="0"/>
              <w:left w:val="single" w:color="auto"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p>
        </w:tc>
        <w:tc>
          <w:tcPr>
            <w:tcW w:w="2125"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15</w:t>
            </w:r>
          </w:p>
        </w:tc>
        <w:tc>
          <w:tcPr>
            <w:tcW w:w="2362" w:type="dxa"/>
            <w:gridSpan w:val="2"/>
            <w:tcBorders>
              <w:top w:val="single" w:color="808080" w:sz="4" w:space="0"/>
              <w:left w:val="single" w:color="808080"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w:t>
            </w:r>
            <w:r>
              <w:rPr>
                <w:rFonts w:hint="eastAsia" w:ascii="方正仿宋_GBK" w:hAnsi="方正仿宋_GBK" w:eastAsia="方正仿宋_GBK"/>
                <w:color w:val="auto"/>
                <w:kern w:val="2"/>
                <w:sz w:val="28"/>
                <w:lang w:val="zh-CN"/>
              </w:rPr>
              <w:t>类区</w:t>
            </w:r>
          </w:p>
        </w:tc>
      </w:tr>
    </w:tbl>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2﹒声环境质量标准</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根据《声环境质量标准》（GB3096-2008）的规定，0类、1类、2类、3类和4类区标准限值见下表1。</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表2 声环境噪声限值</w:t>
      </w:r>
    </w:p>
    <w:tbl>
      <w:tblPr>
        <w:tblStyle w:val="12"/>
        <w:tblW w:w="8505" w:type="dxa"/>
        <w:jc w:val="center"/>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Layout w:type="fixed"/>
        <w:tblCellMar>
          <w:top w:w="0" w:type="dxa"/>
          <w:left w:w="10" w:type="dxa"/>
          <w:bottom w:w="0" w:type="dxa"/>
          <w:right w:w="10" w:type="dxa"/>
        </w:tblCellMar>
      </w:tblPr>
      <w:tblGrid>
        <w:gridCol w:w="10"/>
        <w:gridCol w:w="1085"/>
        <w:gridCol w:w="2043"/>
        <w:gridCol w:w="10"/>
        <w:gridCol w:w="2625"/>
        <w:gridCol w:w="10"/>
        <w:gridCol w:w="2712"/>
        <w:gridCol w:w="10"/>
      </w:tblGrid>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50" w:hRule="atLeast"/>
          <w:jc w:val="center"/>
        </w:trPr>
        <w:tc>
          <w:tcPr>
            <w:tcW w:w="3138" w:type="dxa"/>
            <w:gridSpan w:val="3"/>
            <w:vMerge w:val="restart"/>
            <w:tcBorders>
              <w:top w:val="single" w:color="auto"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声环境功能区类别</w:t>
            </w:r>
          </w:p>
        </w:tc>
        <w:tc>
          <w:tcPr>
            <w:tcW w:w="5357" w:type="dxa"/>
            <w:gridSpan w:val="4"/>
            <w:tcBorders>
              <w:top w:val="single" w:color="auto"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标准值类eq（dBA）</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76" w:hRule="atLeast"/>
          <w:jc w:val="center"/>
        </w:trPr>
        <w:tc>
          <w:tcPr>
            <w:tcW w:w="3138" w:type="dxa"/>
            <w:gridSpan w:val="3"/>
            <w:vMerge w:val="continue"/>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昼间</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夜间</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3138" w:type="dxa"/>
            <w:gridSpan w:val="3"/>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50</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3138" w:type="dxa"/>
            <w:gridSpan w:val="3"/>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3138" w:type="dxa"/>
            <w:gridSpan w:val="3"/>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60</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3138" w:type="dxa"/>
            <w:gridSpan w:val="3"/>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3</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65</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77" w:hRule="atLeast"/>
          <w:jc w:val="center"/>
        </w:trPr>
        <w:tc>
          <w:tcPr>
            <w:tcW w:w="1095" w:type="dxa"/>
            <w:gridSpan w:val="2"/>
            <w:vMerge w:val="restart"/>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w:t>
            </w:r>
            <w:r>
              <w:rPr>
                <w:rFonts w:hint="eastAsia" w:ascii="方正仿宋_GBK" w:hAnsi="方正仿宋_GBK" w:eastAsia="方正仿宋_GBK"/>
                <w:color w:val="auto"/>
                <w:kern w:val="2"/>
                <w:sz w:val="28"/>
                <w:lang w:val="zh-CN"/>
              </w:rPr>
              <w:t>类</w:t>
            </w:r>
          </w:p>
        </w:tc>
        <w:tc>
          <w:tcPr>
            <w:tcW w:w="2043" w:type="dxa"/>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4a</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70</w:t>
            </w:r>
          </w:p>
        </w:tc>
        <w:tc>
          <w:tcPr>
            <w:tcW w:w="2722"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1095" w:type="dxa"/>
            <w:gridSpan w:val="2"/>
            <w:vMerge w:val="continue"/>
            <w:tcBorders>
              <w:top w:val="single" w:color="808080" w:sz="4" w:space="0"/>
              <w:left w:val="single" w:color="auto"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p>
        </w:tc>
        <w:tc>
          <w:tcPr>
            <w:tcW w:w="2043" w:type="dxa"/>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4b</w:t>
            </w:r>
            <w:r>
              <w:rPr>
                <w:rFonts w:hint="eastAsia" w:ascii="方正仿宋_GBK" w:hAnsi="方正仿宋_GBK" w:eastAsia="方正仿宋_GBK"/>
                <w:color w:val="auto"/>
                <w:kern w:val="2"/>
                <w:sz w:val="28"/>
                <w:lang w:val="zh-CN"/>
              </w:rPr>
              <w:t>类</w:t>
            </w:r>
          </w:p>
        </w:tc>
        <w:tc>
          <w:tcPr>
            <w:tcW w:w="2635"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70</w:t>
            </w:r>
          </w:p>
        </w:tc>
        <w:tc>
          <w:tcPr>
            <w:tcW w:w="2722" w:type="dxa"/>
            <w:gridSpan w:val="2"/>
            <w:tcBorders>
              <w:top w:val="single" w:color="808080" w:sz="4" w:space="0"/>
              <w:left w:val="single" w:color="808080"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60</w:t>
            </w:r>
          </w:p>
        </w:tc>
      </w:tr>
    </w:tbl>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三、区划步骤</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（一）基础数据入库。</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通过数据编辑与处理、错误修正、数据格式转化、数据比例转化、投影变换、数据概化、数据重构、地理编码等方法，建立包含城乡总体规划和城市总体规划数据、城市和乡镇控制性详细规划、高分遥感影像数据、土地利用规划数据、城市交通规划数据等的声环境功能区地理数据库，保证数据在空间与内容上的完整性、逻辑上的一致性。</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（二）划分噪声区划单元。</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根据城乡规划建设用地边界划定此次声环境功能区区划的范围，利用道路交通规划的城市交通要道、城市行政区划及自然地貌确定声环境区划单元，原则上，单块声功能区面积不低于0.5km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简体" w:hAnsi="方正楷体简体" w:eastAsia="方正楷体简体"/>
          <w:color w:val="auto"/>
          <w:kern w:val="2"/>
          <w:sz w:val="32"/>
          <w:lang w:val="zh-CN"/>
        </w:rPr>
      </w:pPr>
      <w:r>
        <w:rPr>
          <w:rFonts w:hint="eastAsia" w:ascii="方正楷体_GBK" w:hAnsi="方正楷体_GBK" w:eastAsia="方正楷体_GBK"/>
          <w:color w:val="auto"/>
          <w:kern w:val="2"/>
          <w:sz w:val="32"/>
          <w:lang w:val="zh-CN"/>
        </w:rPr>
        <w:t>（三）确定声环境功能区类型。</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1﹒根据《重庆市声环境功能区划分技术规范实施细则（试行）》（渝环〔2015〕429号），首先对0、1、3类声环境功能区确认划分，余下区域划分为2类声环境功能区，在此基础上划分4类声环境功能区。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2﹒交通干线两侧一定区域按以下标准划定4类声功能区：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（1）城区内已建成高速公路、城市主干道、次干道根据表1划为4a类声环境功能区。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（2）城区内已建成铁路根据表1划为4b类声环境功能区。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（3）对于4a类声环境功能区和4b类声环境功能区有重叠的区域，划为4b类声环境功能区。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（4）交通干线建设规划实施前按当前声环境功能区划定，规划实施后适时调整为相应4类声环境功能区。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3、大型公交枢纽站、高速服务区、汽车站等区域划为4a类声环境功能区，火车站、动车站等划为4b类声环境功能区。</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（四）综合分析。</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以荣昌区高分遥感影像数据为基础，利用GIS空间分析功能，将各功能区进行空间叠加、拓扑查错、单元合并等综合分析，得到荣昌区声环境功能区划的初步成果。</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简体" w:hAnsi="方正楷体简体" w:eastAsia="方正楷体简体"/>
          <w:color w:val="auto"/>
          <w:kern w:val="2"/>
          <w:sz w:val="32"/>
          <w:lang w:val="zh-CN"/>
        </w:rPr>
      </w:pPr>
      <w:r>
        <w:rPr>
          <w:rFonts w:hint="eastAsia" w:ascii="方正楷体_GBK" w:hAnsi="方正楷体_GBK" w:eastAsia="方正楷体_GBK"/>
          <w:color w:val="auto"/>
          <w:kern w:val="2"/>
          <w:sz w:val="32"/>
          <w:lang w:val="zh-CN"/>
        </w:rPr>
        <w:t>（五）现场踏勘与优化。</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基于初步空间成果，选取复杂和典型区域进行现场核查，重点对学校、医院等敏感区域以及功能区边界核查，对不合理的声环境单元进行校正、调整和优化。</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（六）综合制图。</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根据环境噪声功能区调整、划分数据成果，以GIS专题地图形式编制荣昌区环境噪声功能区专题图。</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四、荣昌城区声环境功能区划分结果</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以城市功能、城市用地类型、交通干线、自然地貌等边界作为声环境区划单元主要依据，在空间叠加及合并的基础上，荣昌区声功能区划定面积为79.15km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，其中中心城区声环境噪声功能区划定面积为60.85km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，集镇声环境噪声功能区划定面积为18.30km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中心城区0类声环境功能区0个；1类声环境功能区划单元10个，区划面积为12.36km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，占总区划面积的20.31%；2类声环境功能区划单元9个，区划面积为12.12km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，占总区划面积的19.92%；3类声环境功能区划单元4个，区划面积为22.75km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，占总区划面积的37.39%；4a类声功能区划面积为区划面积为11.00km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，占总区划面积的18.08%；4b类声功能区划面积为区划面积为2.63km</w:t>
      </w:r>
      <w:r>
        <w:rPr>
          <w:rFonts w:hint="eastAsia" w:ascii="方正仿宋_GBK" w:hAnsi="方正仿宋_GBK" w:eastAsia="方正仿宋_GBK"/>
          <w:color w:val="auto"/>
          <w:spacing w:val="-6"/>
          <w:kern w:val="2"/>
          <w:sz w:val="32"/>
          <w:vertAlign w:val="superscript"/>
          <w:lang w:val="zh-CN"/>
        </w:rPr>
        <w:t>2</w:t>
      </w:r>
      <w:r>
        <w:rPr>
          <w:rFonts w:hint="eastAsia" w:ascii="方正仿宋_GBK" w:hAnsi="方正仿宋_GBK" w:eastAsia="方正仿宋_GBK"/>
          <w:color w:val="auto"/>
          <w:spacing w:val="-6"/>
          <w:kern w:val="2"/>
          <w:sz w:val="32"/>
          <w:lang w:val="zh-CN"/>
        </w:rPr>
        <w:t>，占总区划面积的4.32%，荣昌区城市区域声环境功能区划图及数据信息表见附录二和附录三。</w:t>
      </w:r>
      <w:r>
        <w:rPr>
          <w:rFonts w:hint="default" w:ascii="Times New Roman" w:hAnsi="Times New Roman" w:eastAsia="Times New Roman"/>
          <w:color w:val="auto"/>
          <w:spacing w:val="-6"/>
          <w:kern w:val="2"/>
          <w:sz w:val="32"/>
          <w:lang w:val="en-US"/>
        </w:rPr>
        <w:t xml:space="preserve"> </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简体" w:hAnsi="方正楷体简体" w:eastAsia="方正楷体简体"/>
          <w:color w:val="auto"/>
          <w:kern w:val="2"/>
          <w:sz w:val="32"/>
          <w:lang w:val="zh-CN"/>
        </w:rPr>
      </w:pPr>
      <w:r>
        <w:rPr>
          <w:rFonts w:hint="eastAsia" w:ascii="方正楷体_GBK" w:hAnsi="方正楷体_GBK" w:eastAsia="方正楷体_GBK"/>
          <w:color w:val="auto"/>
          <w:kern w:val="2"/>
          <w:sz w:val="32"/>
          <w:lang w:val="zh-CN"/>
        </w:rPr>
        <w:t>（一）1类、2类和3类声环境功能区划分结果。</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荣昌区城市区域声环境功能区划图见附录一，各类声环境功能区边界或范围详见表3~表5。</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表3 荣昌中心城区1类声环境功能区边界或范围规定</w:t>
      </w:r>
    </w:p>
    <w:tbl>
      <w:tblPr>
        <w:tblStyle w:val="12"/>
        <w:tblW w:w="8922" w:type="dxa"/>
        <w:jc w:val="center"/>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Layout w:type="fixed"/>
        <w:tblCellMar>
          <w:top w:w="0" w:type="dxa"/>
          <w:left w:w="10" w:type="dxa"/>
          <w:bottom w:w="0" w:type="dxa"/>
          <w:right w:w="10" w:type="dxa"/>
        </w:tblCellMar>
      </w:tblPr>
      <w:tblGrid>
        <w:gridCol w:w="10"/>
        <w:gridCol w:w="862"/>
        <w:gridCol w:w="10"/>
        <w:gridCol w:w="1180"/>
        <w:gridCol w:w="10"/>
        <w:gridCol w:w="4569"/>
        <w:gridCol w:w="10"/>
        <w:gridCol w:w="864"/>
        <w:gridCol w:w="10"/>
        <w:gridCol w:w="694"/>
        <w:gridCol w:w="10"/>
        <w:gridCol w:w="683"/>
        <w:gridCol w:w="10"/>
      </w:tblGrid>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50" w:hRule="atLeast"/>
          <w:jc w:val="center"/>
        </w:trPr>
        <w:tc>
          <w:tcPr>
            <w:tcW w:w="2062" w:type="dxa"/>
            <w:gridSpan w:val="4"/>
            <w:tcBorders>
              <w:top w:val="single" w:color="auto"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适用区域类别</w:t>
            </w:r>
          </w:p>
        </w:tc>
        <w:tc>
          <w:tcPr>
            <w:tcW w:w="4579"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区域范围</w:t>
            </w:r>
          </w:p>
        </w:tc>
        <w:tc>
          <w:tcPr>
            <w:tcW w:w="874"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面积（km</w:t>
            </w:r>
            <w:r>
              <w:rPr>
                <w:rFonts w:hint="eastAsia" w:ascii="方正黑体_GBK" w:hAnsi="方正黑体_GBK" w:eastAsia="方正黑体_GBK"/>
                <w:color w:val="auto"/>
                <w:kern w:val="2"/>
                <w:sz w:val="28"/>
                <w:vertAlign w:val="superscript"/>
                <w:lang w:val="zh-CN"/>
              </w:rPr>
              <w:t>2</w:t>
            </w:r>
            <w:r>
              <w:rPr>
                <w:rFonts w:hint="eastAsia" w:ascii="方正黑体_GBK" w:hAnsi="方正黑体_GBK" w:eastAsia="方正黑体_GBK"/>
                <w:color w:val="auto"/>
                <w:kern w:val="2"/>
                <w:sz w:val="28"/>
                <w:lang w:val="zh-CN"/>
              </w:rPr>
              <w:t>）</w:t>
            </w:r>
          </w:p>
        </w:tc>
        <w:tc>
          <w:tcPr>
            <w:tcW w:w="1397" w:type="dxa"/>
            <w:gridSpan w:val="4"/>
            <w:tcBorders>
              <w:top w:val="single" w:color="auto"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标准值</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Leq（dBA）</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223" w:hRule="atLeast"/>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代码</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w:t>
            </w:r>
          </w:p>
        </w:tc>
        <w:tc>
          <w:tcPr>
            <w:tcW w:w="4579"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874"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昼间</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夜间</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144" w:hRule="atLeast"/>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5001531L01</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居住</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文教区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濑溪河以西、成渝路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成渝铁路以南、成渝路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成渝铁路以东居住文教区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1.67</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5001531L02</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居住</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文教区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成渝路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昌州大道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濑溪河</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恒荣路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香国大道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宝城东路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濑溪河以西、渝昆高速以南居住文教区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2.63</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5001531L03</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居住</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文教区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成渝铁路以北、昌州大道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谭家坡街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西大街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宝城支路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昌州大道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成渝路以南、209县道以东居住文教区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0.98</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5001531L04</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居住</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文教区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人民路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玉屏街以北、海棠路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海棠北路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濑溪河</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宝城东路以西、香国大道以南、恒荣路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广场路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广场北路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上河路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后西二街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人民四支路以东居住文教区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0.87</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5001531L05</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富安北路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迎宾大道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昌龙大道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成渝铁路以北、渝昆高速以南、棠香北街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宝城东路以东居住区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1.72</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PrEx>
        <w:trPr>
          <w:gridAfter w:val="1"/>
          <w:wAfter w:w="10" w:type="dxa"/>
          <w:trHeight w:val="995" w:hRule="atLeast"/>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5001531L06</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规划</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渝昆高速以北、朝阳路以西、濑溪河以东规划居住区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0.87</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5001531L07</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规划居住文教区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龙华二路以北、荣昌北站（不含）以西、成渝铁路以南、朝阳路以东规划居住文教区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0.71</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5001531L08</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规划生态居住区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渝昆高速以北、成渝铁路以西、龙华三路（规划）以南、科园路（规划）以东规划生态居住区域</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1.18</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901" w:hRule="atLeast"/>
          <w:jc w:val="center"/>
        </w:trPr>
        <w:tc>
          <w:tcPr>
            <w:tcW w:w="872"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5001531L09</w:t>
            </w:r>
          </w:p>
        </w:tc>
        <w:tc>
          <w:tcPr>
            <w:tcW w:w="1190"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仿宋_GBK" w:hAnsi="方正仿宋_GBK" w:eastAsia="方正仿宋_GBK"/>
                <w:color w:val="auto"/>
                <w:kern w:val="2"/>
                <w:sz w:val="28"/>
                <w:lang w:val="zh-CN"/>
              </w:rPr>
            </w:pPr>
            <w:r>
              <w:rPr>
                <w:rFonts w:hint="eastAsia" w:ascii="方正仿宋_GBK" w:hAnsi="方正仿宋_GBK" w:eastAsia="方正仿宋_GBK"/>
                <w:color w:val="auto"/>
                <w:kern w:val="2"/>
                <w:sz w:val="28"/>
                <w:lang w:val="zh-CN"/>
              </w:rPr>
              <w:t>生态</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居住区</w:t>
            </w:r>
          </w:p>
        </w:tc>
        <w:tc>
          <w:tcPr>
            <w:tcW w:w="4579"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庙山路以北、启明路以西、昌州大道以南生态居住区</w:t>
            </w:r>
          </w:p>
        </w:tc>
        <w:tc>
          <w:tcPr>
            <w:tcW w:w="87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0.77</w:t>
            </w:r>
          </w:p>
        </w:tc>
        <w:tc>
          <w:tcPr>
            <w:tcW w:w="704"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971" w:hRule="atLeast"/>
          <w:jc w:val="center"/>
        </w:trPr>
        <w:tc>
          <w:tcPr>
            <w:tcW w:w="872" w:type="dxa"/>
            <w:gridSpan w:val="2"/>
            <w:tcBorders>
              <w:top w:val="single" w:color="808080" w:sz="4" w:space="0"/>
              <w:left w:val="single" w:color="auto"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5001531L10</w:t>
            </w:r>
          </w:p>
        </w:tc>
        <w:tc>
          <w:tcPr>
            <w:tcW w:w="1190"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规划居住文教区</w:t>
            </w:r>
          </w:p>
        </w:tc>
        <w:tc>
          <w:tcPr>
            <w:tcW w:w="4579"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昌州大道以北、干坝子村（不含）以东规划居住文教区域</w:t>
            </w:r>
          </w:p>
        </w:tc>
        <w:tc>
          <w:tcPr>
            <w:tcW w:w="874"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0.96</w:t>
            </w:r>
          </w:p>
        </w:tc>
        <w:tc>
          <w:tcPr>
            <w:tcW w:w="704"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55</w:t>
            </w:r>
          </w:p>
        </w:tc>
        <w:tc>
          <w:tcPr>
            <w:tcW w:w="693" w:type="dxa"/>
            <w:gridSpan w:val="2"/>
            <w:tcBorders>
              <w:top w:val="single" w:color="808080" w:sz="4" w:space="0"/>
              <w:left w:val="single" w:color="808080"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45</w:t>
            </w:r>
          </w:p>
        </w:tc>
      </w:tr>
    </w:tbl>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表4 荣昌区中心城区2类声环境功能区边界或范围规定</w:t>
      </w:r>
    </w:p>
    <w:tbl>
      <w:tblPr>
        <w:tblStyle w:val="12"/>
        <w:tblW w:w="8769" w:type="dxa"/>
        <w:jc w:val="center"/>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Layout w:type="fixed"/>
        <w:tblCellMar>
          <w:top w:w="0" w:type="dxa"/>
          <w:left w:w="10" w:type="dxa"/>
          <w:bottom w:w="0" w:type="dxa"/>
          <w:right w:w="10" w:type="dxa"/>
        </w:tblCellMar>
      </w:tblPr>
      <w:tblGrid>
        <w:gridCol w:w="10"/>
        <w:gridCol w:w="859"/>
        <w:gridCol w:w="10"/>
        <w:gridCol w:w="1265"/>
        <w:gridCol w:w="10"/>
        <w:gridCol w:w="4481"/>
        <w:gridCol w:w="10"/>
        <w:gridCol w:w="817"/>
        <w:gridCol w:w="10"/>
        <w:gridCol w:w="662"/>
        <w:gridCol w:w="10"/>
        <w:gridCol w:w="615"/>
        <w:gridCol w:w="10"/>
      </w:tblGrid>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50" w:hRule="atLeast"/>
          <w:jc w:val="center"/>
        </w:trPr>
        <w:tc>
          <w:tcPr>
            <w:tcW w:w="2144" w:type="dxa"/>
            <w:gridSpan w:val="4"/>
            <w:tcBorders>
              <w:top w:val="single" w:color="auto"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适用区域类别</w:t>
            </w:r>
          </w:p>
        </w:tc>
        <w:tc>
          <w:tcPr>
            <w:tcW w:w="4491"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区域范围</w:t>
            </w:r>
          </w:p>
        </w:tc>
        <w:tc>
          <w:tcPr>
            <w:tcW w:w="827"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面积（km</w:t>
            </w:r>
            <w:r>
              <w:rPr>
                <w:rFonts w:hint="eastAsia" w:ascii="方正黑体_GBK" w:hAnsi="方正黑体_GBK" w:eastAsia="方正黑体_GBK"/>
                <w:color w:val="auto"/>
                <w:kern w:val="2"/>
                <w:sz w:val="28"/>
                <w:vertAlign w:val="superscript"/>
                <w:lang w:val="zh-CN"/>
              </w:rPr>
              <w:t>2</w:t>
            </w:r>
            <w:r>
              <w:rPr>
                <w:rFonts w:hint="eastAsia" w:ascii="方正黑体_GBK" w:hAnsi="方正黑体_GBK" w:eastAsia="方正黑体_GBK"/>
                <w:color w:val="auto"/>
                <w:kern w:val="2"/>
                <w:sz w:val="28"/>
                <w:lang w:val="zh-CN"/>
              </w:rPr>
              <w:t>）</w:t>
            </w:r>
          </w:p>
        </w:tc>
        <w:tc>
          <w:tcPr>
            <w:tcW w:w="1297" w:type="dxa"/>
            <w:gridSpan w:val="4"/>
            <w:tcBorders>
              <w:top w:val="single" w:color="auto"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标准值</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Leq（dBA）</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76" w:hRule="atLeast"/>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代码</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w:t>
            </w:r>
          </w:p>
        </w:tc>
        <w:tc>
          <w:tcPr>
            <w:tcW w:w="4491"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827"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昼间</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夜间</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5001532L01</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安富街道居住、商业区域</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4.49</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5001532L02</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成渝铁路以北、209县道以西、广顺小学（含）以东广顺街道集镇居住、商业区域</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0.93</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5001532L03</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昌州大道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宝城支路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西大街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谭家坡街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昌州大道红岩路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城南大道-环保产业园（不含）</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成渝铁路以北、迎宾大道以西、昌州大道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海棠路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玉屏街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人民路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人民四支路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后西二街</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上河路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广场北路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广场路以南、濑溪河东居住、商业区域</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1.67</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5001532L04</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居住、商业、工业混合区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尚书路延伸路以北、嘉吉普瑞纳大道以西、荣升路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天正路以西、昌州大道以南、迎宾大道以东居住、商业、工业混合区</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0.89</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5001532L05</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昌州大道以北、成渝铁路以西、昌龙大道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迎宾大道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富安北路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宝城东路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濑溪河以南、海棠北路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海棠路以东居住、商业区域</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1.50</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69"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5001532L06</w:t>
            </w:r>
          </w:p>
        </w:tc>
        <w:tc>
          <w:tcPr>
            <w:tcW w:w="1275"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规划居住、商业混合区</w:t>
            </w:r>
          </w:p>
        </w:tc>
        <w:tc>
          <w:tcPr>
            <w:tcW w:w="449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渝昆高速</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科园路（规划）</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龙华三路（规划）以北、干坝子村（含）以西、荣昌北站</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荣昌北站纵向西路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龙华二路以南、朝阳路以东规划居住、商业区域</w:t>
            </w:r>
          </w:p>
        </w:tc>
        <w:tc>
          <w:tcPr>
            <w:tcW w:w="827"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1.71</w:t>
            </w:r>
          </w:p>
        </w:tc>
        <w:tc>
          <w:tcPr>
            <w:tcW w:w="67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124" w:hRule="atLeast"/>
          <w:jc w:val="center"/>
        </w:trPr>
        <w:tc>
          <w:tcPr>
            <w:tcW w:w="869" w:type="dxa"/>
            <w:gridSpan w:val="2"/>
            <w:tcBorders>
              <w:top w:val="single" w:color="808080" w:sz="4" w:space="0"/>
              <w:left w:val="single" w:color="auto"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5001532L07</w:t>
            </w:r>
          </w:p>
        </w:tc>
        <w:tc>
          <w:tcPr>
            <w:tcW w:w="1275"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居住、商业混合区</w:t>
            </w:r>
          </w:p>
        </w:tc>
        <w:tc>
          <w:tcPr>
            <w:tcW w:w="4491"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渝昆高速以北、昌州大道以南、荣昌高新区（不含）以东居住、商业区域</w:t>
            </w:r>
          </w:p>
        </w:tc>
        <w:tc>
          <w:tcPr>
            <w:tcW w:w="827"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0.93</w:t>
            </w:r>
          </w:p>
        </w:tc>
        <w:tc>
          <w:tcPr>
            <w:tcW w:w="672"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60</w:t>
            </w:r>
          </w:p>
        </w:tc>
        <w:tc>
          <w:tcPr>
            <w:tcW w:w="625" w:type="dxa"/>
            <w:gridSpan w:val="2"/>
            <w:tcBorders>
              <w:top w:val="single" w:color="808080" w:sz="4" w:space="0"/>
              <w:left w:val="single" w:color="808080"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w:t>
            </w:r>
          </w:p>
        </w:tc>
      </w:tr>
    </w:tbl>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仁义镇、吴家镇、双河街道、盘龙镇、铜鼓镇、清流镇、观胜镇、远觉镇、直升镇、清江镇、清升镇、万灵镇、龙集镇、河包镇、古昌镇、荣隆镇集镇区域执行2类声环境标准。</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32"/>
          <w:lang w:val="zh-CN"/>
        </w:rPr>
      </w:pPr>
      <w:r>
        <w:rPr>
          <w:rFonts w:hint="eastAsia" w:ascii="方正黑体_GBK" w:hAnsi="方正黑体_GBK" w:eastAsia="方正黑体_GBK"/>
          <w:color w:val="auto"/>
          <w:kern w:val="2"/>
          <w:sz w:val="32"/>
          <w:lang w:val="zh-CN"/>
        </w:rPr>
        <w:t>表5 荣昌区中心城区3类声环境功能区边界或范围规定</w:t>
      </w:r>
    </w:p>
    <w:tbl>
      <w:tblPr>
        <w:tblStyle w:val="12"/>
        <w:tblW w:w="8568" w:type="dxa"/>
        <w:jc w:val="center"/>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Layout w:type="fixed"/>
        <w:tblCellMar>
          <w:top w:w="0" w:type="dxa"/>
          <w:left w:w="10" w:type="dxa"/>
          <w:bottom w:w="0" w:type="dxa"/>
          <w:right w:w="10" w:type="dxa"/>
        </w:tblCellMar>
      </w:tblPr>
      <w:tblGrid>
        <w:gridCol w:w="10"/>
        <w:gridCol w:w="887"/>
        <w:gridCol w:w="10"/>
        <w:gridCol w:w="928"/>
        <w:gridCol w:w="10"/>
        <w:gridCol w:w="4502"/>
        <w:gridCol w:w="10"/>
        <w:gridCol w:w="821"/>
        <w:gridCol w:w="10"/>
        <w:gridCol w:w="676"/>
        <w:gridCol w:w="10"/>
        <w:gridCol w:w="684"/>
        <w:gridCol w:w="10"/>
      </w:tblGrid>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50" w:hRule="atLeast"/>
          <w:jc w:val="center"/>
        </w:trPr>
        <w:tc>
          <w:tcPr>
            <w:tcW w:w="1835" w:type="dxa"/>
            <w:gridSpan w:val="4"/>
            <w:tcBorders>
              <w:top w:val="single" w:color="auto"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适用区域类别</w:t>
            </w:r>
          </w:p>
        </w:tc>
        <w:tc>
          <w:tcPr>
            <w:tcW w:w="4512"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区域范围</w:t>
            </w:r>
          </w:p>
        </w:tc>
        <w:tc>
          <w:tcPr>
            <w:tcW w:w="831" w:type="dxa"/>
            <w:gridSpan w:val="2"/>
            <w:vMerge w:val="restart"/>
            <w:tcBorders>
              <w:top w:val="single" w:color="auto"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面积（km</w:t>
            </w:r>
            <w:r>
              <w:rPr>
                <w:rFonts w:hint="eastAsia" w:ascii="方正黑体_GBK" w:hAnsi="方正黑体_GBK" w:eastAsia="方正黑体_GBK"/>
                <w:color w:val="auto"/>
                <w:kern w:val="2"/>
                <w:sz w:val="28"/>
                <w:vertAlign w:val="superscript"/>
                <w:lang w:val="zh-CN"/>
              </w:rPr>
              <w:t>2</w:t>
            </w:r>
            <w:r>
              <w:rPr>
                <w:rFonts w:hint="eastAsia" w:ascii="方正黑体_GBK" w:hAnsi="方正黑体_GBK" w:eastAsia="方正黑体_GBK"/>
                <w:color w:val="auto"/>
                <w:kern w:val="2"/>
                <w:sz w:val="28"/>
                <w:lang w:val="zh-CN"/>
              </w:rPr>
              <w:t>）</w:t>
            </w:r>
          </w:p>
        </w:tc>
        <w:tc>
          <w:tcPr>
            <w:tcW w:w="1380" w:type="dxa"/>
            <w:gridSpan w:val="4"/>
            <w:tcBorders>
              <w:top w:val="single" w:color="auto"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标准值</w:t>
            </w:r>
          </w:p>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Leq（dBA）</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376" w:hRule="atLeast"/>
          <w:jc w:val="center"/>
        </w:trPr>
        <w:tc>
          <w:tcPr>
            <w:tcW w:w="897"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代码</w:t>
            </w:r>
          </w:p>
        </w:tc>
        <w:tc>
          <w:tcPr>
            <w:tcW w:w="938"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区域</w:t>
            </w:r>
          </w:p>
        </w:tc>
        <w:tc>
          <w:tcPr>
            <w:tcW w:w="4512"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831" w:type="dxa"/>
            <w:gridSpan w:val="2"/>
            <w:vMerge w:val="continue"/>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p>
        </w:tc>
        <w:tc>
          <w:tcPr>
            <w:tcW w:w="686"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昼间</w:t>
            </w:r>
          </w:p>
        </w:tc>
        <w:tc>
          <w:tcPr>
            <w:tcW w:w="694"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eastAsia" w:ascii="方正黑体_GBK" w:hAnsi="方正黑体_GBK" w:eastAsia="方正黑体_GBK"/>
                <w:color w:val="auto"/>
                <w:kern w:val="2"/>
                <w:sz w:val="28"/>
                <w:lang w:val="zh-CN"/>
              </w:rPr>
            </w:pPr>
            <w:r>
              <w:rPr>
                <w:rFonts w:hint="eastAsia" w:ascii="方正黑体_GBK" w:hAnsi="方正黑体_GBK" w:eastAsia="方正黑体_GBK"/>
                <w:color w:val="auto"/>
                <w:kern w:val="2"/>
                <w:sz w:val="28"/>
                <w:lang w:val="zh-CN"/>
              </w:rPr>
              <w:t>夜间</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After w:val="1"/>
          <w:wAfter w:w="10" w:type="dxa"/>
          <w:jc w:val="center"/>
        </w:trPr>
        <w:tc>
          <w:tcPr>
            <w:tcW w:w="897"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5001533L01</w:t>
            </w:r>
          </w:p>
        </w:tc>
        <w:tc>
          <w:tcPr>
            <w:tcW w:w="938"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工业区</w:t>
            </w:r>
          </w:p>
        </w:tc>
        <w:tc>
          <w:tcPr>
            <w:tcW w:w="451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濑溪河以北、209县道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成渝铁路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广顺小学（不含）以西广顺工业园工业区</w:t>
            </w:r>
          </w:p>
        </w:tc>
        <w:tc>
          <w:tcPr>
            <w:tcW w:w="83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7.62</w:t>
            </w:r>
          </w:p>
        </w:tc>
        <w:tc>
          <w:tcPr>
            <w:tcW w:w="686"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65</w:t>
            </w:r>
          </w:p>
        </w:tc>
        <w:tc>
          <w:tcPr>
            <w:tcW w:w="694"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97"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5001533L02</w:t>
            </w:r>
          </w:p>
        </w:tc>
        <w:tc>
          <w:tcPr>
            <w:tcW w:w="938"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规划工业区</w:t>
            </w:r>
          </w:p>
        </w:tc>
        <w:tc>
          <w:tcPr>
            <w:tcW w:w="451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成渝铁路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红岩路</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城南大道</w:t>
            </w:r>
            <w:r>
              <w:rPr>
                <w:rFonts w:hint="default" w:ascii="方正仿宋_GBK" w:hAnsi="方正仿宋_GBK" w:eastAsia="方正仿宋_GBK"/>
                <w:color w:val="auto"/>
                <w:kern w:val="2"/>
                <w:sz w:val="28"/>
                <w:lang w:val="zh-CN"/>
              </w:rPr>
              <w:t>—</w:t>
            </w:r>
            <w:r>
              <w:rPr>
                <w:rFonts w:hint="eastAsia" w:ascii="方正仿宋_GBK" w:hAnsi="方正仿宋_GBK" w:eastAsia="方正仿宋_GBK"/>
                <w:color w:val="auto"/>
                <w:kern w:val="2"/>
                <w:sz w:val="28"/>
                <w:lang w:val="zh-CN"/>
              </w:rPr>
              <w:t>环保产业园（含）以南、迎宾大道以西规划工业区</w:t>
            </w:r>
          </w:p>
        </w:tc>
        <w:tc>
          <w:tcPr>
            <w:tcW w:w="83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2.67</w:t>
            </w:r>
          </w:p>
        </w:tc>
        <w:tc>
          <w:tcPr>
            <w:tcW w:w="686"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65</w:t>
            </w:r>
          </w:p>
        </w:tc>
        <w:tc>
          <w:tcPr>
            <w:tcW w:w="694"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97" w:type="dxa"/>
            <w:gridSpan w:val="2"/>
            <w:tcBorders>
              <w:top w:val="single" w:color="808080" w:sz="4" w:space="0"/>
              <w:left w:val="single" w:color="auto"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5001533L03</w:t>
            </w:r>
          </w:p>
        </w:tc>
        <w:tc>
          <w:tcPr>
            <w:tcW w:w="938"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工业区</w:t>
            </w:r>
          </w:p>
        </w:tc>
        <w:tc>
          <w:tcPr>
            <w:tcW w:w="4512"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荣昌高新区迎宾大道以东工业区域</w:t>
            </w:r>
          </w:p>
        </w:tc>
        <w:tc>
          <w:tcPr>
            <w:tcW w:w="831"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11.48</w:t>
            </w:r>
          </w:p>
        </w:tc>
        <w:tc>
          <w:tcPr>
            <w:tcW w:w="686" w:type="dxa"/>
            <w:gridSpan w:val="2"/>
            <w:tcBorders>
              <w:top w:val="single" w:color="808080" w:sz="4" w:space="0"/>
              <w:left w:val="single" w:color="808080" w:sz="4" w:space="0"/>
              <w:bottom w:val="single" w:color="808080"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65</w:t>
            </w:r>
          </w:p>
        </w:tc>
        <w:tc>
          <w:tcPr>
            <w:tcW w:w="694" w:type="dxa"/>
            <w:gridSpan w:val="2"/>
            <w:tcBorders>
              <w:top w:val="single" w:color="808080" w:sz="4" w:space="0"/>
              <w:left w:val="single" w:color="808080" w:sz="4" w:space="0"/>
              <w:bottom w:val="single" w:color="808080"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55</w:t>
            </w:r>
          </w:p>
        </w:tc>
      </w:tr>
      <w:tr>
        <w:tblPrEx>
          <w:tblBorders>
            <w:top w:val="single" w:color="auto" w:sz="4" w:space="0"/>
            <w:left w:val="single" w:color="auto" w:sz="4" w:space="0"/>
            <w:bottom w:val="single" w:color="auto" w:sz="4" w:space="0"/>
            <w:right w:val="single" w:color="808080" w:sz="4" w:space="0"/>
            <w:insideH w:val="none" w:color="auto" w:sz="0" w:space="0"/>
            <w:insideV w:val="none" w:color="auto" w:sz="0" w:space="0"/>
          </w:tblBorders>
          <w:tblCellMar>
            <w:top w:w="0" w:type="dxa"/>
            <w:left w:w="10" w:type="dxa"/>
            <w:bottom w:w="0" w:type="dxa"/>
            <w:right w:w="10" w:type="dxa"/>
          </w:tblCellMar>
        </w:tblPrEx>
        <w:trPr>
          <w:gridBefore w:val="1"/>
          <w:wBefore w:w="10" w:type="dxa"/>
          <w:jc w:val="center"/>
        </w:trPr>
        <w:tc>
          <w:tcPr>
            <w:tcW w:w="897" w:type="dxa"/>
            <w:gridSpan w:val="2"/>
            <w:tcBorders>
              <w:top w:val="single" w:color="808080" w:sz="4" w:space="0"/>
              <w:left w:val="single" w:color="auto"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5001533L04</w:t>
            </w:r>
          </w:p>
        </w:tc>
        <w:tc>
          <w:tcPr>
            <w:tcW w:w="938"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工业区</w:t>
            </w:r>
          </w:p>
        </w:tc>
        <w:tc>
          <w:tcPr>
            <w:tcW w:w="4512"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both"/>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渝昆高速以北、濑溪河以西工业区</w:t>
            </w:r>
          </w:p>
        </w:tc>
        <w:tc>
          <w:tcPr>
            <w:tcW w:w="831"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default" w:ascii="Times New Roman" w:hAnsi="Times New Roman" w:eastAsia="Times New Roman"/>
                <w:color w:val="auto"/>
                <w:kern w:val="2"/>
                <w:sz w:val="28"/>
                <w:lang w:val="en-US"/>
              </w:rPr>
              <w:t>0.98</w:t>
            </w:r>
          </w:p>
        </w:tc>
        <w:tc>
          <w:tcPr>
            <w:tcW w:w="686" w:type="dxa"/>
            <w:gridSpan w:val="2"/>
            <w:tcBorders>
              <w:top w:val="single" w:color="808080" w:sz="4" w:space="0"/>
              <w:left w:val="single" w:color="808080" w:sz="4" w:space="0"/>
              <w:bottom w:val="single" w:color="auto" w:sz="4" w:space="0"/>
              <w:right w:val="single" w:color="808080"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65</w:t>
            </w:r>
          </w:p>
        </w:tc>
        <w:tc>
          <w:tcPr>
            <w:tcW w:w="694" w:type="dxa"/>
            <w:gridSpan w:val="2"/>
            <w:tcBorders>
              <w:top w:val="single" w:color="808080" w:sz="4" w:space="0"/>
              <w:left w:val="single" w:color="808080"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snapToGrid/>
              <w:spacing w:beforeLines="0" w:afterLines="0" w:line="560" w:lineRule="exact"/>
              <w:ind w:left="0" w:right="0"/>
              <w:jc w:val="center"/>
              <w:textAlignment w:val="auto"/>
              <w:rPr>
                <w:rFonts w:hint="default" w:ascii="Times New Roman" w:hAnsi="Times New Roman" w:eastAsia="Times New Roman"/>
                <w:color w:val="auto"/>
                <w:kern w:val="2"/>
                <w:sz w:val="28"/>
                <w:lang w:val="en-US"/>
              </w:rPr>
            </w:pPr>
            <w:r>
              <w:rPr>
                <w:rFonts w:hint="eastAsia" w:ascii="方正仿宋_GBK" w:hAnsi="方正仿宋_GBK" w:eastAsia="方正仿宋_GBK"/>
                <w:color w:val="auto"/>
                <w:kern w:val="2"/>
                <w:sz w:val="28"/>
                <w:lang w:val="zh-CN"/>
              </w:rPr>
              <w:t>55</w:t>
            </w:r>
          </w:p>
        </w:tc>
      </w:tr>
    </w:tbl>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荣隆工业园、吴家镇规划工业用地区域、双河街道国营益民机械厂和许家沟煤矿工业区执行3类声环境标准。</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（二）4类声环境功能区划分结果。</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根据《声环境质量标准》（GB3096-2008）的规定，根据现场调查并结合相应规划，确定荣昌城区内高速公路、城市主干路、城市次干路、铁路等61条道路为交通干线，具体名单如下：</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eastAsia" w:ascii="方正仿宋_GBK" w:hAnsi="方正仿宋_GBK" w:eastAsia="方正仿宋_GBK"/>
          <w:color w:val="auto"/>
          <w:spacing w:val="-6"/>
          <w:kern w:val="2"/>
          <w:sz w:val="32"/>
          <w:lang w:val="zh-CN"/>
        </w:rPr>
      </w:pPr>
      <w:r>
        <w:rPr>
          <w:rFonts w:hint="eastAsia" w:ascii="方正仿宋_GBK" w:hAnsi="方正仿宋_GBK" w:eastAsia="方正仿宋_GBK"/>
          <w:color w:val="auto"/>
          <w:spacing w:val="-6"/>
          <w:kern w:val="2"/>
          <w:sz w:val="32"/>
          <w:lang w:val="zh-CN"/>
        </w:rPr>
        <w:t>1﹒交通干线</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（1）4a类交通干线</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①高速公路（1条）：</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渝昆高速城区内路段。</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②主干路（26条）：</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工业大道、广安路、成渝路、广顺大道、组团第二通道、昌州大道、迎宾大道、学院路、嘉吉普瑞纳大道、香国大道、统升路、尚书路、宝城东路、灯饰大道、海棠北路、昌龙大道、朝阳路、灵方大道、启明路、荣昌大道、龙华二路、宝城路、海棠路、龙华三路、陶都大道、林溪路。</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③次干路（32条）：</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广盘路、红岩路、凤鸣路、城南大道、荣滨北路、荣升路、天正路、恒荣路、富安北路、荣滨南路、广场路、庙山路、国泰路、花园路、荣昌北站纵向西路、向阳路、棠香北街、荣庆路、板桥路、园丁街、龙华一路、富安南路、棠香南街、颐和街、民安街、海棠四支路、玉屏街、东环路、东湖三支路、小康路、人民路、兴发路。</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（2）4b类交通干线</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成渝铁路、成渝高铁等城区内路段。</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2﹒交通枢纽站（场）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（1）4a类交通枢纽站（场）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荣昌汽车站、荣昌汽车总站、荣昌服务区、富吉汽车站。</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（2）4b类交通枢纽站（场）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荣昌站、广顺站、荣昌北站、峰高铺站。</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五、组织实施</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（一）强化监测评估。</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default" w:ascii="Times New Roman" w:hAnsi="Times New Roman" w:eastAsia="Times New Roman"/>
          <w:color w:val="000000"/>
          <w:kern w:val="2"/>
          <w:sz w:val="32"/>
          <w:lang w:val="en-US"/>
        </w:rPr>
      </w:pPr>
      <w:r>
        <w:rPr>
          <w:rFonts w:hint="eastAsia" w:ascii="方正仿宋_GBK" w:hAnsi="方正仿宋_GBK" w:eastAsia="方正仿宋_GBK"/>
          <w:color w:val="000000"/>
          <w:kern w:val="2"/>
          <w:sz w:val="32"/>
          <w:lang w:val="zh-CN"/>
        </w:rPr>
        <w:t>建立城区噪声监测评估制度，及时制定辖区噪声监测方案和评估计划，合理设置环境噪声监测网络，组织开展区域声环境质量监视性监测，定期向社会公布监测结果和声环境质量报告。根据国家和市级相关环境监测技术，开展城区声环境质量监测、调查评估和达标考核工作，及时将声环境质量现状及变化趋势向市级环境保护主管部门和区人民政府报告。</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（二）加强源头预防。</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default" w:ascii="Times New Roman" w:hAnsi="Times New Roman" w:eastAsia="Times New Roman"/>
          <w:color w:val="000000"/>
          <w:kern w:val="2"/>
          <w:sz w:val="32"/>
          <w:lang w:val="en-US"/>
        </w:rPr>
      </w:pPr>
      <w:r>
        <w:rPr>
          <w:rFonts w:hint="eastAsia" w:ascii="方正仿宋_GBK" w:hAnsi="方正仿宋_GBK" w:eastAsia="方正仿宋_GBK"/>
          <w:color w:val="000000"/>
          <w:kern w:val="2"/>
          <w:sz w:val="32"/>
          <w:lang w:val="zh-CN"/>
        </w:rPr>
        <w:t>根据声功能区划结果，及时制定辖区声环境保护方案，加强工业噪声、交通噪声、社会生活噪声和施工噪声控制，从源头削减噪声污染。对于不达标的声功能区，制定声环境功能区整治达标方案，分年度确定声环境整治目标和任务，逐步提高辖区声环境功能区达标率。</w:t>
      </w:r>
      <w:r>
        <w:rPr>
          <w:rFonts w:hint="default" w:ascii="Times New Roman" w:hAnsi="Times New Roman" w:eastAsia="Times New Roman"/>
          <w:color w:val="000000"/>
          <w:kern w:val="2"/>
          <w:sz w:val="32"/>
          <w:lang w:val="en-US"/>
        </w:rPr>
        <w:t xml:space="preserve"> </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（三）推进空间管控。</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default" w:ascii="Times New Roman" w:hAnsi="Times New Roman" w:eastAsia="Times New Roman"/>
          <w:color w:val="000000"/>
          <w:kern w:val="2"/>
          <w:sz w:val="32"/>
          <w:lang w:val="en-US"/>
        </w:rPr>
      </w:pPr>
      <w:r>
        <w:rPr>
          <w:rFonts w:hint="eastAsia" w:ascii="方正仿宋_GBK" w:hAnsi="方正仿宋_GBK" w:eastAsia="方正仿宋_GBK"/>
          <w:color w:val="000000"/>
          <w:kern w:val="2"/>
          <w:sz w:val="32"/>
          <w:lang w:val="zh-CN"/>
        </w:rPr>
        <w:t>城乡建设规划应当依据声环境功能区划要求，统筹城市建设时序和用地布局，预留新开发的居住、教学、办公、卫生医疗等用途建筑物与交通干线的防护距离，防止或减轻环境噪声污染。新（改扩）建高速公路、城市快速路、城市高架、轨道等交通项目，应合理规避0类和1类声功能区和噪声敏感建筑物集中区域，并依法依规落实噪声污染防护措施。</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eastAsia" w:ascii="方正楷体_GBK" w:hAnsi="方正楷体_GBK" w:eastAsia="方正楷体_GBK"/>
          <w:color w:val="auto"/>
          <w:kern w:val="2"/>
          <w:sz w:val="32"/>
          <w:lang w:val="zh-CN"/>
        </w:rPr>
      </w:pPr>
      <w:r>
        <w:rPr>
          <w:rFonts w:hint="eastAsia" w:ascii="方正楷体_GBK" w:hAnsi="方正楷体_GBK" w:eastAsia="方正楷体_GBK"/>
          <w:color w:val="auto"/>
          <w:kern w:val="2"/>
          <w:sz w:val="32"/>
          <w:lang w:val="zh-CN"/>
        </w:rPr>
        <w:t>（四）严格修改程序。</w:t>
      </w:r>
    </w:p>
    <w:p>
      <w:pPr>
        <w:pageBreakBefore w:val="0"/>
        <w:widowControl w:val="0"/>
        <w:kinsoku/>
        <w:wordWrap/>
        <w:overflowPunct/>
        <w:topLinePunct w:val="0"/>
        <w:autoSpaceDE/>
        <w:autoSpaceDN/>
        <w:bidi w:val="0"/>
        <w:adjustRightInd/>
        <w:snapToGrid/>
        <w:spacing w:beforeLines="0" w:afterLines="0" w:line="560" w:lineRule="exact"/>
        <w:ind w:left="0" w:right="0" w:firstLine="640"/>
        <w:jc w:val="both"/>
        <w:textAlignment w:val="auto"/>
        <w:rPr>
          <w:rFonts w:hint="default" w:ascii="Times New Roman" w:hAnsi="Times New Roman" w:eastAsia="Times New Roman"/>
          <w:color w:val="000000"/>
          <w:kern w:val="2"/>
          <w:sz w:val="32"/>
          <w:lang w:val="en-US"/>
        </w:rPr>
      </w:pPr>
      <w:r>
        <w:rPr>
          <w:rFonts w:hint="eastAsia" w:ascii="方正仿宋_GBK" w:hAnsi="方正仿宋_GBK" w:eastAsia="方正仿宋_GBK"/>
          <w:color w:val="000000"/>
          <w:kern w:val="2"/>
          <w:sz w:val="32"/>
          <w:lang w:val="zh-CN"/>
        </w:rPr>
        <w:t>声环境功能区划的调整和修改，应当按照《重庆市环境保护条例》要求，履行修改申请、评估、审批和备案等程序。声环境功能区划原则上每</w:t>
      </w:r>
      <w:r>
        <w:rPr>
          <w:rFonts w:hint="default" w:ascii="Times New Roman" w:hAnsi="Times New Roman" w:eastAsia="Times New Roman"/>
          <w:color w:val="000000"/>
          <w:kern w:val="2"/>
          <w:sz w:val="32"/>
          <w:lang w:val="en-US"/>
        </w:rPr>
        <w:t>5</w:t>
      </w:r>
      <w:r>
        <w:rPr>
          <w:rFonts w:hint="eastAsia" w:ascii="方正仿宋_GBK" w:hAnsi="方正仿宋_GBK" w:eastAsia="方正仿宋_GBK"/>
          <w:color w:val="000000"/>
          <w:kern w:val="2"/>
          <w:sz w:val="32"/>
          <w:lang w:val="zh-CN"/>
        </w:rPr>
        <w:t>年调整一次；因城市建设和重大规划实施调整，可实施动态修编并按原程序报批。</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eastAsia" w:ascii="方正黑体_GBK" w:hAnsi="方正黑体_GBK" w:eastAsia="方正黑体_GBK"/>
          <w:color w:val="auto"/>
          <w:kern w:val="44"/>
          <w:sz w:val="32"/>
          <w:lang w:val="zh-CN"/>
        </w:rPr>
      </w:pPr>
      <w:r>
        <w:rPr>
          <w:rFonts w:hint="eastAsia" w:ascii="方正黑体_GBK" w:hAnsi="方正黑体_GBK" w:eastAsia="方正黑体_GBK"/>
          <w:color w:val="auto"/>
          <w:kern w:val="44"/>
          <w:sz w:val="32"/>
          <w:lang w:val="zh-CN"/>
        </w:rPr>
        <w:t>六、荣昌城区声环境功能区划分其他说明</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1﹒乡村区域声环境功能区的规定：位于乡村的康复疗养区为0类声功能区；乡村村庄以及位于乡村的连片住宅区为1类声环境功能区；一般城镇及乡村集镇为2类声环境功能区；独立于乡村集镇、村庄的工业、仓储、物流企业集中区域或乡村地区的工业集聚区为3类声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2﹒声环境功能区边界附近建设项目要确保高标准功能区一侧的敏感点达标，环境保护主管部门应当加强低标准边界侧的噪声治理，确保高标准功能区的标准实施。</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3﹒随着城市规划的逐步实施，区域功能与规划目标较大的区域，要以实际建设用地状况作为区划的主要依据，及时调整声功能区。</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4﹒本方案由荣昌区环境保护行政主管部门负责组织实施。</w:t>
      </w:r>
    </w:p>
    <w:p>
      <w:pPr>
        <w:pageBreakBefore w:val="0"/>
        <w:widowControl w:val="0"/>
        <w:kinsoku/>
        <w:wordWrap/>
        <w:overflowPunct/>
        <w:topLinePunct w:val="0"/>
        <w:autoSpaceDE/>
        <w:autoSpaceDN/>
        <w:bidi w:val="0"/>
        <w:adjustRightInd/>
        <w:snapToGrid/>
        <w:spacing w:beforeLines="0" w:afterLines="0" w:line="560" w:lineRule="exact"/>
        <w:ind w:left="0" w:right="0" w:firstLine="616"/>
        <w:jc w:val="both"/>
        <w:textAlignment w:val="auto"/>
        <w:rPr>
          <w:rFonts w:hint="default" w:ascii="Times New Roman" w:hAnsi="Times New Roman" w:eastAsia="Times New Roman"/>
          <w:color w:val="auto"/>
          <w:spacing w:val="-6"/>
          <w:kern w:val="2"/>
          <w:sz w:val="32"/>
          <w:lang w:val="en-US"/>
        </w:rPr>
      </w:pPr>
      <w:r>
        <w:rPr>
          <w:rFonts w:hint="eastAsia" w:ascii="方正仿宋_GBK" w:hAnsi="方正仿宋_GBK" w:eastAsia="方正仿宋_GBK"/>
          <w:color w:val="auto"/>
          <w:spacing w:val="-6"/>
          <w:kern w:val="2"/>
          <w:sz w:val="32"/>
          <w:lang w:val="zh-CN"/>
        </w:rPr>
        <w:t>5﹒本方案未尽事宜，参照有关法律、法规和规章的相关条款执行。</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方正黑体_GBK" w:hAnsi="方正黑体_GBK" w:eastAsia="方正黑体_GBK"/>
          <w:color w:val="auto"/>
          <w:kern w:val="2"/>
          <w:sz w:val="32"/>
          <w:lang w:val="zh-CN"/>
        </w:rPr>
      </w:pPr>
      <w:r>
        <w:rPr>
          <w:rFonts w:hint="default" w:ascii="Cambria" w:hAnsi="Cambria" w:eastAsia="Cambria"/>
          <w:b/>
          <w:color w:val="auto"/>
          <w:spacing w:val="-6"/>
          <w:kern w:val="2"/>
          <w:sz w:val="32"/>
          <w:lang w:val="en-US"/>
        </w:rPr>
        <w:br w:type="page"/>
      </w:r>
      <w:r>
        <w:rPr>
          <w:rFonts w:hint="eastAsia" w:ascii="方正黑体_GBK" w:hAnsi="方正黑体_GBK" w:eastAsia="方正黑体_GBK"/>
          <w:color w:val="auto"/>
          <w:kern w:val="2"/>
          <w:sz w:val="32"/>
          <w:lang w:val="zh-CN"/>
        </w:rPr>
        <w:t>附录一  荣昌区声功能区划范围图</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宋体" w:hAnsi="宋体" w:eastAsia="宋体"/>
          <w:color w:val="auto"/>
          <w:sz w:val="22"/>
          <w:lang w:val="zh-CN"/>
        </w:rPr>
        <w:drawing>
          <wp:inline distT="0" distB="0" distL="114300" distR="114300">
            <wp:extent cx="4751705" cy="6721475"/>
            <wp:effectExtent l="0" t="0" r="10795" b="3175"/>
            <wp:docPr id="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true"/>
                    </pic:cNvPicPr>
                  </pic:nvPicPr>
                  <pic:blipFill>
                    <a:blip r:embed="rId8"/>
                    <a:stretch>
                      <a:fillRect/>
                    </a:stretch>
                  </pic:blipFill>
                  <pic:spPr>
                    <a:xfrm>
                      <a:off x="0" y="0"/>
                      <a:ext cx="4751705" cy="6721475"/>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tabs>
          <w:tab w:val="left" w:pos="3735"/>
        </w:tabs>
        <w:kinsoku/>
        <w:overflowPunct/>
        <w:topLinePunct w:val="0"/>
        <w:autoSpaceDE/>
        <w:autoSpaceDN/>
        <w:bidi w:val="0"/>
        <w:adjustRightIn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11"/>
        <w:spacing w:before="0" w:after="0" w:line="594" w:lineRule="exact"/>
        <w:jc w:val="left"/>
        <w:rPr>
          <w:rFonts w:hint="default" w:ascii="方正黑体_GBK" w:hAnsi="Times New Roman" w:eastAsia="方正黑体_GBK"/>
          <w:b w:val="0"/>
          <w:sz w:val="32"/>
          <w:lang w:val="en-US" w:eastAsia="zh-CN"/>
        </w:rPr>
      </w:pPr>
      <w:bookmarkStart w:id="0" w:name="_Toc503822790"/>
      <w:bookmarkStart w:id="1" w:name="_Toc517272525"/>
      <w:r>
        <w:rPr>
          <w:rFonts w:hint="eastAsia" w:ascii="方正黑体_GBK" w:hAnsi="Times New Roman" w:eastAsia="方正黑体_GBK"/>
          <w:b w:val="0"/>
          <w:sz w:val="32"/>
          <w:lang w:eastAsia="zh-CN"/>
        </w:rPr>
        <w:t>附录二</w:t>
      </w:r>
      <w:r>
        <w:rPr>
          <w:rFonts w:hint="eastAsia" w:ascii="方正黑体_GBK" w:hAnsi="Times New Roman" w:eastAsia="方正黑体_GBK"/>
          <w:b w:val="0"/>
          <w:sz w:val="32"/>
          <w:lang w:val="en-US" w:eastAsia="zh-CN"/>
        </w:rPr>
        <w:t xml:space="preserve">  荣昌区声功能区划图</w:t>
      </w:r>
    </w:p>
    <w:p>
      <w:pPr>
        <w:pStyle w:val="11"/>
        <w:spacing w:before="0" w:after="0" w:line="594" w:lineRule="exact"/>
        <w:jc w:val="left"/>
        <w:rPr>
          <w:rFonts w:hint="eastAsia" w:ascii="方正黑体_GBK" w:hAnsi="Times New Roman" w:eastAsia="方正黑体_GBK"/>
          <w:b w:val="0"/>
          <w:sz w:val="32"/>
        </w:rPr>
      </w:pPr>
      <w:r>
        <w:rPr>
          <w:rFonts w:ascii="方正黑体_GBK" w:hAnsi="Times New Roman" w:eastAsia="方正黑体_GBK"/>
          <w:sz w:val="32"/>
        </w:rPr>
        <w:drawing>
          <wp:anchor distT="0" distB="0" distL="114300" distR="114300" simplePos="0" relativeHeight="251658240" behindDoc="0" locked="0" layoutInCell="1" allowOverlap="1">
            <wp:simplePos x="0" y="0"/>
            <wp:positionH relativeFrom="column">
              <wp:posOffset>649605</wp:posOffset>
            </wp:positionH>
            <wp:positionV relativeFrom="paragraph">
              <wp:posOffset>80645</wp:posOffset>
            </wp:positionV>
            <wp:extent cx="6804025" cy="4811395"/>
            <wp:effectExtent l="0" t="0" r="15875" b="8255"/>
            <wp:wrapNone/>
            <wp:docPr id="7" name="图片 3" descr="D:\周欢\声功能区划\声功能区划\声功能区划分成果\荣昌\荣昌-博达查看后\荣昌横向分图61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descr="D:\周欢\声功能区划\声功能区划\声功能区划分成果\荣昌\荣昌-博达查看后\荣昌横向分图619.jpg"/>
                    <pic:cNvPicPr>
                      <a:picLocks noChangeAspect="true"/>
                    </pic:cNvPicPr>
                  </pic:nvPicPr>
                  <pic:blipFill>
                    <a:blip r:embed="rId9"/>
                    <a:stretch>
                      <a:fillRect/>
                    </a:stretch>
                  </pic:blipFill>
                  <pic:spPr>
                    <a:xfrm>
                      <a:off x="0" y="0"/>
                      <a:ext cx="6804025" cy="4811395"/>
                    </a:xfrm>
                    <a:prstGeom prst="rect">
                      <a:avLst/>
                    </a:prstGeom>
                    <a:noFill/>
                    <a:ln>
                      <a:noFill/>
                    </a:ln>
                  </pic:spPr>
                </pic:pic>
              </a:graphicData>
            </a:graphic>
          </wp:anchor>
        </w:drawing>
      </w: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hint="eastAsia" w:ascii="方正黑体_GBK" w:hAnsi="Times New Roman" w:eastAsia="方正黑体_GBK"/>
          <w:b w:val="0"/>
          <w:sz w:val="32"/>
        </w:rPr>
      </w:pPr>
    </w:p>
    <w:p>
      <w:pPr>
        <w:pStyle w:val="11"/>
        <w:spacing w:before="0" w:after="0" w:line="594" w:lineRule="exact"/>
        <w:jc w:val="left"/>
        <w:rPr>
          <w:rFonts w:ascii="方正黑体_GBK" w:hAnsi="Times New Roman" w:eastAsia="方正黑体_GBK"/>
          <w:b w:val="0"/>
          <w:sz w:val="32"/>
        </w:rPr>
      </w:pPr>
      <w:r>
        <w:rPr>
          <w:rFonts w:hint="eastAsia" w:ascii="方正黑体_GBK" w:hAnsi="Times New Roman" w:eastAsia="方正黑体_GBK"/>
          <w:b w:val="0"/>
          <w:sz w:val="32"/>
        </w:rPr>
        <w:t>附录三  荣昌区区声功能区单元基础信息表</w:t>
      </w:r>
      <w:bookmarkEnd w:id="0"/>
      <w:bookmarkEnd w:id="1"/>
    </w:p>
    <w:tbl>
      <w:tblPr>
        <w:tblStyle w:val="12"/>
        <w:tblW w:w="13495" w:type="dxa"/>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162"/>
        <w:gridCol w:w="728"/>
        <w:gridCol w:w="714"/>
        <w:gridCol w:w="1302"/>
        <w:gridCol w:w="3352"/>
        <w:gridCol w:w="908"/>
        <w:gridCol w:w="1976"/>
        <w:gridCol w:w="3353"/>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tblHeader/>
          <w:jc w:val="center"/>
        </w:trPr>
        <w:tc>
          <w:tcPr>
            <w:tcW w:w="1162"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QHDYBM</w:t>
            </w:r>
          </w:p>
        </w:tc>
        <w:tc>
          <w:tcPr>
            <w:tcW w:w="728"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SJ</w:t>
            </w:r>
          </w:p>
        </w:tc>
        <w:tc>
          <w:tcPr>
            <w:tcW w:w="714"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QXJ</w:t>
            </w:r>
          </w:p>
        </w:tc>
        <w:tc>
          <w:tcPr>
            <w:tcW w:w="1302"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AREA_KM2_</w:t>
            </w:r>
          </w:p>
        </w:tc>
        <w:tc>
          <w:tcPr>
            <w:tcW w:w="3352"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ZDYDLX</w:t>
            </w:r>
          </w:p>
        </w:tc>
        <w:tc>
          <w:tcPr>
            <w:tcW w:w="908"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SGNQLX</w:t>
            </w:r>
          </w:p>
        </w:tc>
        <w:tc>
          <w:tcPr>
            <w:tcW w:w="1976"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DLWZ</w:t>
            </w:r>
          </w:p>
        </w:tc>
        <w:tc>
          <w:tcPr>
            <w:tcW w:w="3353" w:type="dxa"/>
            <w:noWrap w:val="0"/>
            <w:vAlign w:val="center"/>
          </w:tcPr>
          <w:p>
            <w:pPr>
              <w:snapToGrid w:val="0"/>
              <w:jc w:val="center"/>
              <w:rPr>
                <w:rFonts w:hint="eastAsia"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BZ</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5001531L01</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一类居住用地、公园绿地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广顺街道—昌元街道—昌州街道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5001531L02</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2.63</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一类居住用地、公园绿地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广顺街道—昌元街道—昌州街道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5001531L03</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0.98</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二类居住用地、教育科研用地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西南大学荣昌校区、荣昌中医院</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5001531L04</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二类居住用地、中小学用地、医疗卫生用地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荣昌人民医院、妇幼保健院、荣昌中学、实验小学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5001531L05</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1.72</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二类居住用地、公园绿地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5001531L06</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二类居住用地、中小学用地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5001531L07</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0.71</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二类居住用地、行政办公用地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5001531L08</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1.18</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5001531L09</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二类居住用地、生态绿地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昌州街道—峰高街道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渝西植物园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5001531L10</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0.96</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二类居住用地、中小学用地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昌州街道—峰高街道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5001532L01</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4.49</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安富街道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安富街道集镇</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5001532L02</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0.93</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居住用地、商业用地、中小学用地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安富街道—广顺街道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广顺小学、永荣中学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5001532L03</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大成中学、康宇广场、大润发超市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5001532L04</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0.89</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仁和安置区、五洲国际</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5001532L05</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二类居住用地、商业用地、中小学用地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玉伍初级中学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5001532L06</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1.71</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5001532L07</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0.93</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居住用地、商业用地、物流用地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峰高街道—昌州街道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5001532L08</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0.23</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古昌镇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古昌镇集市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5001532L09</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荣隆镇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荣隆镇集市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5001532L10</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0.16</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铜鼓镇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铜鼓镇集市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5001532L11</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二类居住用地、商业用地、工业用地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仁义镇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仁义镇集市（含规划）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5001532L12</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2.92</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吴家镇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吴家镇集市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5001532L13</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二类居住用地、工业用地、商业用地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双河街道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双河街道集市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5001532L14</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2.31</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二类居住用地、工业用地、商业用地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盘龙镇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盘龙镇集市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5001532L15</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清流镇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清流镇集市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5001532L16</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观胜镇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观胜镇集市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5001532L17</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远觉镇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远觉镇集市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5001532L18</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直升镇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直升镇集市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5001532L19</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清江镇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清江镇集市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5001532L20</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0.16</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清升镇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清升镇集市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5001532L21</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0.39</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万灵镇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万灵镇集市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5001532L22</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0.11</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龙集镇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龙集镇集市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5001532L23</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0.34</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二类居住用地、商业金融用地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河包镇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河包镇集市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5001533L01</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7.62</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安富街道—广顺街道—清升镇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广富工业园区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5001533L02</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物流仓储用地、工业用地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昌元街道—昌州街道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荣昌高新区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5001533L03</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11.48</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昌州街道—直升镇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荣昌高新区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5001533L04</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0.98</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二类工业用地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昌州街道</w:t>
            </w:r>
          </w:p>
        </w:tc>
        <w:tc>
          <w:tcPr>
            <w:tcW w:w="3353" w:type="dxa"/>
            <w:noWrap w:val="0"/>
            <w:vAlign w:val="center"/>
          </w:tcPr>
          <w:p>
            <w:pPr>
              <w:snapToGrid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5001533L05</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2.18</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荣隆镇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荣隆工业园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5001533L06</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0.77</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工业用地、二类居住用地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吴家镇</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吴家镇规划工业用地区域</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255" w:hRule="atLeast"/>
          <w:jc w:val="center"/>
        </w:trPr>
        <w:tc>
          <w:tcPr>
            <w:tcW w:w="116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5001533L07</w:t>
            </w:r>
          </w:p>
        </w:tc>
        <w:tc>
          <w:tcPr>
            <w:tcW w:w="72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w:t>
            </w:r>
          </w:p>
        </w:tc>
        <w:tc>
          <w:tcPr>
            <w:tcW w:w="714"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荣昌区</w:t>
            </w:r>
          </w:p>
        </w:tc>
        <w:tc>
          <w:tcPr>
            <w:tcW w:w="1302"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2.21</w:t>
            </w:r>
          </w:p>
        </w:tc>
        <w:tc>
          <w:tcPr>
            <w:tcW w:w="3352"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工业用地</w:t>
            </w:r>
          </w:p>
        </w:tc>
        <w:tc>
          <w:tcPr>
            <w:tcW w:w="908" w:type="dxa"/>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3L</w:t>
            </w:r>
          </w:p>
        </w:tc>
        <w:tc>
          <w:tcPr>
            <w:tcW w:w="1976"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双河街道</w:t>
            </w:r>
          </w:p>
        </w:tc>
        <w:tc>
          <w:tcPr>
            <w:tcW w:w="3353" w:type="dxa"/>
            <w:noWrap w:val="0"/>
            <w:vAlign w:val="center"/>
          </w:tcPr>
          <w:p>
            <w:pPr>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双河街道国营益民机械厂、许家沟煤矿矿区</w:t>
            </w:r>
          </w:p>
        </w:tc>
      </w:tr>
    </w:tbl>
    <w:p>
      <w:pPr>
        <w:pStyle w:val="11"/>
        <w:spacing w:before="0" w:after="0" w:line="594" w:lineRule="exact"/>
        <w:jc w:val="left"/>
        <w:rPr>
          <w:rFonts w:ascii="方正黑体简体" w:hAnsi="Times New Roman" w:eastAsia="方正黑体简体"/>
          <w:b w:val="0"/>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方正隶书_GBK"/>
    <w:panose1 w:val="03000509000000000000"/>
    <w:charset w:val="86"/>
    <w:family w:val="script"/>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238"/>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4A8A2"/>
    <w:multiLevelType w:val="singleLevel"/>
    <w:tmpl w:val="D404A8A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DEB379E"/>
    <w:rsid w:val="2EAE3447"/>
    <w:rsid w:val="31A15F24"/>
    <w:rsid w:val="36FB1DF0"/>
    <w:rsid w:val="395347B5"/>
    <w:rsid w:val="39A232A0"/>
    <w:rsid w:val="39E745AA"/>
    <w:rsid w:val="3B5A6BBB"/>
    <w:rsid w:val="3CA154E3"/>
    <w:rsid w:val="3EDA13A6"/>
    <w:rsid w:val="3FF56C14"/>
    <w:rsid w:val="417B75E9"/>
    <w:rsid w:val="42430A63"/>
    <w:rsid w:val="42EB2991"/>
    <w:rsid w:val="42F058B7"/>
    <w:rsid w:val="436109F6"/>
    <w:rsid w:val="441A38D4"/>
    <w:rsid w:val="4504239D"/>
    <w:rsid w:val="46FF2E2B"/>
    <w:rsid w:val="4BC77339"/>
    <w:rsid w:val="4C9236C5"/>
    <w:rsid w:val="4E250A85"/>
    <w:rsid w:val="4FFD4925"/>
    <w:rsid w:val="505C172E"/>
    <w:rsid w:val="506405EA"/>
    <w:rsid w:val="52F46F0B"/>
    <w:rsid w:val="532B6A10"/>
    <w:rsid w:val="539E4E99"/>
    <w:rsid w:val="53D8014D"/>
    <w:rsid w:val="550C209A"/>
    <w:rsid w:val="555D79E7"/>
    <w:rsid w:val="55E064E0"/>
    <w:rsid w:val="572C6D10"/>
    <w:rsid w:val="5DC34279"/>
    <w:rsid w:val="5FCD688E"/>
    <w:rsid w:val="5FF9BDAA"/>
    <w:rsid w:val="608816D1"/>
    <w:rsid w:val="60EF4E7F"/>
    <w:rsid w:val="63776272"/>
    <w:rsid w:val="648B0A32"/>
    <w:rsid w:val="658F6764"/>
    <w:rsid w:val="665233C1"/>
    <w:rsid w:val="69AC0D42"/>
    <w:rsid w:val="6AD9688B"/>
    <w:rsid w:val="6B68303F"/>
    <w:rsid w:val="6D0E3F22"/>
    <w:rsid w:val="6FD1018C"/>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小标宋_GBK"/>
      <w:bCs/>
      <w:kern w:val="44"/>
      <w:sz w:val="44"/>
      <w:szCs w:val="44"/>
    </w:rPr>
  </w:style>
  <w:style w:type="paragraph" w:styleId="3">
    <w:name w:val="heading 2"/>
    <w:basedOn w:val="1"/>
    <w:next w:val="1"/>
    <w:qFormat/>
    <w:uiPriority w:val="0"/>
    <w:pPr>
      <w:keepNext/>
      <w:keepLines/>
      <w:ind w:firstLine="200" w:firstLineChars="200"/>
      <w:outlineLvl w:val="1"/>
    </w:pPr>
    <w:rPr>
      <w:rFonts w:ascii="Arial" w:hAnsi="Arial" w:eastAsia="方正黑体_GBK"/>
      <w:bCs/>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Verdana" w:hAnsi="Verdana" w:eastAsia="仿宋_GB2312"/>
      <w:sz w:val="24"/>
      <w:szCs w:val="20"/>
      <w:lang w:eastAsia="en-US"/>
    </w:rPr>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0"/>
    <w:pPr>
      <w:tabs>
        <w:tab w:val="right" w:leader="dot" w:pos="8494"/>
      </w:tabs>
      <w:spacing w:line="400" w:lineRule="exact"/>
    </w:pPr>
    <w:rPr>
      <w:rFonts w:ascii="方正黑体_GBK" w:hAnsi="Calibri" w:eastAsia="方正黑体_GBK"/>
      <w:sz w:val="21"/>
      <w:szCs w:val="32"/>
    </w:rPr>
  </w:style>
  <w:style w:type="paragraph" w:styleId="9">
    <w:name w:val="toc 2"/>
    <w:basedOn w:val="1"/>
    <w:next w:val="1"/>
    <w:unhideWhenUsed/>
    <w:qFormat/>
    <w:uiPriority w:val="0"/>
    <w:pPr>
      <w:ind w:left="420" w:leftChars="200"/>
    </w:pPr>
    <w:rPr>
      <w:rFonts w:ascii="Calibri" w:hAnsi="Calibri" w:eastAsia="宋体"/>
      <w:sz w:val="21"/>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宋体"/>
      <w:b/>
      <w:bCs/>
      <w:sz w:val="21"/>
      <w:szCs w:val="32"/>
    </w:rPr>
  </w:style>
  <w:style w:type="paragraph" w:customStyle="1" w:styleId="14">
    <w:name w:val="Char Char Char Char Char Char Char"/>
    <w:basedOn w:val="1"/>
    <w:link w:val="13"/>
    <w:qFormat/>
    <w:uiPriority w:val="0"/>
    <w:pPr>
      <w:spacing w:after="160" w:line="240" w:lineRule="exact"/>
    </w:pPr>
    <w:rPr>
      <w:rFonts w:ascii="Verdana" w:hAnsi="Verdana" w:eastAsia="仿宋_GB2312"/>
      <w:sz w:val="24"/>
      <w:szCs w:val="20"/>
      <w:lang w:eastAsia="en-US"/>
    </w:rPr>
  </w:style>
  <w:style w:type="character" w:styleId="15">
    <w:name w:val="Strong"/>
    <w:basedOn w:val="13"/>
    <w:qFormat/>
    <w:uiPriority w:val="0"/>
    <w:rPr>
      <w:b/>
      <w:bCs/>
    </w:rPr>
  </w:style>
  <w:style w:type="character" w:styleId="16">
    <w:name w:val="page number"/>
    <w:basedOn w:val="13"/>
    <w:qFormat/>
    <w:uiPriority w:val="0"/>
  </w:style>
  <w:style w:type="character" w:styleId="17">
    <w:name w:val="Hyperlink"/>
    <w:basedOn w:val="13"/>
    <w:unhideWhenUsed/>
    <w:qFormat/>
    <w:uiPriority w:val="0"/>
    <w:rPr>
      <w:rFonts w:ascii="Verdana" w:hAnsi="Verdana" w:eastAsia="仿宋_GB2312"/>
      <w:color w:val="0000FF"/>
      <w:sz w:val="24"/>
      <w:szCs w:val="20"/>
      <w:u w:val="single"/>
      <w:lang w:eastAsia="en-US"/>
    </w:rPr>
  </w:style>
  <w:style w:type="paragraph" w:customStyle="1" w:styleId="1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7882</Words>
  <Characters>9123</Characters>
  <Lines>1</Lines>
  <Paragraphs>1</Paragraphs>
  <TotalTime>6</TotalTime>
  <ScaleCrop>false</ScaleCrop>
  <LinksUpToDate>false</LinksUpToDate>
  <CharactersWithSpaces>9194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rsf51</cp:lastModifiedBy>
  <cp:lastPrinted>2022-06-07T16:09:00Z</cp:lastPrinted>
  <dcterms:modified xsi:type="dcterms:W3CDTF">2024-12-26T09:50:24Z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48C61CB29D3F4D9384F5922CF0F7FFB4</vt:lpwstr>
  </property>
</Properties>
</file>