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4A4960">
      <w:pPr>
        <w:keepNext w:val="0"/>
        <w:keepLines w:val="0"/>
        <w:pageBreakBefore w:val="0"/>
        <w:kinsoku/>
        <w:overflowPunct/>
        <w:topLinePunct w:val="0"/>
        <w:autoSpaceDE/>
        <w:autoSpaceDN/>
        <w:bidi w:val="0"/>
        <w:adjustRightInd/>
        <w:spacing w:line="600" w:lineRule="exact"/>
        <w:ind w:firstLine="640" w:firstLineChars="200"/>
        <w:textAlignment w:val="auto"/>
        <w:rPr>
          <w:rFonts w:hint="eastAsia" w:ascii="方正仿宋_GBK" w:hAnsi="方正仿宋_GBK" w:eastAsia="方正仿宋_GBK" w:cs="方正仿宋_GBK"/>
          <w:sz w:val="32"/>
          <w:szCs w:val="32"/>
        </w:rPr>
      </w:pPr>
    </w:p>
    <w:p w14:paraId="65277F86">
      <w:pPr>
        <w:keepNext w:val="0"/>
        <w:keepLines w:val="0"/>
        <w:pageBreakBefore w:val="0"/>
        <w:widowControl w:val="0"/>
        <w:kinsoku/>
        <w:wordWrap/>
        <w:overflowPunct/>
        <w:topLinePunct w:val="0"/>
        <w:autoSpaceDE/>
        <w:autoSpaceDN/>
        <w:bidi w:val="0"/>
        <w:adjustRightInd/>
        <w:snapToGrid/>
        <w:spacing w:beforeLines="0" w:afterLines="0" w:line="540" w:lineRule="exact"/>
        <w:jc w:val="center"/>
        <w:textAlignment w:val="auto"/>
        <w:rPr>
          <w:rFonts w:hint="default" w:ascii="Times New Roman" w:hAnsi="Times New Roman" w:eastAsia="Times New Roman"/>
          <w:sz w:val="44"/>
          <w:lang w:val="en-US"/>
        </w:rPr>
      </w:pPr>
      <w:r>
        <w:rPr>
          <w:rFonts w:hint="eastAsia" w:ascii="方正小标宋_GBK" w:hAnsi="方正小标宋_GBK" w:eastAsia="方正小标宋_GBK"/>
          <w:sz w:val="44"/>
          <w:lang w:val="zh-CN"/>
        </w:rPr>
        <w:t>重庆市荣昌区人民政府办公室</w:t>
      </w:r>
    </w:p>
    <w:p w14:paraId="14144309">
      <w:pPr>
        <w:keepNext w:val="0"/>
        <w:keepLines w:val="0"/>
        <w:pageBreakBefore w:val="0"/>
        <w:widowControl w:val="0"/>
        <w:kinsoku/>
        <w:wordWrap/>
        <w:overflowPunct/>
        <w:topLinePunct w:val="0"/>
        <w:autoSpaceDE/>
        <w:autoSpaceDN/>
        <w:bidi w:val="0"/>
        <w:adjustRightInd/>
        <w:snapToGrid/>
        <w:spacing w:beforeLines="0" w:afterLines="0" w:line="540" w:lineRule="exact"/>
        <w:jc w:val="center"/>
        <w:textAlignment w:val="auto"/>
        <w:rPr>
          <w:rFonts w:hint="eastAsia" w:ascii="方正小标宋_GBK" w:hAnsi="方正小标宋_GBK" w:eastAsia="方正小标宋_GBK"/>
          <w:sz w:val="44"/>
          <w:lang w:val="zh-CN"/>
        </w:rPr>
      </w:pPr>
      <w:r>
        <w:rPr>
          <w:rFonts w:hint="eastAsia" w:ascii="方正小标宋_GBK" w:hAnsi="方正小标宋_GBK" w:eastAsia="方正小标宋_GBK"/>
          <w:sz w:val="44"/>
          <w:lang w:val="zh-CN"/>
        </w:rPr>
        <w:t>关于印发重庆市荣昌区声环境功能区划分</w:t>
      </w:r>
    </w:p>
    <w:p w14:paraId="5F5A9C2A">
      <w:pPr>
        <w:keepNext w:val="0"/>
        <w:keepLines w:val="0"/>
        <w:pageBreakBefore w:val="0"/>
        <w:widowControl w:val="0"/>
        <w:kinsoku/>
        <w:wordWrap/>
        <w:overflowPunct/>
        <w:topLinePunct w:val="0"/>
        <w:autoSpaceDE/>
        <w:autoSpaceDN/>
        <w:bidi w:val="0"/>
        <w:adjustRightInd/>
        <w:snapToGrid/>
        <w:spacing w:beforeLines="0" w:afterLines="0" w:line="540" w:lineRule="exact"/>
        <w:jc w:val="center"/>
        <w:textAlignment w:val="auto"/>
        <w:rPr>
          <w:rFonts w:hint="default" w:ascii="Times New Roman" w:hAnsi="Times New Roman" w:eastAsia="Times New Roman"/>
          <w:color w:val="000000"/>
          <w:kern w:val="2"/>
          <w:sz w:val="44"/>
          <w:lang w:val="en-US"/>
        </w:rPr>
      </w:pPr>
      <w:r>
        <w:rPr>
          <w:rFonts w:hint="eastAsia" w:ascii="方正小标宋_GBK" w:hAnsi="方正小标宋_GBK" w:eastAsia="方正小标宋_GBK"/>
          <w:sz w:val="44"/>
          <w:lang w:val="zh-CN"/>
        </w:rPr>
        <w:t>调整方案的通知</w:t>
      </w:r>
    </w:p>
    <w:p w14:paraId="76654B40">
      <w:pPr>
        <w:keepNext w:val="0"/>
        <w:keepLines w:val="0"/>
        <w:pageBreakBefore w:val="0"/>
        <w:widowControl w:val="0"/>
        <w:kinsoku/>
        <w:wordWrap/>
        <w:overflowPunct/>
        <w:topLinePunct w:val="0"/>
        <w:autoSpaceDE/>
        <w:autoSpaceDN/>
        <w:bidi w:val="0"/>
        <w:adjustRightInd/>
        <w:snapToGrid/>
        <w:spacing w:beforeLines="0" w:afterLines="0" w:line="600" w:lineRule="exact"/>
        <w:ind w:left="320" w:right="320"/>
        <w:jc w:val="center"/>
        <w:textAlignment w:val="auto"/>
        <w:rPr>
          <w:rFonts w:hint="eastAsia" w:ascii="方正仿宋简体" w:hAnsi="方正仿宋简体" w:eastAsia="方正仿宋简体"/>
          <w:color w:val="auto"/>
          <w:kern w:val="2"/>
          <w:sz w:val="32"/>
          <w:lang w:val="zh-CN"/>
        </w:rPr>
      </w:pPr>
      <w:r>
        <w:rPr>
          <w:rFonts w:hint="eastAsia" w:ascii="方正仿宋_GBK" w:hAnsi="方正仿宋_GBK" w:eastAsia="方正仿宋_GBK"/>
          <w:color w:val="auto"/>
          <w:kern w:val="2"/>
          <w:sz w:val="32"/>
          <w:lang w:val="zh-CN"/>
        </w:rPr>
        <w:t>荣昌府办发〔2018〕118号</w:t>
      </w:r>
    </w:p>
    <w:p w14:paraId="2DD519F8">
      <w:pPr>
        <w:keepNext w:val="0"/>
        <w:keepLines w:val="0"/>
        <w:pageBreakBefore w:val="0"/>
        <w:widowControl w:val="0"/>
        <w:tabs>
          <w:tab w:val="left" w:pos="6270"/>
        </w:tabs>
        <w:kinsoku/>
        <w:wordWrap/>
        <w:overflowPunct/>
        <w:topLinePunct w:val="0"/>
        <w:autoSpaceDE/>
        <w:autoSpaceDN/>
        <w:bidi w:val="0"/>
        <w:adjustRightInd/>
        <w:snapToGrid/>
        <w:spacing w:beforeLines="0" w:afterLines="0" w:line="600" w:lineRule="exact"/>
        <w:jc w:val="both"/>
        <w:textAlignment w:val="auto"/>
        <w:rPr>
          <w:rFonts w:hint="default" w:ascii="Times New Roman" w:hAnsi="Times New Roman" w:eastAsia="Times New Roman"/>
          <w:color w:val="auto"/>
          <w:sz w:val="32"/>
          <w:lang w:val="en-US"/>
        </w:rPr>
      </w:pPr>
    </w:p>
    <w:p w14:paraId="69302B22">
      <w:pPr>
        <w:keepNext w:val="0"/>
        <w:keepLines w:val="0"/>
        <w:pageBreakBefore w:val="0"/>
        <w:widowControl w:val="0"/>
        <w:kinsoku/>
        <w:wordWrap/>
        <w:overflowPunct/>
        <w:topLinePunct w:val="0"/>
        <w:autoSpaceDE/>
        <w:autoSpaceDN/>
        <w:bidi w:val="0"/>
        <w:adjustRightInd/>
        <w:snapToGrid/>
        <w:spacing w:beforeLines="0" w:afterLines="0" w:line="600" w:lineRule="exact"/>
        <w:jc w:val="both"/>
        <w:textAlignment w:val="auto"/>
        <w:rPr>
          <w:rFonts w:hint="eastAsia" w:ascii="方正仿宋_GBK" w:hAnsi="方正仿宋_GBK" w:eastAsia="方正仿宋_GBK"/>
          <w:color w:val="auto"/>
          <w:sz w:val="32"/>
          <w:lang w:val="zh-CN"/>
        </w:rPr>
      </w:pPr>
      <w:r>
        <w:rPr>
          <w:rFonts w:hint="eastAsia" w:ascii="方正仿宋_GBK" w:hAnsi="方正仿宋_GBK" w:eastAsia="方正仿宋_GBK"/>
          <w:color w:val="auto"/>
          <w:sz w:val="32"/>
          <w:lang w:val="zh-CN"/>
        </w:rPr>
        <w:t>各镇人民政府，各街道办事处，区级有关部门，有关单位：</w:t>
      </w:r>
    </w:p>
    <w:p w14:paraId="6C7C872B">
      <w:pPr>
        <w:keepNext w:val="0"/>
        <w:keepLines w:val="0"/>
        <w:pageBreakBefore w:val="0"/>
        <w:widowControl w:val="0"/>
        <w:kinsoku/>
        <w:wordWrap/>
        <w:overflowPunct/>
        <w:topLinePunct w:val="0"/>
        <w:autoSpaceDE/>
        <w:autoSpaceDN/>
        <w:bidi w:val="0"/>
        <w:adjustRightInd/>
        <w:snapToGrid/>
        <w:spacing w:beforeLines="0" w:afterLines="0" w:line="600" w:lineRule="exact"/>
        <w:jc w:val="both"/>
        <w:textAlignment w:val="auto"/>
        <w:rPr>
          <w:rFonts w:hint="eastAsia" w:ascii="方正仿宋_GBK" w:hAnsi="方正仿宋_GBK" w:eastAsia="方正仿宋_GBK"/>
          <w:color w:val="auto"/>
          <w:sz w:val="32"/>
          <w:lang w:val="zh-CN"/>
        </w:rPr>
      </w:pPr>
      <w:r>
        <w:rPr>
          <w:rFonts w:hint="eastAsia" w:ascii="方正仿宋_GBK" w:hAnsi="方正仿宋_GBK" w:eastAsia="方正仿宋_GBK"/>
          <w:color w:val="auto"/>
          <w:sz w:val="32"/>
          <w:lang w:val="zh-CN"/>
        </w:rPr>
        <w:t xml:space="preserve">    《重庆市荣昌区声环境功能区划分调整方案》已经区政府第34次常务会审议通过，现印发给你们，请认真遵照执行。</w:t>
      </w:r>
    </w:p>
    <w:p w14:paraId="4BACE794">
      <w:pPr>
        <w:keepNext w:val="0"/>
        <w:keepLines w:val="0"/>
        <w:pageBreakBefore w:val="0"/>
        <w:widowControl w:val="0"/>
        <w:kinsoku/>
        <w:wordWrap/>
        <w:overflowPunct/>
        <w:topLinePunct w:val="0"/>
        <w:autoSpaceDE/>
        <w:autoSpaceDN/>
        <w:bidi w:val="0"/>
        <w:adjustRightInd/>
        <w:snapToGrid/>
        <w:spacing w:beforeLines="0" w:afterLines="0" w:line="600" w:lineRule="exact"/>
        <w:jc w:val="center"/>
        <w:textAlignment w:val="auto"/>
        <w:rPr>
          <w:rFonts w:hint="eastAsia" w:ascii="方正仿宋_GBK" w:hAnsi="方正仿宋_GBK" w:eastAsia="方正仿宋_GBK"/>
          <w:color w:val="auto"/>
          <w:spacing w:val="-14"/>
          <w:kern w:val="2"/>
          <w:sz w:val="32"/>
          <w:lang w:val="zh-CN"/>
        </w:rPr>
      </w:pPr>
    </w:p>
    <w:p w14:paraId="2CCA2958">
      <w:pPr>
        <w:keepNext w:val="0"/>
        <w:keepLines w:val="0"/>
        <w:pageBreakBefore w:val="0"/>
        <w:widowControl w:val="0"/>
        <w:kinsoku/>
        <w:wordWrap/>
        <w:overflowPunct/>
        <w:topLinePunct w:val="0"/>
        <w:autoSpaceDE/>
        <w:autoSpaceDN/>
        <w:bidi w:val="0"/>
        <w:adjustRightInd/>
        <w:snapToGrid/>
        <w:spacing w:beforeLines="0" w:afterLines="0" w:line="600" w:lineRule="exact"/>
        <w:jc w:val="center"/>
        <w:textAlignment w:val="auto"/>
        <w:rPr>
          <w:rFonts w:hint="eastAsia" w:ascii="宋体" w:hAnsi="宋体" w:eastAsia="宋体"/>
          <w:color w:val="auto"/>
          <w:spacing w:val="-14"/>
          <w:kern w:val="2"/>
          <w:sz w:val="32"/>
          <w:lang w:val="zh-CN"/>
        </w:rPr>
      </w:pPr>
    </w:p>
    <w:p w14:paraId="287E2E85">
      <w:pPr>
        <w:keepNext w:val="0"/>
        <w:keepLines w:val="0"/>
        <w:pageBreakBefore w:val="0"/>
        <w:widowControl w:val="0"/>
        <w:kinsoku/>
        <w:wordWrap/>
        <w:overflowPunct/>
        <w:topLinePunct w:val="0"/>
        <w:autoSpaceDE/>
        <w:autoSpaceDN/>
        <w:bidi w:val="0"/>
        <w:adjustRightInd/>
        <w:snapToGrid/>
        <w:spacing w:beforeLines="0" w:afterLines="0" w:line="600" w:lineRule="exact"/>
        <w:ind w:firstLine="3680"/>
        <w:jc w:val="both"/>
        <w:textAlignment w:val="auto"/>
        <w:rPr>
          <w:rFonts w:hint="eastAsia" w:ascii="方正仿宋_GBK" w:hAnsi="方正仿宋_GBK" w:eastAsia="方正仿宋_GBK"/>
          <w:color w:val="auto"/>
          <w:kern w:val="2"/>
          <w:sz w:val="32"/>
          <w:lang w:val="zh-CN"/>
        </w:rPr>
      </w:pPr>
      <w:r>
        <w:rPr>
          <w:rFonts w:hint="eastAsia" w:ascii="方正仿宋_GBK" w:hAnsi="方正仿宋_GBK" w:eastAsia="方正仿宋_GBK"/>
          <w:color w:val="auto"/>
          <w:kern w:val="2"/>
          <w:sz w:val="32"/>
          <w:lang w:val="zh-CN"/>
        </w:rPr>
        <w:t>重庆市荣昌区人民政府办公室　</w:t>
      </w:r>
    </w:p>
    <w:p w14:paraId="10E3FCFF">
      <w:pPr>
        <w:keepNext w:val="0"/>
        <w:keepLines w:val="0"/>
        <w:pageBreakBefore w:val="0"/>
        <w:widowControl w:val="0"/>
        <w:kinsoku/>
        <w:wordWrap/>
        <w:overflowPunct/>
        <w:topLinePunct w:val="0"/>
        <w:autoSpaceDE/>
        <w:autoSpaceDN/>
        <w:bidi w:val="0"/>
        <w:adjustRightInd/>
        <w:snapToGrid/>
        <w:spacing w:beforeLines="0" w:afterLines="0" w:line="600" w:lineRule="exact"/>
        <w:ind w:firstLine="4480"/>
        <w:jc w:val="both"/>
        <w:textAlignment w:val="auto"/>
        <w:rPr>
          <w:rFonts w:hint="eastAsia" w:ascii="方正仿宋_GBK" w:hAnsi="方正仿宋_GBK" w:eastAsia="方正仿宋_GBK"/>
          <w:color w:val="auto"/>
          <w:kern w:val="2"/>
          <w:sz w:val="32"/>
          <w:lang w:val="zh-CN"/>
        </w:rPr>
      </w:pPr>
      <w:r>
        <w:rPr>
          <w:rFonts w:hint="eastAsia" w:ascii="宋体" w:hAnsi="宋体" w:eastAsia="宋体"/>
          <w:color w:val="auto"/>
          <w:kern w:val="2"/>
          <w:sz w:val="32"/>
          <w:lang w:val="zh-CN"/>
        </w:rPr>
        <w:t>2018</w:t>
      </w:r>
      <w:r>
        <w:rPr>
          <w:rFonts w:hint="eastAsia" w:ascii="方正仿宋_GBK" w:hAnsi="方正仿宋_GBK" w:eastAsia="方正仿宋_GBK"/>
          <w:color w:val="auto"/>
          <w:kern w:val="2"/>
          <w:sz w:val="32"/>
          <w:lang w:val="zh-CN"/>
        </w:rPr>
        <w:t>年9月21日</w:t>
      </w:r>
    </w:p>
    <w:p w14:paraId="46D50D3F">
      <w:pPr>
        <w:keepNext w:val="0"/>
        <w:keepLines w:val="0"/>
        <w:pageBreakBefore w:val="0"/>
        <w:widowControl w:val="0"/>
        <w:kinsoku/>
        <w:wordWrap/>
        <w:overflowPunct/>
        <w:topLinePunct w:val="0"/>
        <w:autoSpaceDE/>
        <w:autoSpaceDN/>
        <w:bidi w:val="0"/>
        <w:adjustRightInd/>
        <w:snapToGrid/>
        <w:spacing w:beforeLines="0" w:afterLines="0" w:line="600" w:lineRule="exact"/>
        <w:ind w:firstLine="640" w:firstLineChars="200"/>
        <w:jc w:val="both"/>
        <w:textAlignment w:val="auto"/>
        <w:rPr>
          <w:rFonts w:hint="eastAsia" w:ascii="方正仿宋_GBK" w:hAnsi="方正仿宋_GBK" w:eastAsia="方正仿宋_GBK"/>
          <w:color w:val="auto"/>
          <w:kern w:val="2"/>
          <w:sz w:val="32"/>
          <w:lang w:val="zh-CN"/>
        </w:rPr>
      </w:pPr>
      <w:r>
        <w:rPr>
          <w:rFonts w:hint="eastAsia" w:ascii="方正仿宋_GBK" w:hAnsi="方正仿宋_GBK" w:eastAsia="方正仿宋_GBK"/>
          <w:color w:val="auto"/>
          <w:kern w:val="2"/>
          <w:sz w:val="32"/>
          <w:lang w:val="zh-CN"/>
        </w:rPr>
        <w:t>（此件公开发布）　　　　</w:t>
      </w:r>
    </w:p>
    <w:p w14:paraId="392D37AF">
      <w:pPr>
        <w:keepNext w:val="0"/>
        <w:keepLines w:val="0"/>
        <w:pageBreakBefore w:val="0"/>
        <w:widowControl w:val="0"/>
        <w:kinsoku/>
        <w:wordWrap/>
        <w:overflowPunct/>
        <w:topLinePunct w:val="0"/>
        <w:autoSpaceDE/>
        <w:autoSpaceDN/>
        <w:bidi w:val="0"/>
        <w:adjustRightInd/>
        <w:snapToGrid/>
        <w:spacing w:beforeLines="0" w:afterLines="0" w:line="600" w:lineRule="exact"/>
        <w:jc w:val="center"/>
        <w:textAlignment w:val="auto"/>
        <w:rPr>
          <w:rFonts w:hint="eastAsia" w:ascii="方正仿宋_GBK" w:hAnsi="方正仿宋_GBK" w:eastAsia="方正仿宋_GBK"/>
          <w:color w:val="auto"/>
          <w:kern w:val="2"/>
          <w:sz w:val="32"/>
          <w:lang w:val="zh-CN"/>
        </w:rPr>
      </w:pPr>
      <w:r>
        <w:rPr>
          <w:rFonts w:hint="eastAsia" w:ascii="宋体" w:hAnsi="宋体" w:eastAsia="宋体"/>
          <w:color w:val="auto"/>
          <w:kern w:val="2"/>
          <w:sz w:val="32"/>
          <w:lang w:val="zh-CN"/>
        </w:rPr>
        <w:br w:type="page"/>
      </w:r>
    </w:p>
    <w:p w14:paraId="4C8B13B8">
      <w:pPr>
        <w:spacing w:beforeLines="0" w:afterLines="0"/>
        <w:jc w:val="center"/>
        <w:rPr>
          <w:rFonts w:hint="eastAsia" w:ascii="方正小标宋_GBK" w:hAnsi="方正小标宋_GBK" w:eastAsia="方正小标宋_GBK"/>
          <w:color w:val="auto"/>
          <w:kern w:val="2"/>
          <w:sz w:val="32"/>
          <w:lang w:val="zh-CN"/>
        </w:rPr>
      </w:pPr>
    </w:p>
    <w:p w14:paraId="1D855C41">
      <w:pPr>
        <w:keepNext w:val="0"/>
        <w:keepLines w:val="0"/>
        <w:pageBreakBefore w:val="0"/>
        <w:widowControl w:val="0"/>
        <w:kinsoku/>
        <w:wordWrap/>
        <w:overflowPunct/>
        <w:topLinePunct w:val="0"/>
        <w:autoSpaceDE/>
        <w:autoSpaceDN/>
        <w:bidi w:val="0"/>
        <w:adjustRightInd/>
        <w:snapToGrid/>
        <w:spacing w:beforeLines="0" w:afterLines="0" w:line="540" w:lineRule="exact"/>
        <w:jc w:val="center"/>
        <w:textAlignment w:val="auto"/>
        <w:rPr>
          <w:rFonts w:hint="eastAsia" w:ascii="方正小标宋_GBK" w:hAnsi="方正小标宋_GBK" w:eastAsia="方正小标宋_GBK"/>
          <w:color w:val="auto"/>
          <w:kern w:val="2"/>
          <w:sz w:val="44"/>
          <w:lang w:val="zh-CN"/>
        </w:rPr>
      </w:pPr>
      <w:r>
        <w:rPr>
          <w:rFonts w:hint="eastAsia" w:ascii="方正小标宋_GBK" w:hAnsi="方正小标宋_GBK" w:eastAsia="方正小标宋_GBK"/>
          <w:color w:val="auto"/>
          <w:kern w:val="2"/>
          <w:sz w:val="44"/>
          <w:lang w:val="zh-CN"/>
        </w:rPr>
        <w:t>重庆市荣昌区声环境功能区划分</w:t>
      </w:r>
    </w:p>
    <w:p w14:paraId="1139AC14">
      <w:pPr>
        <w:keepNext w:val="0"/>
        <w:keepLines w:val="0"/>
        <w:pageBreakBefore w:val="0"/>
        <w:widowControl w:val="0"/>
        <w:kinsoku/>
        <w:wordWrap/>
        <w:overflowPunct/>
        <w:topLinePunct w:val="0"/>
        <w:autoSpaceDE/>
        <w:autoSpaceDN/>
        <w:bidi w:val="0"/>
        <w:adjustRightInd/>
        <w:snapToGrid/>
        <w:spacing w:beforeLines="0" w:afterLines="0" w:line="540" w:lineRule="exact"/>
        <w:jc w:val="center"/>
        <w:textAlignment w:val="auto"/>
        <w:rPr>
          <w:rFonts w:hint="eastAsia" w:ascii="方正小标宋_GBK" w:hAnsi="方正小标宋_GBK" w:eastAsia="方正小标宋_GBK"/>
          <w:color w:val="auto"/>
          <w:kern w:val="2"/>
          <w:sz w:val="44"/>
          <w:lang w:val="zh-CN"/>
        </w:rPr>
      </w:pPr>
      <w:r>
        <w:rPr>
          <w:rFonts w:hint="eastAsia" w:ascii="方正小标宋_GBK" w:hAnsi="方正小标宋_GBK" w:eastAsia="方正小标宋_GBK"/>
          <w:color w:val="auto"/>
          <w:kern w:val="2"/>
          <w:sz w:val="44"/>
          <w:lang w:val="zh-CN"/>
        </w:rPr>
        <w:t>调整方案</w:t>
      </w:r>
    </w:p>
    <w:p w14:paraId="726E12FA">
      <w:pPr>
        <w:spacing w:beforeLines="0" w:afterLines="0"/>
        <w:jc w:val="center"/>
        <w:rPr>
          <w:rFonts w:hint="eastAsia" w:ascii="方正小标宋_GBK" w:hAnsi="方正小标宋_GBK" w:eastAsia="方正小标宋_GBK"/>
          <w:color w:val="auto"/>
          <w:kern w:val="2"/>
          <w:sz w:val="48"/>
          <w:lang w:val="zh-CN"/>
        </w:rPr>
      </w:pPr>
    </w:p>
    <w:p w14:paraId="58F44271">
      <w:pPr>
        <w:spacing w:beforeLines="0" w:afterLines="0"/>
        <w:jc w:val="center"/>
        <w:rPr>
          <w:rFonts w:hint="eastAsia" w:ascii="方正小标宋_GBK" w:hAnsi="方正小标宋_GBK" w:eastAsia="方正小标宋_GBK"/>
          <w:color w:val="auto"/>
          <w:kern w:val="2"/>
          <w:sz w:val="48"/>
          <w:lang w:val="zh-CN"/>
        </w:rPr>
      </w:pPr>
    </w:p>
    <w:p w14:paraId="2CFD962A">
      <w:pPr>
        <w:spacing w:beforeLines="0" w:afterLines="0"/>
        <w:jc w:val="both"/>
        <w:rPr>
          <w:rFonts w:hint="eastAsia" w:ascii="方正小标宋_GBK" w:hAnsi="方正小标宋_GBK" w:eastAsia="方正小标宋_GBK"/>
          <w:color w:val="auto"/>
          <w:kern w:val="2"/>
          <w:sz w:val="48"/>
          <w:lang w:val="zh-CN"/>
        </w:rPr>
      </w:pPr>
    </w:p>
    <w:p w14:paraId="730FF671">
      <w:pPr>
        <w:spacing w:beforeLines="0" w:afterLines="0"/>
        <w:jc w:val="center"/>
        <w:rPr>
          <w:rFonts w:hint="eastAsia" w:ascii="方正仿宋_GBK" w:hAnsi="方正仿宋_GBK" w:eastAsia="方正仿宋_GBK"/>
          <w:b/>
          <w:color w:val="auto"/>
          <w:kern w:val="2"/>
          <w:sz w:val="32"/>
          <w:lang w:val="zh-CN"/>
        </w:rPr>
      </w:pPr>
    </w:p>
    <w:p w14:paraId="5A7DEC0F">
      <w:pPr>
        <w:spacing w:beforeLines="0" w:afterLines="0"/>
        <w:jc w:val="center"/>
        <w:rPr>
          <w:rFonts w:hint="eastAsia" w:ascii="方正仿宋_GBK" w:hAnsi="方正仿宋_GBK" w:eastAsia="方正仿宋_GBK"/>
          <w:b/>
          <w:color w:val="auto"/>
          <w:kern w:val="2"/>
          <w:sz w:val="32"/>
          <w:lang w:val="zh-CN"/>
        </w:rPr>
      </w:pPr>
    </w:p>
    <w:p w14:paraId="0303783C">
      <w:pPr>
        <w:spacing w:beforeLines="0" w:afterLines="0"/>
        <w:jc w:val="center"/>
        <w:rPr>
          <w:rFonts w:hint="eastAsia" w:ascii="方正仿宋_GBK" w:hAnsi="方正仿宋_GBK" w:eastAsia="方正仿宋_GBK"/>
          <w:b/>
          <w:color w:val="auto"/>
          <w:kern w:val="2"/>
          <w:sz w:val="32"/>
          <w:lang w:val="zh-CN"/>
        </w:rPr>
      </w:pPr>
    </w:p>
    <w:p w14:paraId="53EC8B2A">
      <w:pPr>
        <w:spacing w:beforeLines="0" w:afterLines="0"/>
        <w:jc w:val="center"/>
        <w:rPr>
          <w:rFonts w:hint="eastAsia" w:ascii="方正仿宋_GBK" w:hAnsi="方正仿宋_GBK" w:eastAsia="方正仿宋_GBK"/>
          <w:b/>
          <w:color w:val="auto"/>
          <w:kern w:val="2"/>
          <w:sz w:val="32"/>
          <w:lang w:val="zh-CN"/>
        </w:rPr>
      </w:pPr>
    </w:p>
    <w:p w14:paraId="369C1A04">
      <w:pPr>
        <w:spacing w:beforeLines="0" w:afterLines="0"/>
        <w:jc w:val="center"/>
        <w:rPr>
          <w:rFonts w:hint="eastAsia" w:ascii="方正仿宋_GBK" w:hAnsi="方正仿宋_GBK" w:eastAsia="方正仿宋_GBK"/>
          <w:b/>
          <w:color w:val="auto"/>
          <w:kern w:val="2"/>
          <w:sz w:val="32"/>
          <w:lang w:val="zh-CN"/>
        </w:rPr>
      </w:pPr>
    </w:p>
    <w:p w14:paraId="486C7469">
      <w:pPr>
        <w:spacing w:beforeLines="0" w:afterLines="0"/>
        <w:jc w:val="center"/>
        <w:rPr>
          <w:rFonts w:hint="eastAsia" w:ascii="方正仿宋_GBK" w:hAnsi="方正仿宋_GBK" w:eastAsia="方正仿宋_GBK"/>
          <w:b/>
          <w:color w:val="auto"/>
          <w:kern w:val="2"/>
          <w:sz w:val="32"/>
          <w:lang w:val="zh-CN"/>
        </w:rPr>
      </w:pPr>
    </w:p>
    <w:p w14:paraId="3D7CF12B">
      <w:pPr>
        <w:spacing w:beforeLines="0" w:afterLines="0"/>
        <w:jc w:val="center"/>
        <w:rPr>
          <w:rFonts w:hint="eastAsia" w:ascii="方正仿宋_GBK" w:hAnsi="方正仿宋_GBK" w:eastAsia="方正仿宋_GBK"/>
          <w:b/>
          <w:color w:val="auto"/>
          <w:kern w:val="2"/>
          <w:sz w:val="32"/>
          <w:lang w:val="zh-CN"/>
        </w:rPr>
      </w:pPr>
    </w:p>
    <w:p w14:paraId="107D492E">
      <w:pPr>
        <w:spacing w:beforeLines="0" w:afterLines="0"/>
        <w:jc w:val="center"/>
        <w:rPr>
          <w:rFonts w:hint="eastAsia" w:ascii="方正仿宋_GBK" w:hAnsi="方正仿宋_GBK" w:eastAsia="方正仿宋_GBK"/>
          <w:b/>
          <w:color w:val="auto"/>
          <w:kern w:val="2"/>
          <w:sz w:val="32"/>
          <w:lang w:val="zh-CN"/>
        </w:rPr>
      </w:pPr>
    </w:p>
    <w:p w14:paraId="61C80874">
      <w:pPr>
        <w:spacing w:beforeLines="0" w:afterLines="0"/>
        <w:jc w:val="center"/>
        <w:rPr>
          <w:rFonts w:hint="eastAsia" w:ascii="方正仿宋_GBK" w:hAnsi="方正仿宋_GBK" w:eastAsia="方正仿宋_GBK"/>
          <w:b/>
          <w:color w:val="auto"/>
          <w:kern w:val="2"/>
          <w:sz w:val="32"/>
          <w:lang w:val="zh-CN"/>
        </w:rPr>
      </w:pPr>
    </w:p>
    <w:p w14:paraId="4A96A5DC">
      <w:pPr>
        <w:spacing w:beforeLines="0" w:afterLines="0"/>
        <w:jc w:val="center"/>
        <w:rPr>
          <w:rFonts w:hint="eastAsia" w:ascii="方正黑体_GBK" w:hAnsi="方正黑体_GBK" w:eastAsia="方正黑体_GBK"/>
          <w:color w:val="auto"/>
          <w:kern w:val="2"/>
          <w:sz w:val="32"/>
          <w:lang w:val="zh-CN"/>
        </w:rPr>
      </w:pPr>
      <w:r>
        <w:rPr>
          <w:rFonts w:hint="eastAsia" w:ascii="方正黑体_GBK" w:hAnsi="方正黑体_GBK" w:eastAsia="方正黑体_GBK"/>
          <w:color w:val="auto"/>
          <w:kern w:val="2"/>
          <w:sz w:val="32"/>
          <w:lang w:val="zh-CN"/>
        </w:rPr>
        <w:t>重庆市环境科学研究院</w:t>
      </w:r>
    </w:p>
    <w:p w14:paraId="63A9BDF8">
      <w:pPr>
        <w:spacing w:beforeLines="0" w:afterLines="0"/>
        <w:jc w:val="center"/>
        <w:rPr>
          <w:rFonts w:hint="eastAsia" w:ascii="方正黑体_GBK" w:hAnsi="方正黑体_GBK" w:eastAsia="方正黑体_GBK"/>
          <w:color w:val="auto"/>
          <w:kern w:val="2"/>
          <w:sz w:val="32"/>
          <w:lang w:val="zh-CN"/>
        </w:rPr>
      </w:pPr>
      <w:r>
        <w:rPr>
          <w:rFonts w:hint="eastAsia" w:ascii="方正黑体_GBK" w:hAnsi="方正黑体_GBK" w:eastAsia="方正黑体_GBK"/>
          <w:color w:val="auto"/>
          <w:kern w:val="2"/>
          <w:sz w:val="32"/>
          <w:lang w:val="zh-CN"/>
        </w:rPr>
        <w:t>2018年7月</w:t>
      </w:r>
    </w:p>
    <w:p w14:paraId="363E3A28">
      <w:pPr>
        <w:spacing w:beforeLines="0" w:afterLines="0"/>
        <w:jc w:val="center"/>
        <w:rPr>
          <w:rFonts w:hint="eastAsia" w:ascii="方正仿宋_GBK" w:hAnsi="方正仿宋_GBK" w:eastAsia="方正仿宋_GBK"/>
          <w:color w:val="auto"/>
          <w:kern w:val="2"/>
          <w:sz w:val="32"/>
          <w:lang w:val="zh-CN"/>
        </w:rPr>
      </w:pPr>
      <w:r>
        <w:rPr>
          <w:rFonts w:hint="eastAsia" w:ascii="方正仿宋_GBK" w:hAnsi="方正仿宋_GBK" w:eastAsia="方正仿宋_GBK"/>
          <w:color w:val="auto"/>
          <w:kern w:val="2"/>
          <w:sz w:val="32"/>
          <w:lang w:val="zh-CN"/>
        </w:rPr>
        <w:br w:type="page"/>
      </w:r>
    </w:p>
    <w:p w14:paraId="38312304">
      <w:pPr>
        <w:spacing w:beforeLines="0" w:afterLines="0"/>
        <w:jc w:val="center"/>
        <w:rPr>
          <w:rFonts w:hint="eastAsia" w:ascii="方正仿宋_GBK" w:hAnsi="方正仿宋_GBK" w:eastAsia="方正仿宋_GBK"/>
          <w:color w:val="auto"/>
          <w:kern w:val="2"/>
          <w:sz w:val="32"/>
          <w:lang w:val="zh-CN"/>
        </w:rPr>
      </w:pPr>
    </w:p>
    <w:p w14:paraId="6F0A5418">
      <w:pPr>
        <w:spacing w:beforeLines="0" w:afterLines="0"/>
        <w:jc w:val="center"/>
        <w:rPr>
          <w:rFonts w:hint="eastAsia" w:ascii="方正小标宋_GBK" w:hAnsi="方正小标宋_GBK" w:eastAsia="方正小标宋_GBK"/>
          <w:color w:val="auto"/>
          <w:kern w:val="2"/>
          <w:sz w:val="44"/>
          <w:lang w:val="zh-CN"/>
        </w:rPr>
      </w:pPr>
      <w:r>
        <w:rPr>
          <w:rFonts w:hint="eastAsia" w:ascii="方正小标宋_GBK" w:hAnsi="方正小标宋_GBK" w:eastAsia="方正小标宋_GBK"/>
          <w:color w:val="auto"/>
          <w:kern w:val="2"/>
          <w:sz w:val="44"/>
          <w:lang w:val="zh-CN"/>
        </w:rPr>
        <w:t>目  录</w:t>
      </w:r>
    </w:p>
    <w:p w14:paraId="1F87C653">
      <w:pPr>
        <w:tabs>
          <w:tab w:val="right" w:leader="dot" w:pos="8296"/>
          <w:tab w:val="right" w:leader="dot" w:pos="8494"/>
        </w:tabs>
        <w:spacing w:beforeLines="0" w:afterLines="0" w:line="400" w:lineRule="exact"/>
        <w:jc w:val="both"/>
        <w:rPr>
          <w:rFonts w:hint="eastAsia" w:ascii="方正黑体_GBK" w:hAnsi="方正黑体_GBK" w:eastAsia="方正黑体_GBK"/>
          <w:color w:val="auto"/>
          <w:kern w:val="2"/>
          <w:sz w:val="21"/>
          <w:lang w:val="zh-CN"/>
        </w:rPr>
      </w:pPr>
    </w:p>
    <w:p w14:paraId="7B14D26B">
      <w:pPr>
        <w:tabs>
          <w:tab w:val="right" w:leader="dot" w:pos="8296"/>
          <w:tab w:val="right" w:leader="dot" w:pos="8494"/>
        </w:tabs>
        <w:spacing w:beforeLines="0" w:afterLines="0"/>
        <w:jc w:val="both"/>
        <w:rPr>
          <w:rFonts w:hint="eastAsia" w:ascii="方正黑体_GBK" w:hAnsi="方正黑体_GBK" w:eastAsia="方正黑体_GBK"/>
          <w:color w:val="auto"/>
          <w:kern w:val="2"/>
          <w:sz w:val="32"/>
          <w:lang w:val="zh-CN"/>
        </w:rPr>
      </w:pPr>
      <w:r>
        <w:rPr>
          <w:rFonts w:hint="eastAsia" w:ascii="方正黑体_GBK" w:hAnsi="方正黑体_GBK" w:eastAsia="方正黑体_GBK"/>
          <w:color w:val="auto"/>
          <w:kern w:val="2"/>
          <w:sz w:val="32"/>
          <w:lang w:val="zh-CN"/>
        </w:rPr>
        <w:fldChar w:fldCharType="begin"/>
      </w:r>
      <w:r>
        <w:rPr>
          <w:rFonts w:hint="eastAsia" w:ascii="方正黑体_GBK" w:hAnsi="方正黑体_GBK" w:eastAsia="方正黑体_GBK"/>
          <w:color w:val="auto"/>
          <w:kern w:val="2"/>
          <w:sz w:val="32"/>
          <w:lang w:val="zh-CN"/>
        </w:rPr>
        <w:instrText xml:space="preserve">HYPERLINK "\l "_Toc517272500" "</w:instrText>
      </w:r>
      <w:r>
        <w:rPr>
          <w:rFonts w:hint="eastAsia" w:ascii="方正黑体_GBK" w:hAnsi="方正黑体_GBK" w:eastAsia="方正黑体_GBK"/>
          <w:color w:val="auto"/>
          <w:kern w:val="2"/>
          <w:sz w:val="32"/>
          <w:lang w:val="zh-CN"/>
        </w:rPr>
        <w:fldChar w:fldCharType="separate"/>
      </w:r>
      <w:r>
        <w:rPr>
          <w:rFonts w:hint="eastAsia" w:ascii="方正黑体_GBK" w:hAnsi="方正黑体_GBK" w:eastAsia="方正黑体_GBK"/>
          <w:color w:val="auto"/>
          <w:kern w:val="2"/>
          <w:sz w:val="32"/>
          <w:u w:val="single"/>
          <w:lang w:val="zh-CN"/>
        </w:rPr>
        <w:t>前言</w:t>
      </w:r>
      <w:r>
        <w:rPr>
          <w:rFonts w:hint="eastAsia" w:ascii="方正黑体_GBK" w:hAnsi="方正黑体_GBK" w:eastAsia="方正黑体_GBK"/>
          <w:color w:val="auto"/>
          <w:kern w:val="2"/>
          <w:sz w:val="32"/>
          <w:lang w:val="zh-CN"/>
        </w:rPr>
        <w:tab/>
      </w:r>
      <w:r>
        <w:rPr>
          <w:rFonts w:hint="eastAsia" w:ascii="方正黑体_GBK" w:hAnsi="方正黑体_GBK" w:eastAsia="方正黑体_GBK"/>
          <w:color w:val="auto"/>
          <w:kern w:val="2"/>
          <w:sz w:val="32"/>
          <w:lang w:val="zh-CN"/>
        </w:rPr>
        <w:t>10</w:t>
      </w:r>
      <w:r>
        <w:rPr>
          <w:rFonts w:hint="eastAsia" w:ascii="方正黑体_GBK" w:hAnsi="方正黑体_GBK" w:eastAsia="方正黑体_GBK"/>
          <w:color w:val="auto"/>
          <w:kern w:val="2"/>
          <w:sz w:val="32"/>
          <w:lang w:val="zh-CN"/>
        </w:rPr>
        <w:fldChar w:fldCharType="end"/>
      </w:r>
    </w:p>
    <w:p w14:paraId="01815659">
      <w:pPr>
        <w:tabs>
          <w:tab w:val="right" w:leader="dot" w:pos="8296"/>
          <w:tab w:val="right" w:leader="dot" w:pos="8494"/>
        </w:tabs>
        <w:spacing w:beforeLines="0" w:afterLines="0"/>
        <w:jc w:val="both"/>
        <w:rPr>
          <w:rFonts w:hint="eastAsia" w:ascii="方正黑体_GBK" w:hAnsi="方正黑体_GBK" w:eastAsia="方正黑体_GBK"/>
          <w:color w:val="auto"/>
          <w:kern w:val="2"/>
          <w:sz w:val="32"/>
          <w:lang w:val="zh-CN"/>
        </w:rPr>
      </w:pPr>
      <w:r>
        <w:rPr>
          <w:rFonts w:hint="eastAsia" w:ascii="方正黑体_GBK" w:hAnsi="方正黑体_GBK" w:eastAsia="方正黑体_GBK"/>
          <w:color w:val="auto"/>
          <w:kern w:val="2"/>
          <w:sz w:val="32"/>
          <w:lang w:val="zh-CN"/>
        </w:rPr>
        <w:fldChar w:fldCharType="begin"/>
      </w:r>
      <w:r>
        <w:rPr>
          <w:rFonts w:hint="eastAsia" w:ascii="方正黑体_GBK" w:hAnsi="方正黑体_GBK" w:eastAsia="方正黑体_GBK"/>
          <w:color w:val="auto"/>
          <w:kern w:val="2"/>
          <w:sz w:val="32"/>
          <w:lang w:val="zh-CN"/>
        </w:rPr>
        <w:instrText xml:space="preserve">HYPERLINK "\l "_Toc517272501" "</w:instrText>
      </w:r>
      <w:r>
        <w:rPr>
          <w:rFonts w:hint="eastAsia" w:ascii="方正黑体_GBK" w:hAnsi="方正黑体_GBK" w:eastAsia="方正黑体_GBK"/>
          <w:color w:val="auto"/>
          <w:kern w:val="2"/>
          <w:sz w:val="32"/>
          <w:lang w:val="zh-CN"/>
        </w:rPr>
        <w:fldChar w:fldCharType="separate"/>
      </w:r>
      <w:r>
        <w:rPr>
          <w:rFonts w:hint="eastAsia" w:ascii="方正黑体_GBK" w:hAnsi="方正黑体_GBK" w:eastAsia="方正黑体_GBK"/>
          <w:color w:val="auto"/>
          <w:kern w:val="2"/>
          <w:sz w:val="32"/>
          <w:u w:val="single"/>
          <w:lang w:val="zh-CN"/>
        </w:rPr>
        <w:t>一、总则</w:t>
      </w:r>
      <w:r>
        <w:rPr>
          <w:rFonts w:hint="eastAsia" w:ascii="方正黑体_GBK" w:hAnsi="方正黑体_GBK" w:eastAsia="方正黑体_GBK"/>
          <w:color w:val="auto"/>
          <w:kern w:val="2"/>
          <w:sz w:val="32"/>
          <w:lang w:val="zh-CN"/>
        </w:rPr>
        <w:tab/>
      </w:r>
      <w:r>
        <w:rPr>
          <w:rFonts w:hint="eastAsia" w:ascii="方正黑体_GBK" w:hAnsi="方正黑体_GBK" w:eastAsia="方正黑体_GBK"/>
          <w:color w:val="auto"/>
          <w:kern w:val="2"/>
          <w:sz w:val="32"/>
          <w:lang w:val="zh-CN"/>
        </w:rPr>
        <w:t>11</w:t>
      </w:r>
      <w:r>
        <w:rPr>
          <w:rFonts w:hint="eastAsia" w:ascii="方正黑体_GBK" w:hAnsi="方正黑体_GBK" w:eastAsia="方正黑体_GBK"/>
          <w:color w:val="auto"/>
          <w:kern w:val="2"/>
          <w:sz w:val="32"/>
          <w:lang w:val="zh-CN"/>
        </w:rPr>
        <w:fldChar w:fldCharType="end"/>
      </w:r>
    </w:p>
    <w:p w14:paraId="38748402">
      <w:pPr>
        <w:tabs>
          <w:tab w:val="right" w:leader="dot" w:pos="8296"/>
        </w:tabs>
        <w:spacing w:beforeLines="0" w:afterLines="0"/>
        <w:ind w:left="320"/>
        <w:jc w:val="both"/>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fldChar w:fldCharType="begin"/>
      </w:r>
      <w:r>
        <w:rPr>
          <w:rFonts w:hint="eastAsia" w:ascii="方正楷体_GBK" w:hAnsi="方正楷体_GBK" w:eastAsia="方正楷体_GBK"/>
          <w:color w:val="auto"/>
          <w:kern w:val="2"/>
          <w:sz w:val="32"/>
          <w:lang w:val="zh-CN"/>
        </w:rPr>
        <w:instrText xml:space="preserve">HYPERLINK "\l "_Toc517272502" "</w:instrText>
      </w:r>
      <w:r>
        <w:rPr>
          <w:rFonts w:hint="eastAsia" w:ascii="方正楷体_GBK" w:hAnsi="方正楷体_GBK" w:eastAsia="方正楷体_GBK"/>
          <w:color w:val="auto"/>
          <w:kern w:val="2"/>
          <w:sz w:val="32"/>
          <w:lang w:val="zh-CN"/>
        </w:rPr>
        <w:fldChar w:fldCharType="separate"/>
      </w:r>
      <w:r>
        <w:rPr>
          <w:rFonts w:hint="eastAsia" w:ascii="方正楷体_GBK" w:hAnsi="方正楷体_GBK" w:eastAsia="方正楷体_GBK"/>
          <w:color w:val="auto"/>
          <w:kern w:val="2"/>
          <w:sz w:val="32"/>
          <w:u w:val="single"/>
          <w:lang w:val="zh-CN"/>
        </w:rPr>
        <w:t>（一）指导思想</w:t>
      </w:r>
      <w:r>
        <w:rPr>
          <w:rFonts w:hint="eastAsia" w:ascii="方正楷体_GBK" w:hAnsi="方正楷体_GBK" w:eastAsia="方正楷体_GBK"/>
          <w:color w:val="auto"/>
          <w:kern w:val="2"/>
          <w:sz w:val="32"/>
          <w:lang w:val="zh-CN"/>
        </w:rPr>
        <w:tab/>
      </w:r>
      <w:r>
        <w:rPr>
          <w:rFonts w:hint="eastAsia" w:ascii="方正楷体_GBK" w:hAnsi="方正楷体_GBK" w:eastAsia="方正楷体_GBK"/>
          <w:color w:val="auto"/>
          <w:kern w:val="2"/>
          <w:sz w:val="32"/>
          <w:lang w:val="zh-CN"/>
        </w:rPr>
        <w:t>11</w:t>
      </w:r>
      <w:r>
        <w:rPr>
          <w:rFonts w:hint="eastAsia" w:ascii="方正楷体_GBK" w:hAnsi="方正楷体_GBK" w:eastAsia="方正楷体_GBK"/>
          <w:color w:val="auto"/>
          <w:kern w:val="2"/>
          <w:sz w:val="32"/>
          <w:lang w:val="zh-CN"/>
        </w:rPr>
        <w:fldChar w:fldCharType="end"/>
      </w:r>
    </w:p>
    <w:p w14:paraId="053F1D9E">
      <w:pPr>
        <w:tabs>
          <w:tab w:val="right" w:leader="dot" w:pos="8296"/>
        </w:tabs>
        <w:spacing w:beforeLines="0" w:afterLines="0"/>
        <w:ind w:left="320"/>
        <w:jc w:val="both"/>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fldChar w:fldCharType="begin"/>
      </w:r>
      <w:r>
        <w:rPr>
          <w:rFonts w:hint="eastAsia" w:ascii="方正楷体_GBK" w:hAnsi="方正楷体_GBK" w:eastAsia="方正楷体_GBK"/>
          <w:color w:val="auto"/>
          <w:kern w:val="2"/>
          <w:sz w:val="32"/>
          <w:lang w:val="zh-CN"/>
        </w:rPr>
        <w:instrText xml:space="preserve">HYPERLINK "\l "_Toc517272503" "</w:instrText>
      </w:r>
      <w:r>
        <w:rPr>
          <w:rFonts w:hint="eastAsia" w:ascii="方正楷体_GBK" w:hAnsi="方正楷体_GBK" w:eastAsia="方正楷体_GBK"/>
          <w:color w:val="auto"/>
          <w:kern w:val="2"/>
          <w:sz w:val="32"/>
          <w:lang w:val="zh-CN"/>
        </w:rPr>
        <w:fldChar w:fldCharType="separate"/>
      </w:r>
      <w:r>
        <w:rPr>
          <w:rFonts w:hint="eastAsia" w:ascii="方正楷体_GBK" w:hAnsi="方正楷体_GBK" w:eastAsia="方正楷体_GBK"/>
          <w:color w:val="auto"/>
          <w:kern w:val="2"/>
          <w:sz w:val="32"/>
          <w:u w:val="single"/>
          <w:lang w:val="zh-CN"/>
        </w:rPr>
        <w:t>（二）划分原则</w:t>
      </w:r>
      <w:r>
        <w:rPr>
          <w:rFonts w:hint="eastAsia" w:ascii="方正楷体_GBK" w:hAnsi="方正楷体_GBK" w:eastAsia="方正楷体_GBK"/>
          <w:color w:val="auto"/>
          <w:kern w:val="2"/>
          <w:sz w:val="32"/>
          <w:lang w:val="zh-CN"/>
        </w:rPr>
        <w:tab/>
      </w:r>
      <w:r>
        <w:rPr>
          <w:rFonts w:hint="eastAsia" w:ascii="方正楷体_GBK" w:hAnsi="方正楷体_GBK" w:eastAsia="方正楷体_GBK"/>
          <w:color w:val="auto"/>
          <w:kern w:val="2"/>
          <w:sz w:val="32"/>
          <w:lang w:val="zh-CN"/>
        </w:rPr>
        <w:t>11</w:t>
      </w:r>
      <w:r>
        <w:rPr>
          <w:rFonts w:hint="eastAsia" w:ascii="方正楷体_GBK" w:hAnsi="方正楷体_GBK" w:eastAsia="方正楷体_GBK"/>
          <w:color w:val="auto"/>
          <w:kern w:val="2"/>
          <w:sz w:val="32"/>
          <w:lang w:val="zh-CN"/>
        </w:rPr>
        <w:fldChar w:fldCharType="end"/>
      </w:r>
    </w:p>
    <w:p w14:paraId="3E89FE2F">
      <w:pPr>
        <w:tabs>
          <w:tab w:val="right" w:leader="dot" w:pos="8296"/>
        </w:tabs>
        <w:spacing w:beforeLines="0" w:afterLines="0"/>
        <w:ind w:left="320"/>
        <w:jc w:val="both"/>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fldChar w:fldCharType="begin"/>
      </w:r>
      <w:r>
        <w:rPr>
          <w:rFonts w:hint="eastAsia" w:ascii="方正楷体_GBK" w:hAnsi="方正楷体_GBK" w:eastAsia="方正楷体_GBK"/>
          <w:color w:val="auto"/>
          <w:kern w:val="2"/>
          <w:sz w:val="32"/>
          <w:lang w:val="zh-CN"/>
        </w:rPr>
        <w:instrText xml:space="preserve">HYPERLINK "\l "_Toc517272504" "</w:instrText>
      </w:r>
      <w:r>
        <w:rPr>
          <w:rFonts w:hint="eastAsia" w:ascii="方正楷体_GBK" w:hAnsi="方正楷体_GBK" w:eastAsia="方正楷体_GBK"/>
          <w:color w:val="auto"/>
          <w:kern w:val="2"/>
          <w:sz w:val="32"/>
          <w:lang w:val="zh-CN"/>
        </w:rPr>
        <w:fldChar w:fldCharType="separate"/>
      </w:r>
      <w:r>
        <w:rPr>
          <w:rFonts w:hint="eastAsia" w:ascii="方正楷体_GBK" w:hAnsi="方正楷体_GBK" w:eastAsia="方正楷体_GBK"/>
          <w:color w:val="auto"/>
          <w:kern w:val="2"/>
          <w:sz w:val="32"/>
          <w:u w:val="single"/>
          <w:lang w:val="zh-CN"/>
        </w:rPr>
        <w:t>（三）划分依据</w:t>
      </w:r>
      <w:r>
        <w:rPr>
          <w:rFonts w:hint="eastAsia" w:ascii="方正楷体_GBK" w:hAnsi="方正楷体_GBK" w:eastAsia="方正楷体_GBK"/>
          <w:color w:val="auto"/>
          <w:kern w:val="2"/>
          <w:sz w:val="32"/>
          <w:lang w:val="zh-CN"/>
        </w:rPr>
        <w:tab/>
      </w:r>
      <w:r>
        <w:rPr>
          <w:rFonts w:hint="eastAsia" w:ascii="方正楷体_GBK" w:hAnsi="方正楷体_GBK" w:eastAsia="方正楷体_GBK"/>
          <w:color w:val="auto"/>
          <w:kern w:val="2"/>
          <w:sz w:val="32"/>
          <w:lang w:val="zh-CN"/>
        </w:rPr>
        <w:t>12</w:t>
      </w:r>
      <w:r>
        <w:rPr>
          <w:rFonts w:hint="eastAsia" w:ascii="方正楷体_GBK" w:hAnsi="方正楷体_GBK" w:eastAsia="方正楷体_GBK"/>
          <w:color w:val="auto"/>
          <w:kern w:val="2"/>
          <w:sz w:val="32"/>
          <w:lang w:val="zh-CN"/>
        </w:rPr>
        <w:fldChar w:fldCharType="end"/>
      </w:r>
    </w:p>
    <w:p w14:paraId="08651DFE">
      <w:pPr>
        <w:tabs>
          <w:tab w:val="right" w:leader="dot" w:pos="8296"/>
        </w:tabs>
        <w:spacing w:beforeLines="0" w:afterLines="0"/>
        <w:ind w:left="320"/>
        <w:jc w:val="both"/>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fldChar w:fldCharType="begin"/>
      </w:r>
      <w:r>
        <w:rPr>
          <w:rFonts w:hint="eastAsia" w:ascii="方正楷体_GBK" w:hAnsi="方正楷体_GBK" w:eastAsia="方正楷体_GBK"/>
          <w:color w:val="auto"/>
          <w:kern w:val="2"/>
          <w:sz w:val="32"/>
          <w:lang w:val="zh-CN"/>
        </w:rPr>
        <w:instrText xml:space="preserve">HYPERLINK "\l "_Toc517272505" "</w:instrText>
      </w:r>
      <w:r>
        <w:rPr>
          <w:rFonts w:hint="eastAsia" w:ascii="方正楷体_GBK" w:hAnsi="方正楷体_GBK" w:eastAsia="方正楷体_GBK"/>
          <w:color w:val="auto"/>
          <w:kern w:val="2"/>
          <w:sz w:val="32"/>
          <w:lang w:val="zh-CN"/>
        </w:rPr>
        <w:fldChar w:fldCharType="separate"/>
      </w:r>
      <w:r>
        <w:rPr>
          <w:rFonts w:hint="eastAsia" w:ascii="方正楷体_GBK" w:hAnsi="方正楷体_GBK" w:eastAsia="方正楷体_GBK"/>
          <w:color w:val="auto"/>
          <w:kern w:val="2"/>
          <w:sz w:val="32"/>
          <w:u w:val="single"/>
          <w:lang w:val="zh-CN"/>
        </w:rPr>
        <w:t>（四）区划时限、范围</w:t>
      </w:r>
      <w:r>
        <w:rPr>
          <w:rFonts w:hint="eastAsia" w:ascii="方正楷体_GBK" w:hAnsi="方正楷体_GBK" w:eastAsia="方正楷体_GBK"/>
          <w:color w:val="auto"/>
          <w:kern w:val="2"/>
          <w:sz w:val="32"/>
          <w:lang w:val="zh-CN"/>
        </w:rPr>
        <w:tab/>
      </w:r>
      <w:r>
        <w:rPr>
          <w:rFonts w:hint="eastAsia" w:ascii="方正楷体_GBK" w:hAnsi="方正楷体_GBK" w:eastAsia="方正楷体_GBK"/>
          <w:color w:val="auto"/>
          <w:kern w:val="2"/>
          <w:sz w:val="32"/>
          <w:lang w:val="zh-CN"/>
        </w:rPr>
        <w:t>13</w:t>
      </w:r>
      <w:r>
        <w:rPr>
          <w:rFonts w:hint="eastAsia" w:ascii="方正楷体_GBK" w:hAnsi="方正楷体_GBK" w:eastAsia="方正楷体_GBK"/>
          <w:color w:val="auto"/>
          <w:kern w:val="2"/>
          <w:sz w:val="32"/>
          <w:lang w:val="zh-CN"/>
        </w:rPr>
        <w:fldChar w:fldCharType="end"/>
      </w:r>
    </w:p>
    <w:p w14:paraId="12BAEB2B">
      <w:pPr>
        <w:tabs>
          <w:tab w:val="right" w:leader="dot" w:pos="8296"/>
          <w:tab w:val="right" w:leader="dot" w:pos="8494"/>
        </w:tabs>
        <w:spacing w:beforeLines="0" w:afterLines="0"/>
        <w:jc w:val="both"/>
        <w:rPr>
          <w:rFonts w:hint="eastAsia" w:ascii="方正黑体_GBK" w:hAnsi="方正黑体_GBK" w:eastAsia="方正黑体_GBK"/>
          <w:color w:val="auto"/>
          <w:kern w:val="2"/>
          <w:sz w:val="32"/>
          <w:lang w:val="zh-CN"/>
        </w:rPr>
      </w:pPr>
      <w:r>
        <w:rPr>
          <w:rFonts w:hint="eastAsia" w:ascii="方正黑体_GBK" w:hAnsi="方正黑体_GBK" w:eastAsia="方正黑体_GBK"/>
          <w:color w:val="auto"/>
          <w:kern w:val="2"/>
          <w:sz w:val="32"/>
          <w:lang w:val="zh-CN"/>
        </w:rPr>
        <w:fldChar w:fldCharType="begin"/>
      </w:r>
      <w:r>
        <w:rPr>
          <w:rFonts w:hint="eastAsia" w:ascii="方正黑体_GBK" w:hAnsi="方正黑体_GBK" w:eastAsia="方正黑体_GBK"/>
          <w:color w:val="auto"/>
          <w:kern w:val="2"/>
          <w:sz w:val="32"/>
          <w:lang w:val="zh-CN"/>
        </w:rPr>
        <w:instrText xml:space="preserve">HYPERLINK "\l "_Toc517272506" "</w:instrText>
      </w:r>
      <w:r>
        <w:rPr>
          <w:rFonts w:hint="eastAsia" w:ascii="方正黑体_GBK" w:hAnsi="方正黑体_GBK" w:eastAsia="方正黑体_GBK"/>
          <w:color w:val="auto"/>
          <w:kern w:val="2"/>
          <w:sz w:val="32"/>
          <w:lang w:val="zh-CN"/>
        </w:rPr>
        <w:fldChar w:fldCharType="separate"/>
      </w:r>
      <w:r>
        <w:rPr>
          <w:rFonts w:hint="eastAsia" w:ascii="方正黑体_GBK" w:hAnsi="方正黑体_GBK" w:eastAsia="方正黑体_GBK"/>
          <w:color w:val="auto"/>
          <w:kern w:val="2"/>
          <w:sz w:val="32"/>
          <w:u w:val="single"/>
          <w:lang w:val="zh-CN"/>
        </w:rPr>
        <w:t>二、区划类型及声环境质量标准</w:t>
      </w:r>
      <w:r>
        <w:rPr>
          <w:rFonts w:hint="eastAsia" w:ascii="方正黑体_GBK" w:hAnsi="方正黑体_GBK" w:eastAsia="方正黑体_GBK"/>
          <w:color w:val="auto"/>
          <w:kern w:val="2"/>
          <w:sz w:val="32"/>
          <w:lang w:val="zh-CN"/>
        </w:rPr>
        <w:tab/>
      </w:r>
      <w:r>
        <w:rPr>
          <w:rFonts w:hint="eastAsia" w:ascii="方正黑体_GBK" w:hAnsi="方正黑体_GBK" w:eastAsia="方正黑体_GBK"/>
          <w:color w:val="auto"/>
          <w:kern w:val="2"/>
          <w:sz w:val="32"/>
          <w:lang w:val="zh-CN"/>
        </w:rPr>
        <w:t>13</w:t>
      </w:r>
      <w:r>
        <w:rPr>
          <w:rFonts w:hint="eastAsia" w:ascii="方正黑体_GBK" w:hAnsi="方正黑体_GBK" w:eastAsia="方正黑体_GBK"/>
          <w:color w:val="auto"/>
          <w:kern w:val="2"/>
          <w:sz w:val="32"/>
          <w:lang w:val="zh-CN"/>
        </w:rPr>
        <w:fldChar w:fldCharType="end"/>
      </w:r>
    </w:p>
    <w:p w14:paraId="10637CEA">
      <w:pPr>
        <w:tabs>
          <w:tab w:val="right" w:leader="dot" w:pos="8296"/>
          <w:tab w:val="right" w:leader="dot" w:pos="8494"/>
        </w:tabs>
        <w:spacing w:beforeLines="0" w:afterLines="0"/>
        <w:jc w:val="both"/>
        <w:rPr>
          <w:rFonts w:hint="eastAsia" w:ascii="方正黑体_GBK" w:hAnsi="方正黑体_GBK" w:eastAsia="方正黑体_GBK"/>
          <w:color w:val="auto"/>
          <w:kern w:val="2"/>
          <w:sz w:val="32"/>
          <w:lang w:val="zh-CN"/>
        </w:rPr>
      </w:pPr>
      <w:r>
        <w:rPr>
          <w:rFonts w:hint="eastAsia" w:ascii="方正黑体_GBK" w:hAnsi="方正黑体_GBK" w:eastAsia="方正黑体_GBK"/>
          <w:color w:val="auto"/>
          <w:kern w:val="2"/>
          <w:sz w:val="32"/>
          <w:lang w:val="zh-CN"/>
        </w:rPr>
        <w:fldChar w:fldCharType="begin"/>
      </w:r>
      <w:r>
        <w:rPr>
          <w:rFonts w:hint="eastAsia" w:ascii="方正黑体_GBK" w:hAnsi="方正黑体_GBK" w:eastAsia="方正黑体_GBK"/>
          <w:color w:val="auto"/>
          <w:kern w:val="2"/>
          <w:sz w:val="32"/>
          <w:lang w:val="zh-CN"/>
        </w:rPr>
        <w:instrText xml:space="preserve">HYPERLINK "\l "_Toc517272507" "</w:instrText>
      </w:r>
      <w:r>
        <w:rPr>
          <w:rFonts w:hint="eastAsia" w:ascii="方正黑体_GBK" w:hAnsi="方正黑体_GBK" w:eastAsia="方正黑体_GBK"/>
          <w:color w:val="auto"/>
          <w:kern w:val="2"/>
          <w:sz w:val="32"/>
          <w:lang w:val="zh-CN"/>
        </w:rPr>
        <w:fldChar w:fldCharType="separate"/>
      </w:r>
      <w:r>
        <w:rPr>
          <w:rFonts w:hint="eastAsia" w:ascii="方正黑体_GBK" w:hAnsi="方正黑体_GBK" w:eastAsia="方正黑体_GBK"/>
          <w:color w:val="auto"/>
          <w:kern w:val="2"/>
          <w:sz w:val="32"/>
          <w:u w:val="single"/>
          <w:lang w:val="zh-CN"/>
        </w:rPr>
        <w:t>三、区划步骤</w:t>
      </w:r>
      <w:r>
        <w:rPr>
          <w:rFonts w:hint="eastAsia" w:ascii="方正黑体_GBK" w:hAnsi="方正黑体_GBK" w:eastAsia="方正黑体_GBK"/>
          <w:color w:val="auto"/>
          <w:kern w:val="2"/>
          <w:sz w:val="32"/>
          <w:lang w:val="zh-CN"/>
        </w:rPr>
        <w:tab/>
      </w:r>
      <w:r>
        <w:rPr>
          <w:rFonts w:hint="eastAsia" w:ascii="方正黑体_GBK" w:hAnsi="方正黑体_GBK" w:eastAsia="方正黑体_GBK"/>
          <w:color w:val="auto"/>
          <w:kern w:val="2"/>
          <w:sz w:val="32"/>
          <w:lang w:val="zh-CN"/>
        </w:rPr>
        <w:t>15</w:t>
      </w:r>
      <w:r>
        <w:rPr>
          <w:rFonts w:hint="eastAsia" w:ascii="方正黑体_GBK" w:hAnsi="方正黑体_GBK" w:eastAsia="方正黑体_GBK"/>
          <w:color w:val="auto"/>
          <w:kern w:val="2"/>
          <w:sz w:val="32"/>
          <w:lang w:val="zh-CN"/>
        </w:rPr>
        <w:fldChar w:fldCharType="end"/>
      </w:r>
    </w:p>
    <w:p w14:paraId="5AF6C6D0">
      <w:pPr>
        <w:tabs>
          <w:tab w:val="right" w:leader="dot" w:pos="8296"/>
        </w:tabs>
        <w:spacing w:beforeLines="0" w:afterLines="0"/>
        <w:ind w:left="320"/>
        <w:jc w:val="both"/>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fldChar w:fldCharType="begin"/>
      </w:r>
      <w:r>
        <w:rPr>
          <w:rFonts w:hint="eastAsia" w:ascii="方正楷体_GBK" w:hAnsi="方正楷体_GBK" w:eastAsia="方正楷体_GBK"/>
          <w:color w:val="auto"/>
          <w:kern w:val="2"/>
          <w:sz w:val="32"/>
          <w:lang w:val="zh-CN"/>
        </w:rPr>
        <w:instrText xml:space="preserve">HYPERLINK "\l "_Toc517272508" "</w:instrText>
      </w:r>
      <w:r>
        <w:rPr>
          <w:rFonts w:hint="eastAsia" w:ascii="方正楷体_GBK" w:hAnsi="方正楷体_GBK" w:eastAsia="方正楷体_GBK"/>
          <w:color w:val="auto"/>
          <w:kern w:val="2"/>
          <w:sz w:val="32"/>
          <w:lang w:val="zh-CN"/>
        </w:rPr>
        <w:fldChar w:fldCharType="separate"/>
      </w:r>
      <w:r>
        <w:rPr>
          <w:rFonts w:hint="eastAsia" w:ascii="方正楷体_GBK" w:hAnsi="方正楷体_GBK" w:eastAsia="方正楷体_GBK"/>
          <w:color w:val="auto"/>
          <w:kern w:val="2"/>
          <w:sz w:val="32"/>
          <w:u w:val="single"/>
          <w:lang w:val="zh-CN"/>
        </w:rPr>
        <w:t>（一）基础数据入库</w:t>
      </w:r>
      <w:r>
        <w:rPr>
          <w:rFonts w:hint="eastAsia" w:ascii="方正楷体_GBK" w:hAnsi="方正楷体_GBK" w:eastAsia="方正楷体_GBK"/>
          <w:color w:val="auto"/>
          <w:kern w:val="2"/>
          <w:sz w:val="32"/>
          <w:lang w:val="zh-CN"/>
        </w:rPr>
        <w:tab/>
      </w:r>
      <w:r>
        <w:rPr>
          <w:rFonts w:hint="eastAsia" w:ascii="方正楷体_GBK" w:hAnsi="方正楷体_GBK" w:eastAsia="方正楷体_GBK"/>
          <w:color w:val="auto"/>
          <w:kern w:val="2"/>
          <w:sz w:val="32"/>
          <w:lang w:val="zh-CN"/>
        </w:rPr>
        <w:t>15</w:t>
      </w:r>
      <w:r>
        <w:rPr>
          <w:rFonts w:hint="eastAsia" w:ascii="方正楷体_GBK" w:hAnsi="方正楷体_GBK" w:eastAsia="方正楷体_GBK"/>
          <w:color w:val="auto"/>
          <w:kern w:val="2"/>
          <w:sz w:val="32"/>
          <w:lang w:val="zh-CN"/>
        </w:rPr>
        <w:fldChar w:fldCharType="end"/>
      </w:r>
    </w:p>
    <w:p w14:paraId="4A81A43C">
      <w:pPr>
        <w:tabs>
          <w:tab w:val="right" w:leader="dot" w:pos="8296"/>
        </w:tabs>
        <w:spacing w:beforeLines="0" w:afterLines="0"/>
        <w:ind w:left="320"/>
        <w:jc w:val="both"/>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fldChar w:fldCharType="begin"/>
      </w:r>
      <w:r>
        <w:rPr>
          <w:rFonts w:hint="eastAsia" w:ascii="方正楷体_GBK" w:hAnsi="方正楷体_GBK" w:eastAsia="方正楷体_GBK"/>
          <w:color w:val="auto"/>
          <w:kern w:val="2"/>
          <w:sz w:val="32"/>
          <w:lang w:val="zh-CN"/>
        </w:rPr>
        <w:instrText xml:space="preserve">HYPERLINK "\l "_Toc517272509" "</w:instrText>
      </w:r>
      <w:r>
        <w:rPr>
          <w:rFonts w:hint="eastAsia" w:ascii="方正楷体_GBK" w:hAnsi="方正楷体_GBK" w:eastAsia="方正楷体_GBK"/>
          <w:color w:val="auto"/>
          <w:kern w:val="2"/>
          <w:sz w:val="32"/>
          <w:lang w:val="zh-CN"/>
        </w:rPr>
        <w:fldChar w:fldCharType="separate"/>
      </w:r>
      <w:r>
        <w:rPr>
          <w:rFonts w:hint="eastAsia" w:ascii="方正楷体_GBK" w:hAnsi="方正楷体_GBK" w:eastAsia="方正楷体_GBK"/>
          <w:color w:val="auto"/>
          <w:kern w:val="2"/>
          <w:sz w:val="32"/>
          <w:u w:val="single"/>
          <w:lang w:val="zh-CN"/>
        </w:rPr>
        <w:t>（二）划分噪声区划单元</w:t>
      </w:r>
      <w:r>
        <w:rPr>
          <w:rFonts w:hint="eastAsia" w:ascii="方正楷体_GBK" w:hAnsi="方正楷体_GBK" w:eastAsia="方正楷体_GBK"/>
          <w:color w:val="auto"/>
          <w:kern w:val="2"/>
          <w:sz w:val="32"/>
          <w:lang w:val="zh-CN"/>
        </w:rPr>
        <w:tab/>
      </w:r>
      <w:r>
        <w:rPr>
          <w:rFonts w:hint="eastAsia" w:ascii="方正楷体_GBK" w:hAnsi="方正楷体_GBK" w:eastAsia="方正楷体_GBK"/>
          <w:color w:val="auto"/>
          <w:kern w:val="2"/>
          <w:sz w:val="32"/>
          <w:lang w:val="zh-CN"/>
        </w:rPr>
        <w:t>15</w:t>
      </w:r>
      <w:r>
        <w:rPr>
          <w:rFonts w:hint="eastAsia" w:ascii="方正楷体_GBK" w:hAnsi="方正楷体_GBK" w:eastAsia="方正楷体_GBK"/>
          <w:color w:val="auto"/>
          <w:kern w:val="2"/>
          <w:sz w:val="32"/>
          <w:lang w:val="zh-CN"/>
        </w:rPr>
        <w:fldChar w:fldCharType="end"/>
      </w:r>
    </w:p>
    <w:p w14:paraId="3BEC8463">
      <w:pPr>
        <w:tabs>
          <w:tab w:val="right" w:leader="dot" w:pos="8296"/>
        </w:tabs>
        <w:spacing w:beforeLines="0" w:afterLines="0"/>
        <w:ind w:left="320"/>
        <w:jc w:val="both"/>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fldChar w:fldCharType="begin"/>
      </w:r>
      <w:r>
        <w:rPr>
          <w:rFonts w:hint="eastAsia" w:ascii="方正楷体_GBK" w:hAnsi="方正楷体_GBK" w:eastAsia="方正楷体_GBK"/>
          <w:color w:val="auto"/>
          <w:kern w:val="2"/>
          <w:sz w:val="32"/>
          <w:lang w:val="zh-CN"/>
        </w:rPr>
        <w:instrText xml:space="preserve">HYPERLINK "\l "_Toc517272510" "</w:instrText>
      </w:r>
      <w:r>
        <w:rPr>
          <w:rFonts w:hint="eastAsia" w:ascii="方正楷体_GBK" w:hAnsi="方正楷体_GBK" w:eastAsia="方正楷体_GBK"/>
          <w:color w:val="auto"/>
          <w:kern w:val="2"/>
          <w:sz w:val="32"/>
          <w:lang w:val="zh-CN"/>
        </w:rPr>
        <w:fldChar w:fldCharType="separate"/>
      </w:r>
      <w:r>
        <w:rPr>
          <w:rFonts w:hint="eastAsia" w:ascii="方正楷体_GBK" w:hAnsi="方正楷体_GBK" w:eastAsia="方正楷体_GBK"/>
          <w:color w:val="auto"/>
          <w:kern w:val="2"/>
          <w:sz w:val="32"/>
          <w:u w:val="single"/>
          <w:lang w:val="zh-CN"/>
        </w:rPr>
        <w:t>（三）确定声环境功能区类型</w:t>
      </w:r>
      <w:r>
        <w:rPr>
          <w:rFonts w:hint="eastAsia" w:ascii="方正楷体_GBK" w:hAnsi="方正楷体_GBK" w:eastAsia="方正楷体_GBK"/>
          <w:color w:val="auto"/>
          <w:kern w:val="2"/>
          <w:sz w:val="32"/>
          <w:lang w:val="zh-CN"/>
        </w:rPr>
        <w:tab/>
      </w:r>
      <w:r>
        <w:rPr>
          <w:rFonts w:hint="eastAsia" w:ascii="方正楷体_GBK" w:hAnsi="方正楷体_GBK" w:eastAsia="方正楷体_GBK"/>
          <w:color w:val="auto"/>
          <w:kern w:val="2"/>
          <w:sz w:val="32"/>
          <w:lang w:val="zh-CN"/>
        </w:rPr>
        <w:t>15</w:t>
      </w:r>
      <w:r>
        <w:rPr>
          <w:rFonts w:hint="eastAsia" w:ascii="方正楷体_GBK" w:hAnsi="方正楷体_GBK" w:eastAsia="方正楷体_GBK"/>
          <w:color w:val="auto"/>
          <w:kern w:val="2"/>
          <w:sz w:val="32"/>
          <w:lang w:val="zh-CN"/>
        </w:rPr>
        <w:fldChar w:fldCharType="end"/>
      </w:r>
    </w:p>
    <w:p w14:paraId="20637DF8">
      <w:pPr>
        <w:tabs>
          <w:tab w:val="right" w:leader="dot" w:pos="8296"/>
        </w:tabs>
        <w:spacing w:beforeLines="0" w:afterLines="0"/>
        <w:ind w:left="320"/>
        <w:jc w:val="both"/>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fldChar w:fldCharType="begin"/>
      </w:r>
      <w:r>
        <w:rPr>
          <w:rFonts w:hint="eastAsia" w:ascii="方正楷体_GBK" w:hAnsi="方正楷体_GBK" w:eastAsia="方正楷体_GBK"/>
          <w:color w:val="auto"/>
          <w:kern w:val="2"/>
          <w:sz w:val="32"/>
          <w:lang w:val="zh-CN"/>
        </w:rPr>
        <w:instrText xml:space="preserve">HYPERLINK "\l "_Toc517272511" "</w:instrText>
      </w:r>
      <w:r>
        <w:rPr>
          <w:rFonts w:hint="eastAsia" w:ascii="方正楷体_GBK" w:hAnsi="方正楷体_GBK" w:eastAsia="方正楷体_GBK"/>
          <w:color w:val="auto"/>
          <w:kern w:val="2"/>
          <w:sz w:val="32"/>
          <w:lang w:val="zh-CN"/>
        </w:rPr>
        <w:fldChar w:fldCharType="separate"/>
      </w:r>
      <w:r>
        <w:rPr>
          <w:rFonts w:hint="eastAsia" w:ascii="方正楷体_GBK" w:hAnsi="方正楷体_GBK" w:eastAsia="方正楷体_GBK"/>
          <w:color w:val="auto"/>
          <w:kern w:val="2"/>
          <w:sz w:val="32"/>
          <w:u w:val="single"/>
          <w:lang w:val="zh-CN"/>
        </w:rPr>
        <w:t>（四）综合分析</w:t>
      </w:r>
      <w:r>
        <w:rPr>
          <w:rFonts w:hint="eastAsia" w:ascii="方正楷体_GBK" w:hAnsi="方正楷体_GBK" w:eastAsia="方正楷体_GBK"/>
          <w:color w:val="auto"/>
          <w:kern w:val="2"/>
          <w:sz w:val="32"/>
          <w:lang w:val="zh-CN"/>
        </w:rPr>
        <w:tab/>
      </w:r>
      <w:r>
        <w:rPr>
          <w:rFonts w:hint="eastAsia" w:ascii="方正楷体_GBK" w:hAnsi="方正楷体_GBK" w:eastAsia="方正楷体_GBK"/>
          <w:color w:val="auto"/>
          <w:kern w:val="2"/>
          <w:sz w:val="32"/>
          <w:lang w:val="zh-CN"/>
        </w:rPr>
        <w:t>16</w:t>
      </w:r>
      <w:r>
        <w:rPr>
          <w:rFonts w:hint="eastAsia" w:ascii="方正楷体_GBK" w:hAnsi="方正楷体_GBK" w:eastAsia="方正楷体_GBK"/>
          <w:color w:val="auto"/>
          <w:kern w:val="2"/>
          <w:sz w:val="32"/>
          <w:lang w:val="zh-CN"/>
        </w:rPr>
        <w:fldChar w:fldCharType="end"/>
      </w:r>
    </w:p>
    <w:p w14:paraId="1750C3C7">
      <w:pPr>
        <w:tabs>
          <w:tab w:val="right" w:leader="dot" w:pos="8296"/>
        </w:tabs>
        <w:spacing w:beforeLines="0" w:afterLines="0"/>
        <w:ind w:left="320"/>
        <w:jc w:val="both"/>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fldChar w:fldCharType="begin"/>
      </w:r>
      <w:r>
        <w:rPr>
          <w:rFonts w:hint="eastAsia" w:ascii="方正楷体_GBK" w:hAnsi="方正楷体_GBK" w:eastAsia="方正楷体_GBK"/>
          <w:color w:val="auto"/>
          <w:kern w:val="2"/>
          <w:sz w:val="32"/>
          <w:lang w:val="zh-CN"/>
        </w:rPr>
        <w:instrText xml:space="preserve">HYPERLINK "\l "_Toc517272512" "</w:instrText>
      </w:r>
      <w:r>
        <w:rPr>
          <w:rFonts w:hint="eastAsia" w:ascii="方正楷体_GBK" w:hAnsi="方正楷体_GBK" w:eastAsia="方正楷体_GBK"/>
          <w:color w:val="auto"/>
          <w:kern w:val="2"/>
          <w:sz w:val="32"/>
          <w:lang w:val="zh-CN"/>
        </w:rPr>
        <w:fldChar w:fldCharType="separate"/>
      </w:r>
      <w:r>
        <w:rPr>
          <w:rFonts w:hint="eastAsia" w:ascii="方正楷体_GBK" w:hAnsi="方正楷体_GBK" w:eastAsia="方正楷体_GBK"/>
          <w:color w:val="auto"/>
          <w:kern w:val="2"/>
          <w:sz w:val="32"/>
          <w:u w:val="single"/>
          <w:lang w:val="zh-CN"/>
        </w:rPr>
        <w:t>（五）现场踏勘与优化</w:t>
      </w:r>
      <w:r>
        <w:rPr>
          <w:rFonts w:hint="eastAsia" w:ascii="方正楷体_GBK" w:hAnsi="方正楷体_GBK" w:eastAsia="方正楷体_GBK"/>
          <w:color w:val="auto"/>
          <w:kern w:val="2"/>
          <w:sz w:val="32"/>
          <w:lang w:val="zh-CN"/>
        </w:rPr>
        <w:tab/>
      </w:r>
      <w:r>
        <w:rPr>
          <w:rFonts w:hint="eastAsia" w:ascii="方正楷体_GBK" w:hAnsi="方正楷体_GBK" w:eastAsia="方正楷体_GBK"/>
          <w:color w:val="auto"/>
          <w:kern w:val="2"/>
          <w:sz w:val="32"/>
          <w:lang w:val="zh-CN"/>
        </w:rPr>
        <w:t>16</w:t>
      </w:r>
      <w:r>
        <w:rPr>
          <w:rFonts w:hint="eastAsia" w:ascii="方正楷体_GBK" w:hAnsi="方正楷体_GBK" w:eastAsia="方正楷体_GBK"/>
          <w:color w:val="auto"/>
          <w:kern w:val="2"/>
          <w:sz w:val="32"/>
          <w:lang w:val="zh-CN"/>
        </w:rPr>
        <w:fldChar w:fldCharType="end"/>
      </w:r>
    </w:p>
    <w:p w14:paraId="0C4101E5">
      <w:pPr>
        <w:tabs>
          <w:tab w:val="right" w:leader="dot" w:pos="8296"/>
        </w:tabs>
        <w:spacing w:beforeLines="0" w:afterLines="0"/>
        <w:ind w:left="320"/>
        <w:jc w:val="both"/>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fldChar w:fldCharType="begin"/>
      </w:r>
      <w:r>
        <w:rPr>
          <w:rFonts w:hint="eastAsia" w:ascii="方正楷体_GBK" w:hAnsi="方正楷体_GBK" w:eastAsia="方正楷体_GBK"/>
          <w:color w:val="auto"/>
          <w:kern w:val="2"/>
          <w:sz w:val="32"/>
          <w:lang w:val="zh-CN"/>
        </w:rPr>
        <w:instrText xml:space="preserve">HYPERLINK "\l "_Toc517272513" "</w:instrText>
      </w:r>
      <w:r>
        <w:rPr>
          <w:rFonts w:hint="eastAsia" w:ascii="方正楷体_GBK" w:hAnsi="方正楷体_GBK" w:eastAsia="方正楷体_GBK"/>
          <w:color w:val="auto"/>
          <w:kern w:val="2"/>
          <w:sz w:val="32"/>
          <w:lang w:val="zh-CN"/>
        </w:rPr>
        <w:fldChar w:fldCharType="separate"/>
      </w:r>
      <w:r>
        <w:rPr>
          <w:rFonts w:hint="eastAsia" w:ascii="方正楷体_GBK" w:hAnsi="方正楷体_GBK" w:eastAsia="方正楷体_GBK"/>
          <w:color w:val="auto"/>
          <w:kern w:val="2"/>
          <w:sz w:val="32"/>
          <w:u w:val="single"/>
          <w:lang w:val="zh-CN"/>
        </w:rPr>
        <w:t>（六）综合制图</w:t>
      </w:r>
      <w:r>
        <w:rPr>
          <w:rFonts w:hint="eastAsia" w:ascii="方正楷体_GBK" w:hAnsi="方正楷体_GBK" w:eastAsia="方正楷体_GBK"/>
          <w:color w:val="auto"/>
          <w:kern w:val="2"/>
          <w:sz w:val="32"/>
          <w:lang w:val="zh-CN"/>
        </w:rPr>
        <w:tab/>
      </w:r>
      <w:r>
        <w:rPr>
          <w:rFonts w:hint="eastAsia" w:ascii="方正楷体_GBK" w:hAnsi="方正楷体_GBK" w:eastAsia="方正楷体_GBK"/>
          <w:color w:val="auto"/>
          <w:kern w:val="2"/>
          <w:sz w:val="32"/>
          <w:lang w:val="zh-CN"/>
        </w:rPr>
        <w:t>16</w:t>
      </w:r>
      <w:r>
        <w:rPr>
          <w:rFonts w:hint="eastAsia" w:ascii="方正楷体_GBK" w:hAnsi="方正楷体_GBK" w:eastAsia="方正楷体_GBK"/>
          <w:color w:val="auto"/>
          <w:kern w:val="2"/>
          <w:sz w:val="32"/>
          <w:lang w:val="zh-CN"/>
        </w:rPr>
        <w:fldChar w:fldCharType="end"/>
      </w:r>
    </w:p>
    <w:p w14:paraId="4EE45F8E">
      <w:pPr>
        <w:tabs>
          <w:tab w:val="right" w:leader="dot" w:pos="8296"/>
          <w:tab w:val="right" w:leader="dot" w:pos="8494"/>
        </w:tabs>
        <w:spacing w:beforeLines="0" w:afterLines="0"/>
        <w:jc w:val="both"/>
        <w:rPr>
          <w:rFonts w:hint="eastAsia" w:ascii="方正黑体_GBK" w:hAnsi="方正黑体_GBK" w:eastAsia="方正黑体_GBK"/>
          <w:color w:val="auto"/>
          <w:kern w:val="2"/>
          <w:sz w:val="32"/>
          <w:lang w:val="zh-CN"/>
        </w:rPr>
      </w:pPr>
      <w:r>
        <w:rPr>
          <w:rFonts w:hint="eastAsia" w:ascii="方正黑体_GBK" w:hAnsi="方正黑体_GBK" w:eastAsia="方正黑体_GBK"/>
          <w:color w:val="auto"/>
          <w:kern w:val="2"/>
          <w:sz w:val="32"/>
          <w:lang w:val="zh-CN"/>
        </w:rPr>
        <w:fldChar w:fldCharType="begin"/>
      </w:r>
      <w:r>
        <w:rPr>
          <w:rFonts w:hint="eastAsia" w:ascii="方正黑体_GBK" w:hAnsi="方正黑体_GBK" w:eastAsia="方正黑体_GBK"/>
          <w:color w:val="auto"/>
          <w:kern w:val="2"/>
          <w:sz w:val="32"/>
          <w:lang w:val="zh-CN"/>
        </w:rPr>
        <w:instrText xml:space="preserve">HYPERLINK "\l "_Toc517272514" "</w:instrText>
      </w:r>
      <w:r>
        <w:rPr>
          <w:rFonts w:hint="eastAsia" w:ascii="方正黑体_GBK" w:hAnsi="方正黑体_GBK" w:eastAsia="方正黑体_GBK"/>
          <w:color w:val="auto"/>
          <w:kern w:val="2"/>
          <w:sz w:val="32"/>
          <w:lang w:val="zh-CN"/>
        </w:rPr>
        <w:fldChar w:fldCharType="separate"/>
      </w:r>
      <w:r>
        <w:rPr>
          <w:rFonts w:hint="eastAsia" w:ascii="方正黑体_GBK" w:hAnsi="方正黑体_GBK" w:eastAsia="方正黑体_GBK"/>
          <w:color w:val="auto"/>
          <w:kern w:val="2"/>
          <w:sz w:val="32"/>
          <w:u w:val="single"/>
          <w:lang w:val="zh-CN"/>
        </w:rPr>
        <w:t>四、荣昌城区声环境功能区划分结果</w:t>
      </w:r>
      <w:r>
        <w:rPr>
          <w:rFonts w:hint="eastAsia" w:ascii="方正黑体_GBK" w:hAnsi="方正黑体_GBK" w:eastAsia="方正黑体_GBK"/>
          <w:color w:val="auto"/>
          <w:kern w:val="2"/>
          <w:sz w:val="32"/>
          <w:lang w:val="zh-CN"/>
        </w:rPr>
        <w:tab/>
      </w:r>
      <w:r>
        <w:rPr>
          <w:rFonts w:hint="eastAsia" w:ascii="方正黑体_GBK" w:hAnsi="方正黑体_GBK" w:eastAsia="方正黑体_GBK"/>
          <w:color w:val="auto"/>
          <w:kern w:val="2"/>
          <w:sz w:val="32"/>
          <w:lang w:val="zh-CN"/>
        </w:rPr>
        <w:t>17</w:t>
      </w:r>
      <w:r>
        <w:rPr>
          <w:rFonts w:hint="eastAsia" w:ascii="方正黑体_GBK" w:hAnsi="方正黑体_GBK" w:eastAsia="方正黑体_GBK"/>
          <w:color w:val="auto"/>
          <w:kern w:val="2"/>
          <w:sz w:val="32"/>
          <w:lang w:val="zh-CN"/>
        </w:rPr>
        <w:fldChar w:fldCharType="end"/>
      </w:r>
    </w:p>
    <w:p w14:paraId="549C2A0B">
      <w:pPr>
        <w:tabs>
          <w:tab w:val="right" w:leader="dot" w:pos="8296"/>
        </w:tabs>
        <w:spacing w:beforeLines="0" w:afterLines="0"/>
        <w:ind w:left="320"/>
        <w:jc w:val="both"/>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fldChar w:fldCharType="begin"/>
      </w:r>
      <w:r>
        <w:rPr>
          <w:rFonts w:hint="eastAsia" w:ascii="方正楷体_GBK" w:hAnsi="方正楷体_GBK" w:eastAsia="方正楷体_GBK"/>
          <w:color w:val="auto"/>
          <w:kern w:val="2"/>
          <w:sz w:val="32"/>
          <w:lang w:val="zh-CN"/>
        </w:rPr>
        <w:instrText xml:space="preserve">HYPERLINK "\l "_Toc517272515" "</w:instrText>
      </w:r>
      <w:r>
        <w:rPr>
          <w:rFonts w:hint="eastAsia" w:ascii="方正楷体_GBK" w:hAnsi="方正楷体_GBK" w:eastAsia="方正楷体_GBK"/>
          <w:color w:val="auto"/>
          <w:kern w:val="2"/>
          <w:sz w:val="32"/>
          <w:lang w:val="zh-CN"/>
        </w:rPr>
        <w:fldChar w:fldCharType="separate"/>
      </w:r>
      <w:r>
        <w:rPr>
          <w:rFonts w:hint="eastAsia" w:ascii="方正楷体_GBK" w:hAnsi="方正楷体_GBK" w:eastAsia="方正楷体_GBK"/>
          <w:color w:val="auto"/>
          <w:kern w:val="2"/>
          <w:sz w:val="32"/>
          <w:u w:val="single"/>
          <w:lang w:val="zh-CN"/>
        </w:rPr>
        <w:t>（一）1类、2类和3类声环境功能区划分结果</w:t>
      </w:r>
      <w:r>
        <w:rPr>
          <w:rFonts w:hint="eastAsia" w:ascii="方正楷体_GBK" w:hAnsi="方正楷体_GBK" w:eastAsia="方正楷体_GBK"/>
          <w:color w:val="auto"/>
          <w:kern w:val="2"/>
          <w:sz w:val="32"/>
          <w:lang w:val="zh-CN"/>
        </w:rPr>
        <w:tab/>
      </w:r>
      <w:r>
        <w:rPr>
          <w:rFonts w:hint="eastAsia" w:ascii="方正楷体_GBK" w:hAnsi="方正楷体_GBK" w:eastAsia="方正楷体_GBK"/>
          <w:color w:val="auto"/>
          <w:kern w:val="2"/>
          <w:sz w:val="32"/>
          <w:lang w:val="zh-CN"/>
        </w:rPr>
        <w:t>17</w:t>
      </w:r>
      <w:r>
        <w:rPr>
          <w:rFonts w:hint="eastAsia" w:ascii="方正楷体_GBK" w:hAnsi="方正楷体_GBK" w:eastAsia="方正楷体_GBK"/>
          <w:color w:val="auto"/>
          <w:kern w:val="2"/>
          <w:sz w:val="32"/>
          <w:lang w:val="zh-CN"/>
        </w:rPr>
        <w:fldChar w:fldCharType="end"/>
      </w:r>
    </w:p>
    <w:p w14:paraId="2DBCDB26">
      <w:pPr>
        <w:tabs>
          <w:tab w:val="right" w:leader="dot" w:pos="8296"/>
        </w:tabs>
        <w:spacing w:beforeLines="0" w:afterLines="0"/>
        <w:ind w:left="320"/>
        <w:jc w:val="both"/>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fldChar w:fldCharType="begin"/>
      </w:r>
      <w:r>
        <w:rPr>
          <w:rFonts w:hint="eastAsia" w:ascii="方正楷体_GBK" w:hAnsi="方正楷体_GBK" w:eastAsia="方正楷体_GBK"/>
          <w:color w:val="auto"/>
          <w:kern w:val="2"/>
          <w:sz w:val="32"/>
          <w:lang w:val="zh-CN"/>
        </w:rPr>
        <w:instrText xml:space="preserve">HYPERLINK "\l "_Toc517272516" "</w:instrText>
      </w:r>
      <w:r>
        <w:rPr>
          <w:rFonts w:hint="eastAsia" w:ascii="方正楷体_GBK" w:hAnsi="方正楷体_GBK" w:eastAsia="方正楷体_GBK"/>
          <w:color w:val="auto"/>
          <w:kern w:val="2"/>
          <w:sz w:val="32"/>
          <w:lang w:val="zh-CN"/>
        </w:rPr>
        <w:fldChar w:fldCharType="separate"/>
      </w:r>
      <w:r>
        <w:rPr>
          <w:rFonts w:hint="eastAsia" w:ascii="方正楷体_GBK" w:hAnsi="方正楷体_GBK" w:eastAsia="方正楷体_GBK"/>
          <w:color w:val="auto"/>
          <w:kern w:val="2"/>
          <w:sz w:val="32"/>
          <w:u w:val="single"/>
          <w:lang w:val="zh-CN"/>
        </w:rPr>
        <w:t>（二）4类声环境功能区划分结果</w:t>
      </w:r>
      <w:r>
        <w:rPr>
          <w:rFonts w:hint="eastAsia" w:ascii="方正楷体_GBK" w:hAnsi="方正楷体_GBK" w:eastAsia="方正楷体_GBK"/>
          <w:color w:val="auto"/>
          <w:kern w:val="2"/>
          <w:sz w:val="32"/>
          <w:lang w:val="zh-CN"/>
        </w:rPr>
        <w:tab/>
      </w:r>
      <w:r>
        <w:rPr>
          <w:rFonts w:hint="eastAsia" w:ascii="方正楷体_GBK" w:hAnsi="方正楷体_GBK" w:eastAsia="方正楷体_GBK"/>
          <w:color w:val="auto"/>
          <w:kern w:val="2"/>
          <w:sz w:val="32"/>
          <w:lang w:val="zh-CN"/>
        </w:rPr>
        <w:t>20</w:t>
      </w:r>
      <w:r>
        <w:rPr>
          <w:rFonts w:hint="eastAsia" w:ascii="方正楷体_GBK" w:hAnsi="方正楷体_GBK" w:eastAsia="方正楷体_GBK"/>
          <w:color w:val="auto"/>
          <w:kern w:val="2"/>
          <w:sz w:val="32"/>
          <w:lang w:val="zh-CN"/>
        </w:rPr>
        <w:fldChar w:fldCharType="end"/>
      </w:r>
    </w:p>
    <w:p w14:paraId="41160947">
      <w:pPr>
        <w:tabs>
          <w:tab w:val="right" w:leader="dot" w:pos="8296"/>
          <w:tab w:val="right" w:leader="dot" w:pos="8494"/>
        </w:tabs>
        <w:spacing w:beforeLines="0" w:afterLines="0"/>
        <w:jc w:val="both"/>
        <w:rPr>
          <w:rFonts w:hint="eastAsia" w:ascii="方正黑体_GBK" w:hAnsi="方正黑体_GBK" w:eastAsia="方正黑体_GBK"/>
          <w:color w:val="auto"/>
          <w:kern w:val="2"/>
          <w:sz w:val="32"/>
          <w:lang w:val="zh-CN"/>
        </w:rPr>
      </w:pPr>
      <w:r>
        <w:rPr>
          <w:rFonts w:hint="eastAsia" w:ascii="方正黑体_GBK" w:hAnsi="方正黑体_GBK" w:eastAsia="方正黑体_GBK"/>
          <w:color w:val="auto"/>
          <w:kern w:val="2"/>
          <w:sz w:val="32"/>
          <w:lang w:val="zh-CN"/>
        </w:rPr>
        <w:fldChar w:fldCharType="begin"/>
      </w:r>
      <w:r>
        <w:rPr>
          <w:rFonts w:hint="eastAsia" w:ascii="方正黑体_GBK" w:hAnsi="方正黑体_GBK" w:eastAsia="方正黑体_GBK"/>
          <w:color w:val="auto"/>
          <w:kern w:val="2"/>
          <w:sz w:val="32"/>
          <w:lang w:val="zh-CN"/>
        </w:rPr>
        <w:instrText xml:space="preserve">HYPERLINK "\l "_Toc517272517" "</w:instrText>
      </w:r>
      <w:r>
        <w:rPr>
          <w:rFonts w:hint="eastAsia" w:ascii="方正黑体_GBK" w:hAnsi="方正黑体_GBK" w:eastAsia="方正黑体_GBK"/>
          <w:color w:val="auto"/>
          <w:kern w:val="2"/>
          <w:sz w:val="32"/>
          <w:lang w:val="zh-CN"/>
        </w:rPr>
        <w:fldChar w:fldCharType="separate"/>
      </w:r>
      <w:r>
        <w:rPr>
          <w:rFonts w:hint="eastAsia" w:ascii="方正黑体_GBK" w:hAnsi="方正黑体_GBK" w:eastAsia="方正黑体_GBK"/>
          <w:color w:val="auto"/>
          <w:kern w:val="2"/>
          <w:sz w:val="32"/>
          <w:u w:val="single"/>
          <w:lang w:val="zh-CN"/>
        </w:rPr>
        <w:t>五、组织实施</w:t>
      </w:r>
      <w:r>
        <w:rPr>
          <w:rFonts w:hint="eastAsia" w:ascii="方正黑体_GBK" w:hAnsi="方正黑体_GBK" w:eastAsia="方正黑体_GBK"/>
          <w:color w:val="auto"/>
          <w:kern w:val="2"/>
          <w:sz w:val="32"/>
          <w:lang w:val="zh-CN"/>
        </w:rPr>
        <w:tab/>
      </w:r>
      <w:r>
        <w:rPr>
          <w:rFonts w:hint="eastAsia" w:ascii="方正黑体_GBK" w:hAnsi="方正黑体_GBK" w:eastAsia="方正黑体_GBK"/>
          <w:color w:val="auto"/>
          <w:kern w:val="2"/>
          <w:sz w:val="32"/>
          <w:lang w:val="zh-CN"/>
        </w:rPr>
        <w:t>22</w:t>
      </w:r>
      <w:r>
        <w:rPr>
          <w:rFonts w:hint="eastAsia" w:ascii="方正黑体_GBK" w:hAnsi="方正黑体_GBK" w:eastAsia="方正黑体_GBK"/>
          <w:color w:val="auto"/>
          <w:kern w:val="2"/>
          <w:sz w:val="32"/>
          <w:lang w:val="zh-CN"/>
        </w:rPr>
        <w:fldChar w:fldCharType="end"/>
      </w:r>
    </w:p>
    <w:p w14:paraId="419A0DE0">
      <w:pPr>
        <w:tabs>
          <w:tab w:val="right" w:leader="dot" w:pos="8296"/>
        </w:tabs>
        <w:spacing w:beforeLines="0" w:afterLines="0"/>
        <w:ind w:left="320"/>
        <w:jc w:val="both"/>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fldChar w:fldCharType="begin"/>
      </w:r>
      <w:r>
        <w:rPr>
          <w:rFonts w:hint="eastAsia" w:ascii="方正楷体_GBK" w:hAnsi="方正楷体_GBK" w:eastAsia="方正楷体_GBK"/>
          <w:color w:val="auto"/>
          <w:kern w:val="2"/>
          <w:sz w:val="32"/>
          <w:lang w:val="zh-CN"/>
        </w:rPr>
        <w:instrText xml:space="preserve">HYPERLINK "\l "_Toc517272518" "</w:instrText>
      </w:r>
      <w:r>
        <w:rPr>
          <w:rFonts w:hint="eastAsia" w:ascii="方正楷体_GBK" w:hAnsi="方正楷体_GBK" w:eastAsia="方正楷体_GBK"/>
          <w:color w:val="auto"/>
          <w:kern w:val="2"/>
          <w:sz w:val="32"/>
          <w:lang w:val="zh-CN"/>
        </w:rPr>
        <w:fldChar w:fldCharType="separate"/>
      </w:r>
      <w:r>
        <w:rPr>
          <w:rFonts w:hint="eastAsia" w:ascii="方正楷体_GBK" w:hAnsi="方正楷体_GBK" w:eastAsia="方正楷体_GBK"/>
          <w:color w:val="auto"/>
          <w:kern w:val="2"/>
          <w:sz w:val="32"/>
          <w:u w:val="single"/>
          <w:lang w:val="zh-CN"/>
        </w:rPr>
        <w:t>（一）强化监测评估</w:t>
      </w:r>
      <w:r>
        <w:rPr>
          <w:rFonts w:hint="eastAsia" w:ascii="方正楷体_GBK" w:hAnsi="方正楷体_GBK" w:eastAsia="方正楷体_GBK"/>
          <w:color w:val="auto"/>
          <w:kern w:val="2"/>
          <w:sz w:val="32"/>
          <w:lang w:val="zh-CN"/>
        </w:rPr>
        <w:tab/>
      </w:r>
      <w:r>
        <w:rPr>
          <w:rFonts w:hint="eastAsia" w:ascii="方正楷体_GBK" w:hAnsi="方正楷体_GBK" w:eastAsia="方正楷体_GBK"/>
          <w:color w:val="auto"/>
          <w:kern w:val="2"/>
          <w:sz w:val="32"/>
          <w:lang w:val="zh-CN"/>
        </w:rPr>
        <w:t>22</w:t>
      </w:r>
      <w:r>
        <w:rPr>
          <w:rFonts w:hint="eastAsia" w:ascii="方正楷体_GBK" w:hAnsi="方正楷体_GBK" w:eastAsia="方正楷体_GBK"/>
          <w:color w:val="auto"/>
          <w:kern w:val="2"/>
          <w:sz w:val="32"/>
          <w:lang w:val="zh-CN"/>
        </w:rPr>
        <w:fldChar w:fldCharType="end"/>
      </w:r>
    </w:p>
    <w:p w14:paraId="7A9238C1">
      <w:pPr>
        <w:tabs>
          <w:tab w:val="right" w:leader="dot" w:pos="8296"/>
        </w:tabs>
        <w:spacing w:beforeLines="0" w:afterLines="0"/>
        <w:ind w:left="320"/>
        <w:jc w:val="both"/>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fldChar w:fldCharType="begin"/>
      </w:r>
      <w:r>
        <w:rPr>
          <w:rFonts w:hint="eastAsia" w:ascii="方正楷体_GBK" w:hAnsi="方正楷体_GBK" w:eastAsia="方正楷体_GBK"/>
          <w:color w:val="auto"/>
          <w:kern w:val="2"/>
          <w:sz w:val="32"/>
          <w:lang w:val="zh-CN"/>
        </w:rPr>
        <w:instrText xml:space="preserve">HYPERLINK "\l "_Toc517272519" "</w:instrText>
      </w:r>
      <w:r>
        <w:rPr>
          <w:rFonts w:hint="eastAsia" w:ascii="方正楷体_GBK" w:hAnsi="方正楷体_GBK" w:eastAsia="方正楷体_GBK"/>
          <w:color w:val="auto"/>
          <w:kern w:val="2"/>
          <w:sz w:val="32"/>
          <w:lang w:val="zh-CN"/>
        </w:rPr>
        <w:fldChar w:fldCharType="separate"/>
      </w:r>
      <w:r>
        <w:rPr>
          <w:rFonts w:hint="eastAsia" w:ascii="方正楷体_GBK" w:hAnsi="方正楷体_GBK" w:eastAsia="方正楷体_GBK"/>
          <w:color w:val="auto"/>
          <w:kern w:val="2"/>
          <w:sz w:val="32"/>
          <w:u w:val="single"/>
          <w:lang w:val="zh-CN"/>
        </w:rPr>
        <w:t>（二）加强源头预防</w:t>
      </w:r>
      <w:r>
        <w:rPr>
          <w:rFonts w:hint="eastAsia" w:ascii="方正楷体_GBK" w:hAnsi="方正楷体_GBK" w:eastAsia="方正楷体_GBK"/>
          <w:color w:val="auto"/>
          <w:kern w:val="2"/>
          <w:sz w:val="32"/>
          <w:lang w:val="zh-CN"/>
        </w:rPr>
        <w:tab/>
      </w:r>
      <w:r>
        <w:rPr>
          <w:rFonts w:hint="eastAsia" w:ascii="方正楷体_GBK" w:hAnsi="方正楷体_GBK" w:eastAsia="方正楷体_GBK"/>
          <w:color w:val="auto"/>
          <w:kern w:val="2"/>
          <w:sz w:val="32"/>
          <w:lang w:val="zh-CN"/>
        </w:rPr>
        <w:t>22</w:t>
      </w:r>
      <w:r>
        <w:rPr>
          <w:rFonts w:hint="eastAsia" w:ascii="方正楷体_GBK" w:hAnsi="方正楷体_GBK" w:eastAsia="方正楷体_GBK"/>
          <w:color w:val="auto"/>
          <w:kern w:val="2"/>
          <w:sz w:val="32"/>
          <w:lang w:val="zh-CN"/>
        </w:rPr>
        <w:fldChar w:fldCharType="end"/>
      </w:r>
    </w:p>
    <w:p w14:paraId="6B8E6414">
      <w:pPr>
        <w:tabs>
          <w:tab w:val="right" w:leader="dot" w:pos="8296"/>
        </w:tabs>
        <w:spacing w:beforeLines="0" w:afterLines="0"/>
        <w:ind w:left="320"/>
        <w:jc w:val="both"/>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fldChar w:fldCharType="begin"/>
      </w:r>
      <w:r>
        <w:rPr>
          <w:rFonts w:hint="eastAsia" w:ascii="方正楷体_GBK" w:hAnsi="方正楷体_GBK" w:eastAsia="方正楷体_GBK"/>
          <w:color w:val="auto"/>
          <w:kern w:val="2"/>
          <w:sz w:val="32"/>
          <w:lang w:val="zh-CN"/>
        </w:rPr>
        <w:instrText xml:space="preserve">HYPERLINK "\l "_Toc517272520" "</w:instrText>
      </w:r>
      <w:r>
        <w:rPr>
          <w:rFonts w:hint="eastAsia" w:ascii="方正楷体_GBK" w:hAnsi="方正楷体_GBK" w:eastAsia="方正楷体_GBK"/>
          <w:color w:val="auto"/>
          <w:kern w:val="2"/>
          <w:sz w:val="32"/>
          <w:lang w:val="zh-CN"/>
        </w:rPr>
        <w:fldChar w:fldCharType="separate"/>
      </w:r>
      <w:r>
        <w:rPr>
          <w:rFonts w:hint="eastAsia" w:ascii="方正楷体_GBK" w:hAnsi="方正楷体_GBK" w:eastAsia="方正楷体_GBK"/>
          <w:color w:val="auto"/>
          <w:kern w:val="2"/>
          <w:sz w:val="32"/>
          <w:u w:val="single"/>
          <w:lang w:val="zh-CN"/>
        </w:rPr>
        <w:t>（三）推进空间管控</w:t>
      </w:r>
      <w:r>
        <w:rPr>
          <w:rFonts w:hint="eastAsia" w:ascii="方正楷体_GBK" w:hAnsi="方正楷体_GBK" w:eastAsia="方正楷体_GBK"/>
          <w:color w:val="auto"/>
          <w:kern w:val="2"/>
          <w:sz w:val="32"/>
          <w:lang w:val="zh-CN"/>
        </w:rPr>
        <w:tab/>
      </w:r>
      <w:r>
        <w:rPr>
          <w:rFonts w:hint="eastAsia" w:ascii="方正楷体_GBK" w:hAnsi="方正楷体_GBK" w:eastAsia="方正楷体_GBK"/>
          <w:color w:val="auto"/>
          <w:kern w:val="2"/>
          <w:sz w:val="32"/>
          <w:lang w:val="zh-CN"/>
        </w:rPr>
        <w:t>22</w:t>
      </w:r>
      <w:r>
        <w:rPr>
          <w:rFonts w:hint="eastAsia" w:ascii="方正楷体_GBK" w:hAnsi="方正楷体_GBK" w:eastAsia="方正楷体_GBK"/>
          <w:color w:val="auto"/>
          <w:kern w:val="2"/>
          <w:sz w:val="32"/>
          <w:lang w:val="zh-CN"/>
        </w:rPr>
        <w:fldChar w:fldCharType="end"/>
      </w:r>
    </w:p>
    <w:p w14:paraId="5C972AF8">
      <w:pPr>
        <w:tabs>
          <w:tab w:val="right" w:leader="dot" w:pos="8296"/>
        </w:tabs>
        <w:spacing w:beforeLines="0" w:afterLines="0"/>
        <w:ind w:left="320"/>
        <w:jc w:val="both"/>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fldChar w:fldCharType="begin"/>
      </w:r>
      <w:r>
        <w:rPr>
          <w:rFonts w:hint="eastAsia" w:ascii="方正楷体_GBK" w:hAnsi="方正楷体_GBK" w:eastAsia="方正楷体_GBK"/>
          <w:color w:val="auto"/>
          <w:kern w:val="2"/>
          <w:sz w:val="32"/>
          <w:lang w:val="zh-CN"/>
        </w:rPr>
        <w:instrText xml:space="preserve">HYPERLINK "\l "_Toc517272521" "</w:instrText>
      </w:r>
      <w:r>
        <w:rPr>
          <w:rFonts w:hint="eastAsia" w:ascii="方正楷体_GBK" w:hAnsi="方正楷体_GBK" w:eastAsia="方正楷体_GBK"/>
          <w:color w:val="auto"/>
          <w:kern w:val="2"/>
          <w:sz w:val="32"/>
          <w:lang w:val="zh-CN"/>
        </w:rPr>
        <w:fldChar w:fldCharType="separate"/>
      </w:r>
      <w:r>
        <w:rPr>
          <w:rFonts w:hint="eastAsia" w:ascii="方正楷体_GBK" w:hAnsi="方正楷体_GBK" w:eastAsia="方正楷体_GBK"/>
          <w:color w:val="auto"/>
          <w:kern w:val="2"/>
          <w:sz w:val="32"/>
          <w:u w:val="single"/>
          <w:lang w:val="zh-CN"/>
        </w:rPr>
        <w:t>（四）严格修改程序</w:t>
      </w:r>
      <w:r>
        <w:rPr>
          <w:rFonts w:hint="eastAsia" w:ascii="方正楷体_GBK" w:hAnsi="方正楷体_GBK" w:eastAsia="方正楷体_GBK"/>
          <w:color w:val="auto"/>
          <w:kern w:val="2"/>
          <w:sz w:val="32"/>
          <w:lang w:val="zh-CN"/>
        </w:rPr>
        <w:tab/>
      </w:r>
      <w:r>
        <w:rPr>
          <w:rFonts w:hint="eastAsia" w:ascii="方正楷体_GBK" w:hAnsi="方正楷体_GBK" w:eastAsia="方正楷体_GBK"/>
          <w:color w:val="auto"/>
          <w:kern w:val="2"/>
          <w:sz w:val="32"/>
          <w:lang w:val="zh-CN"/>
        </w:rPr>
        <w:t>23</w:t>
      </w:r>
      <w:r>
        <w:rPr>
          <w:rFonts w:hint="eastAsia" w:ascii="方正楷体_GBK" w:hAnsi="方正楷体_GBK" w:eastAsia="方正楷体_GBK"/>
          <w:color w:val="auto"/>
          <w:kern w:val="2"/>
          <w:sz w:val="32"/>
          <w:lang w:val="zh-CN"/>
        </w:rPr>
        <w:fldChar w:fldCharType="end"/>
      </w:r>
    </w:p>
    <w:p w14:paraId="5C681785">
      <w:pPr>
        <w:tabs>
          <w:tab w:val="right" w:leader="dot" w:pos="8296"/>
          <w:tab w:val="right" w:leader="dot" w:pos="8494"/>
        </w:tabs>
        <w:spacing w:beforeLines="0" w:afterLines="0"/>
        <w:jc w:val="both"/>
        <w:rPr>
          <w:rFonts w:hint="eastAsia" w:ascii="方正黑体_GBK" w:hAnsi="方正黑体_GBK" w:eastAsia="方正黑体_GBK"/>
          <w:color w:val="auto"/>
          <w:kern w:val="2"/>
          <w:sz w:val="32"/>
          <w:lang w:val="zh-CN"/>
        </w:rPr>
      </w:pPr>
      <w:r>
        <w:rPr>
          <w:rFonts w:hint="eastAsia" w:ascii="方正黑体_GBK" w:hAnsi="方正黑体_GBK" w:eastAsia="方正黑体_GBK"/>
          <w:color w:val="auto"/>
          <w:kern w:val="2"/>
          <w:sz w:val="32"/>
          <w:lang w:val="zh-CN"/>
        </w:rPr>
        <w:fldChar w:fldCharType="begin"/>
      </w:r>
      <w:r>
        <w:rPr>
          <w:rFonts w:hint="eastAsia" w:ascii="方正黑体_GBK" w:hAnsi="方正黑体_GBK" w:eastAsia="方正黑体_GBK"/>
          <w:color w:val="auto"/>
          <w:kern w:val="2"/>
          <w:sz w:val="32"/>
          <w:lang w:val="zh-CN"/>
        </w:rPr>
        <w:instrText xml:space="preserve">HYPERLINK "\l "_Toc517272522" "</w:instrText>
      </w:r>
      <w:r>
        <w:rPr>
          <w:rFonts w:hint="eastAsia" w:ascii="方正黑体_GBK" w:hAnsi="方正黑体_GBK" w:eastAsia="方正黑体_GBK"/>
          <w:color w:val="auto"/>
          <w:kern w:val="2"/>
          <w:sz w:val="32"/>
          <w:lang w:val="zh-CN"/>
        </w:rPr>
        <w:fldChar w:fldCharType="separate"/>
      </w:r>
      <w:r>
        <w:rPr>
          <w:rFonts w:hint="eastAsia" w:ascii="方正黑体_GBK" w:hAnsi="方正黑体_GBK" w:eastAsia="方正黑体_GBK"/>
          <w:color w:val="auto"/>
          <w:kern w:val="2"/>
          <w:sz w:val="32"/>
          <w:u w:val="single"/>
          <w:lang w:val="zh-CN"/>
        </w:rPr>
        <w:t>六、荣昌城区声环境功能区划分其他说明</w:t>
      </w:r>
      <w:r>
        <w:rPr>
          <w:rFonts w:hint="eastAsia" w:ascii="方正黑体_GBK" w:hAnsi="方正黑体_GBK" w:eastAsia="方正黑体_GBK"/>
          <w:color w:val="auto"/>
          <w:kern w:val="2"/>
          <w:sz w:val="32"/>
          <w:lang w:val="zh-CN"/>
        </w:rPr>
        <w:tab/>
      </w:r>
      <w:r>
        <w:rPr>
          <w:rFonts w:hint="eastAsia" w:ascii="方正黑体_GBK" w:hAnsi="方正黑体_GBK" w:eastAsia="方正黑体_GBK"/>
          <w:color w:val="auto"/>
          <w:kern w:val="2"/>
          <w:sz w:val="32"/>
          <w:lang w:val="zh-CN"/>
        </w:rPr>
        <w:t>23</w:t>
      </w:r>
      <w:r>
        <w:rPr>
          <w:rFonts w:hint="eastAsia" w:ascii="方正黑体_GBK" w:hAnsi="方正黑体_GBK" w:eastAsia="方正黑体_GBK"/>
          <w:color w:val="auto"/>
          <w:kern w:val="2"/>
          <w:sz w:val="32"/>
          <w:lang w:val="zh-CN"/>
        </w:rPr>
        <w:fldChar w:fldCharType="end"/>
      </w:r>
    </w:p>
    <w:p w14:paraId="2B60CDC3">
      <w:pPr>
        <w:tabs>
          <w:tab w:val="right" w:leader="dot" w:pos="8296"/>
          <w:tab w:val="right" w:leader="dot" w:pos="8494"/>
        </w:tabs>
        <w:spacing w:beforeLines="0" w:afterLines="0"/>
        <w:jc w:val="both"/>
        <w:rPr>
          <w:rFonts w:hint="eastAsia" w:ascii="方正仿宋_GBK" w:hAnsi="方正仿宋_GBK" w:eastAsia="方正仿宋_GBK"/>
          <w:color w:val="auto"/>
          <w:kern w:val="2"/>
          <w:sz w:val="32"/>
          <w:lang w:val="zh-CN"/>
        </w:rPr>
      </w:pPr>
      <w:r>
        <w:rPr>
          <w:rFonts w:hint="eastAsia" w:ascii="方正仿宋_GBK" w:hAnsi="方正仿宋_GBK" w:eastAsia="方正仿宋_GBK"/>
          <w:color w:val="auto"/>
          <w:kern w:val="2"/>
          <w:sz w:val="32"/>
          <w:lang w:val="zh-CN"/>
        </w:rPr>
        <w:fldChar w:fldCharType="begin"/>
      </w:r>
      <w:r>
        <w:rPr>
          <w:rFonts w:hint="eastAsia" w:ascii="方正仿宋_GBK" w:hAnsi="方正仿宋_GBK" w:eastAsia="方正仿宋_GBK"/>
          <w:color w:val="auto"/>
          <w:kern w:val="2"/>
          <w:sz w:val="32"/>
          <w:lang w:val="zh-CN"/>
        </w:rPr>
        <w:instrText xml:space="preserve">HYPERLINK "\l "_Toc517272523" "</w:instrText>
      </w:r>
      <w:r>
        <w:rPr>
          <w:rFonts w:hint="eastAsia" w:ascii="方正仿宋_GBK" w:hAnsi="方正仿宋_GBK" w:eastAsia="方正仿宋_GBK"/>
          <w:color w:val="auto"/>
          <w:kern w:val="2"/>
          <w:sz w:val="32"/>
          <w:lang w:val="zh-CN"/>
        </w:rPr>
        <w:fldChar w:fldCharType="separate"/>
      </w:r>
      <w:r>
        <w:rPr>
          <w:rFonts w:hint="eastAsia" w:ascii="方正仿宋_GBK" w:hAnsi="方正仿宋_GBK" w:eastAsia="方正仿宋_GBK"/>
          <w:color w:val="auto"/>
          <w:kern w:val="2"/>
          <w:sz w:val="32"/>
          <w:u w:val="single"/>
          <w:lang w:val="zh-CN"/>
        </w:rPr>
        <w:t>附录一  荣昌区声功能区划范围图</w:t>
      </w:r>
      <w:r>
        <w:rPr>
          <w:rFonts w:hint="eastAsia" w:ascii="方正仿宋_GBK" w:hAnsi="方正仿宋_GBK" w:eastAsia="方正仿宋_GBK"/>
          <w:color w:val="auto"/>
          <w:kern w:val="2"/>
          <w:sz w:val="32"/>
          <w:lang w:val="zh-CN"/>
        </w:rPr>
        <w:tab/>
      </w:r>
      <w:r>
        <w:rPr>
          <w:rFonts w:hint="eastAsia" w:ascii="方正仿宋_GBK" w:hAnsi="方正仿宋_GBK" w:eastAsia="方正仿宋_GBK"/>
          <w:color w:val="auto"/>
          <w:kern w:val="2"/>
          <w:sz w:val="32"/>
          <w:lang w:val="zh-CN"/>
        </w:rPr>
        <w:t>24</w:t>
      </w:r>
      <w:r>
        <w:rPr>
          <w:rFonts w:hint="eastAsia" w:ascii="方正仿宋_GBK" w:hAnsi="方正仿宋_GBK" w:eastAsia="方正仿宋_GBK"/>
          <w:color w:val="auto"/>
          <w:kern w:val="2"/>
          <w:sz w:val="32"/>
          <w:lang w:val="zh-CN"/>
        </w:rPr>
        <w:fldChar w:fldCharType="end"/>
      </w:r>
    </w:p>
    <w:p w14:paraId="4AAB9C63">
      <w:pPr>
        <w:tabs>
          <w:tab w:val="right" w:leader="dot" w:pos="8296"/>
          <w:tab w:val="right" w:leader="dot" w:pos="8494"/>
        </w:tabs>
        <w:spacing w:beforeLines="0" w:afterLines="0"/>
        <w:jc w:val="both"/>
        <w:rPr>
          <w:rFonts w:hint="eastAsia" w:ascii="方正仿宋_GBK" w:hAnsi="方正仿宋_GBK" w:eastAsia="方正仿宋_GBK"/>
          <w:color w:val="auto"/>
          <w:kern w:val="2"/>
          <w:sz w:val="32"/>
          <w:lang w:val="zh-CN"/>
        </w:rPr>
      </w:pPr>
      <w:r>
        <w:rPr>
          <w:rFonts w:hint="eastAsia" w:ascii="方正仿宋_GBK" w:hAnsi="方正仿宋_GBK" w:eastAsia="方正仿宋_GBK"/>
          <w:color w:val="auto"/>
          <w:kern w:val="2"/>
          <w:sz w:val="32"/>
          <w:lang w:val="zh-CN"/>
        </w:rPr>
        <w:fldChar w:fldCharType="begin"/>
      </w:r>
      <w:r>
        <w:rPr>
          <w:rFonts w:hint="eastAsia" w:ascii="方正仿宋_GBK" w:hAnsi="方正仿宋_GBK" w:eastAsia="方正仿宋_GBK"/>
          <w:color w:val="auto"/>
          <w:kern w:val="2"/>
          <w:sz w:val="32"/>
          <w:lang w:val="zh-CN"/>
        </w:rPr>
        <w:instrText xml:space="preserve">HYPERLINK "\l "_Toc517272524" "</w:instrText>
      </w:r>
      <w:r>
        <w:rPr>
          <w:rFonts w:hint="eastAsia" w:ascii="方正仿宋_GBK" w:hAnsi="方正仿宋_GBK" w:eastAsia="方正仿宋_GBK"/>
          <w:color w:val="auto"/>
          <w:kern w:val="2"/>
          <w:sz w:val="32"/>
          <w:lang w:val="zh-CN"/>
        </w:rPr>
        <w:fldChar w:fldCharType="separate"/>
      </w:r>
      <w:r>
        <w:rPr>
          <w:rFonts w:hint="eastAsia" w:ascii="方正仿宋_GBK" w:hAnsi="方正仿宋_GBK" w:eastAsia="方正仿宋_GBK"/>
          <w:color w:val="auto"/>
          <w:kern w:val="2"/>
          <w:sz w:val="32"/>
          <w:u w:val="single"/>
          <w:lang w:val="zh-CN"/>
        </w:rPr>
        <w:t>附录二  荣昌区声功能区划分图</w:t>
      </w:r>
      <w:r>
        <w:rPr>
          <w:rFonts w:hint="eastAsia" w:ascii="方正仿宋_GBK" w:hAnsi="方正仿宋_GBK" w:eastAsia="方正仿宋_GBK"/>
          <w:color w:val="auto"/>
          <w:kern w:val="2"/>
          <w:sz w:val="32"/>
          <w:lang w:val="zh-CN"/>
        </w:rPr>
        <w:tab/>
      </w:r>
      <w:r>
        <w:rPr>
          <w:rFonts w:hint="eastAsia" w:ascii="方正仿宋_GBK" w:hAnsi="方正仿宋_GBK" w:eastAsia="方正仿宋_GBK"/>
          <w:color w:val="auto"/>
          <w:kern w:val="2"/>
          <w:sz w:val="32"/>
          <w:lang w:val="zh-CN"/>
        </w:rPr>
        <w:t>25</w:t>
      </w:r>
      <w:r>
        <w:rPr>
          <w:rFonts w:hint="eastAsia" w:ascii="方正仿宋_GBK" w:hAnsi="方正仿宋_GBK" w:eastAsia="方正仿宋_GBK"/>
          <w:color w:val="auto"/>
          <w:kern w:val="2"/>
          <w:sz w:val="32"/>
          <w:lang w:val="zh-CN"/>
        </w:rPr>
        <w:fldChar w:fldCharType="end"/>
      </w:r>
    </w:p>
    <w:p w14:paraId="05315AD4">
      <w:pPr>
        <w:tabs>
          <w:tab w:val="right" w:leader="dot" w:pos="8296"/>
          <w:tab w:val="right" w:leader="dot" w:pos="8494"/>
        </w:tabs>
        <w:spacing w:beforeLines="0" w:afterLines="0"/>
        <w:jc w:val="both"/>
        <w:rPr>
          <w:rFonts w:hint="eastAsia" w:ascii="方正黑体_GBK" w:hAnsi="方正黑体_GBK" w:eastAsia="方正黑体_GBK"/>
          <w:color w:val="auto"/>
          <w:kern w:val="2"/>
          <w:sz w:val="32"/>
          <w:lang w:val="zh-CN"/>
        </w:rPr>
      </w:pPr>
      <w:r>
        <w:rPr>
          <w:rFonts w:hint="eastAsia" w:ascii="方正仿宋_GBK" w:hAnsi="方正仿宋_GBK" w:eastAsia="方正仿宋_GBK"/>
          <w:color w:val="auto"/>
          <w:kern w:val="2"/>
          <w:sz w:val="32"/>
          <w:lang w:val="zh-CN"/>
        </w:rPr>
        <w:fldChar w:fldCharType="begin"/>
      </w:r>
      <w:r>
        <w:rPr>
          <w:rFonts w:hint="eastAsia" w:ascii="方正仿宋_GBK" w:hAnsi="方正仿宋_GBK" w:eastAsia="方正仿宋_GBK"/>
          <w:color w:val="auto"/>
          <w:kern w:val="2"/>
          <w:sz w:val="32"/>
          <w:lang w:val="zh-CN"/>
        </w:rPr>
        <w:instrText xml:space="preserve">HYPERLINK "\l "_Toc517272525" "</w:instrText>
      </w:r>
      <w:r>
        <w:rPr>
          <w:rFonts w:hint="eastAsia" w:ascii="方正仿宋_GBK" w:hAnsi="方正仿宋_GBK" w:eastAsia="方正仿宋_GBK"/>
          <w:color w:val="auto"/>
          <w:kern w:val="2"/>
          <w:sz w:val="32"/>
          <w:lang w:val="zh-CN"/>
        </w:rPr>
        <w:fldChar w:fldCharType="separate"/>
      </w:r>
      <w:r>
        <w:rPr>
          <w:rFonts w:hint="eastAsia" w:ascii="方正仿宋_GBK" w:hAnsi="方正仿宋_GBK" w:eastAsia="方正仿宋_GBK"/>
          <w:color w:val="auto"/>
          <w:kern w:val="2"/>
          <w:sz w:val="32"/>
          <w:u w:val="single"/>
          <w:lang w:val="zh-CN"/>
        </w:rPr>
        <w:t>附录三  荣昌区区声功能区单元基础信息表</w:t>
      </w:r>
      <w:r>
        <w:rPr>
          <w:rFonts w:hint="eastAsia" w:ascii="方正仿宋_GBK" w:hAnsi="方正仿宋_GBK" w:eastAsia="方正仿宋_GBK"/>
          <w:color w:val="auto"/>
          <w:kern w:val="2"/>
          <w:sz w:val="32"/>
          <w:lang w:val="zh-CN"/>
        </w:rPr>
        <w:tab/>
      </w:r>
      <w:r>
        <w:rPr>
          <w:rFonts w:hint="eastAsia" w:ascii="方正仿宋_GBK" w:hAnsi="方正仿宋_GBK" w:eastAsia="方正仿宋_GBK"/>
          <w:color w:val="auto"/>
          <w:kern w:val="2"/>
          <w:sz w:val="32"/>
          <w:lang w:val="zh-CN"/>
        </w:rPr>
        <w:t>26</w:t>
      </w:r>
      <w:r>
        <w:rPr>
          <w:rFonts w:hint="eastAsia" w:ascii="方正仿宋_GBK" w:hAnsi="方正仿宋_GBK" w:eastAsia="方正仿宋_GBK"/>
          <w:color w:val="auto"/>
          <w:kern w:val="2"/>
          <w:sz w:val="32"/>
          <w:lang w:val="zh-CN"/>
        </w:rPr>
        <w:fldChar w:fldCharType="end"/>
      </w:r>
    </w:p>
    <w:p w14:paraId="6DF7B20D">
      <w:pPr>
        <w:spacing w:beforeLines="0" w:afterLines="0"/>
        <w:jc w:val="both"/>
        <w:rPr>
          <w:rFonts w:hint="default" w:ascii="Times New Roman" w:hAnsi="Times New Roman" w:eastAsia="Times New Roman"/>
          <w:b/>
          <w:color w:val="auto"/>
          <w:kern w:val="2"/>
          <w:sz w:val="32"/>
          <w:lang w:val="en-US"/>
        </w:rPr>
      </w:pPr>
    </w:p>
    <w:p w14:paraId="49C93FDA">
      <w:pPr>
        <w:pageBreakBefore w:val="0"/>
        <w:widowControl w:val="0"/>
        <w:kinsoku/>
        <w:wordWrap/>
        <w:overflowPunct/>
        <w:topLinePunct w:val="0"/>
        <w:autoSpaceDE/>
        <w:autoSpaceDN/>
        <w:bidi w:val="0"/>
        <w:adjustRightInd/>
        <w:snapToGrid/>
        <w:spacing w:beforeLines="0" w:afterLines="0" w:line="600" w:lineRule="exact"/>
        <w:ind w:left="0" w:right="0" w:firstLine="640"/>
        <w:jc w:val="both"/>
        <w:textAlignment w:val="auto"/>
        <w:rPr>
          <w:rFonts w:hint="eastAsia" w:ascii="方正仿宋简体" w:hAnsi="方正仿宋简体" w:eastAsia="方正仿宋简体"/>
          <w:b/>
          <w:color w:val="auto"/>
          <w:kern w:val="2"/>
          <w:sz w:val="32"/>
          <w:lang w:val="zh-CN"/>
        </w:rPr>
      </w:pPr>
      <w:r>
        <w:rPr>
          <w:rFonts w:hint="default" w:ascii="Times New Roman" w:hAnsi="Times New Roman" w:eastAsia="Times New Roman"/>
          <w:b/>
          <w:color w:val="auto"/>
          <w:kern w:val="2"/>
          <w:sz w:val="32"/>
          <w:lang w:val="en-US"/>
        </w:rPr>
        <w:br w:type="page"/>
      </w:r>
    </w:p>
    <w:p w14:paraId="0582059A">
      <w:pPr>
        <w:pageBreakBefore w:val="0"/>
        <w:widowControl w:val="0"/>
        <w:kinsoku/>
        <w:wordWrap/>
        <w:overflowPunct/>
        <w:topLinePunct w:val="0"/>
        <w:autoSpaceDE/>
        <w:autoSpaceDN/>
        <w:bidi w:val="0"/>
        <w:adjustRightInd/>
        <w:snapToGrid/>
        <w:spacing w:beforeLines="0" w:afterLines="0" w:line="600" w:lineRule="exact"/>
        <w:ind w:left="0" w:right="0"/>
        <w:jc w:val="center"/>
        <w:textAlignment w:val="auto"/>
        <w:rPr>
          <w:rFonts w:hint="eastAsia" w:ascii="方正小标宋_GBK" w:hAnsi="方正小标宋_GBK" w:eastAsia="方正小标宋_GBK"/>
          <w:color w:val="auto"/>
          <w:kern w:val="2"/>
          <w:sz w:val="44"/>
          <w:lang w:val="zh-CN"/>
        </w:rPr>
      </w:pPr>
    </w:p>
    <w:p w14:paraId="45C15589">
      <w:pPr>
        <w:pageBreakBefore w:val="0"/>
        <w:widowControl w:val="0"/>
        <w:kinsoku/>
        <w:wordWrap/>
        <w:overflowPunct/>
        <w:topLinePunct w:val="0"/>
        <w:autoSpaceDE/>
        <w:autoSpaceDN/>
        <w:bidi w:val="0"/>
        <w:adjustRightInd/>
        <w:snapToGrid/>
        <w:spacing w:beforeLines="0" w:afterLines="0" w:line="600" w:lineRule="exact"/>
        <w:ind w:left="0" w:right="0"/>
        <w:jc w:val="center"/>
        <w:textAlignment w:val="auto"/>
        <w:rPr>
          <w:rFonts w:hint="eastAsia" w:ascii="方正小标宋_GBK" w:hAnsi="方正小标宋_GBK" w:eastAsia="方正小标宋_GBK"/>
          <w:color w:val="auto"/>
          <w:kern w:val="2"/>
          <w:sz w:val="44"/>
          <w:lang w:val="zh-CN"/>
        </w:rPr>
      </w:pPr>
      <w:r>
        <w:rPr>
          <w:rFonts w:hint="eastAsia" w:ascii="方正小标宋_GBK" w:hAnsi="方正小标宋_GBK" w:eastAsia="方正小标宋_GBK"/>
          <w:color w:val="auto"/>
          <w:kern w:val="2"/>
          <w:sz w:val="44"/>
          <w:lang w:val="zh-CN"/>
        </w:rPr>
        <w:t>前  言</w:t>
      </w:r>
    </w:p>
    <w:p w14:paraId="69255542">
      <w:pPr>
        <w:pageBreakBefore w:val="0"/>
        <w:widowControl w:val="0"/>
        <w:kinsoku/>
        <w:wordWrap/>
        <w:overflowPunct/>
        <w:topLinePunct w:val="0"/>
        <w:autoSpaceDE/>
        <w:autoSpaceDN/>
        <w:bidi w:val="0"/>
        <w:adjustRightInd/>
        <w:snapToGrid/>
        <w:spacing w:beforeLines="0" w:afterLines="0" w:line="600" w:lineRule="exact"/>
        <w:ind w:left="0" w:right="0" w:firstLine="616"/>
        <w:jc w:val="both"/>
        <w:textAlignment w:val="auto"/>
        <w:rPr>
          <w:rFonts w:hint="default" w:ascii="Times New Roman" w:hAnsi="Times New Roman" w:eastAsia="Times New Roman"/>
          <w:color w:val="auto"/>
          <w:spacing w:val="-6"/>
          <w:kern w:val="2"/>
          <w:sz w:val="32"/>
          <w:lang w:val="en-US"/>
        </w:rPr>
      </w:pPr>
    </w:p>
    <w:p w14:paraId="11344F6F">
      <w:pPr>
        <w:pageBreakBefore w:val="0"/>
        <w:widowControl w:val="0"/>
        <w:kinsoku/>
        <w:wordWrap/>
        <w:overflowPunct/>
        <w:topLinePunct w:val="0"/>
        <w:autoSpaceDE/>
        <w:autoSpaceDN/>
        <w:bidi w:val="0"/>
        <w:adjustRightInd/>
        <w:snapToGrid/>
        <w:spacing w:beforeLines="0" w:afterLines="0" w:line="60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近年来，我区城镇化规模迅速扩大，城市交通高速发展，部分城市区域的功能及声环境发生了一定变化，《重庆市城市区域环境噪声标准适用区域划分规定调整方案》（渝环发〔2007〕39号）已不再适应新形势下环境管理需要。为改善我区城市声环境质量，营造良好人居环境，依据《中华人民共和国环境保护法》、《重庆市环境保护条例》和《重庆市环境噪声污染防治办法》（重庆市人民政府令270号）等有关法律法规的规定，根据《声环境质量标准》（GB3096-2008）、《声环境功能区划技术规范》（GB/T15190-2014）、《重庆市声环境功能区划分技术规范实施细则（试行）》（渝环〔2015〕429号）等相关技术规范，结合我区城市建设现状和未来发展规划，特制定本方案。</w:t>
      </w:r>
    </w:p>
    <w:p w14:paraId="4AF15EEC">
      <w:pPr>
        <w:pStyle w:val="2"/>
        <w:keepNext/>
        <w:keepLines/>
        <w:pageBreakBefore w:val="0"/>
        <w:widowControl w:val="0"/>
        <w:kinsoku/>
        <w:wordWrap/>
        <w:overflowPunct/>
        <w:topLinePunct w:val="0"/>
        <w:autoSpaceDE/>
        <w:autoSpaceDN/>
        <w:bidi w:val="0"/>
        <w:adjustRightInd/>
        <w:snapToGrid/>
        <w:spacing w:before="0" w:beforeLines="0" w:after="0" w:afterLines="0" w:line="600" w:lineRule="exact"/>
        <w:ind w:left="0" w:right="0" w:firstLine="616"/>
        <w:jc w:val="both"/>
        <w:textAlignment w:val="auto"/>
        <w:rPr>
          <w:rFonts w:hint="eastAsia" w:ascii="方正仿宋_GBK" w:hAnsi="方正仿宋_GBK" w:eastAsia="方正仿宋_GBK"/>
          <w:color w:val="auto"/>
          <w:spacing w:val="-6"/>
          <w:kern w:val="44"/>
          <w:sz w:val="32"/>
          <w:lang w:val="zh-CN"/>
        </w:rPr>
      </w:pPr>
      <w:r>
        <w:rPr>
          <w:rFonts w:hint="eastAsia" w:ascii="方正仿宋_GBK" w:hAnsi="方正仿宋_GBK" w:eastAsia="方正仿宋_GBK"/>
          <w:color w:val="auto"/>
          <w:spacing w:val="-6"/>
          <w:kern w:val="44"/>
          <w:sz w:val="32"/>
          <w:lang w:val="zh-CN"/>
        </w:rPr>
        <w:br w:type="page"/>
      </w:r>
    </w:p>
    <w:p w14:paraId="61E591E6">
      <w:pPr>
        <w:pStyle w:val="2"/>
        <w:keepNext/>
        <w:keepLines/>
        <w:pageBreakBefore w:val="0"/>
        <w:widowControl w:val="0"/>
        <w:kinsoku/>
        <w:wordWrap/>
        <w:overflowPunct/>
        <w:topLinePunct w:val="0"/>
        <w:autoSpaceDE/>
        <w:autoSpaceDN/>
        <w:bidi w:val="0"/>
        <w:adjustRightInd/>
        <w:snapToGrid/>
        <w:spacing w:before="0" w:beforeLines="0" w:after="0" w:afterLines="0" w:line="560" w:lineRule="exact"/>
        <w:ind w:left="0" w:right="0"/>
        <w:jc w:val="both"/>
        <w:textAlignment w:val="auto"/>
        <w:rPr>
          <w:rFonts w:hint="eastAsia" w:ascii="方正黑体_GBK" w:hAnsi="方正黑体_GBK" w:eastAsia="方正黑体_GBK"/>
          <w:color w:val="auto"/>
          <w:kern w:val="44"/>
          <w:sz w:val="32"/>
          <w:lang w:val="zh-CN"/>
        </w:rPr>
      </w:pPr>
    </w:p>
    <w:p w14:paraId="58524513">
      <w:pPr>
        <w:pStyle w:val="2"/>
        <w:keepNext/>
        <w:keepLines/>
        <w:pageBreakBefore w:val="0"/>
        <w:widowControl w:val="0"/>
        <w:numPr>
          <w:ilvl w:val="0"/>
          <w:numId w:val="1"/>
        </w:numPr>
        <w:kinsoku/>
        <w:wordWrap/>
        <w:overflowPunct/>
        <w:topLinePunct w:val="0"/>
        <w:autoSpaceDE/>
        <w:autoSpaceDN/>
        <w:bidi w:val="0"/>
        <w:adjustRightInd/>
        <w:snapToGrid/>
        <w:spacing w:before="0" w:beforeLines="0" w:after="0" w:afterLines="0" w:line="560" w:lineRule="exact"/>
        <w:ind w:left="0" w:leftChars="0" w:right="0" w:firstLine="640" w:firstLineChars="0"/>
        <w:jc w:val="both"/>
        <w:textAlignment w:val="auto"/>
        <w:rPr>
          <w:rFonts w:hint="eastAsia" w:ascii="方正黑体_GBK" w:hAnsi="方正黑体_GBK" w:eastAsia="方正黑体_GBK"/>
          <w:color w:val="auto"/>
          <w:kern w:val="44"/>
          <w:sz w:val="32"/>
          <w:lang w:val="zh-CN"/>
        </w:rPr>
      </w:pPr>
      <w:r>
        <w:rPr>
          <w:rFonts w:hint="eastAsia" w:ascii="方正黑体_GBK" w:hAnsi="方正黑体_GBK" w:eastAsia="方正黑体_GBK"/>
          <w:color w:val="auto"/>
          <w:kern w:val="44"/>
          <w:sz w:val="32"/>
          <w:lang w:val="zh-CN"/>
        </w:rPr>
        <w:t>总则</w:t>
      </w:r>
    </w:p>
    <w:p w14:paraId="1A58B473">
      <w:pPr>
        <w:pStyle w:val="2"/>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left="0" w:right="0" w:firstLine="640" w:firstLineChars="200"/>
        <w:jc w:val="both"/>
        <w:textAlignment w:val="auto"/>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t>（一）指导思想。</w:t>
      </w:r>
    </w:p>
    <w:p w14:paraId="530FC583">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以</w:t>
      </w:r>
      <w:bookmarkStart w:id="2" w:name="_GoBack"/>
      <w:bookmarkEnd w:id="2"/>
      <w:r>
        <w:rPr>
          <w:rFonts w:hint="eastAsia" w:ascii="方正仿宋_GBK" w:hAnsi="方正仿宋_GBK" w:eastAsia="方正仿宋_GBK"/>
          <w:color w:val="auto"/>
          <w:spacing w:val="-6"/>
          <w:kern w:val="2"/>
          <w:sz w:val="32"/>
          <w:lang w:val="zh-CN"/>
        </w:rPr>
        <w:t>习近平新时代中国特色社会主义思想社会主义理论体系为指导，全面贯彻党的十九大及市委五届三次全会精神，深入贯彻习近平总书记治国理政新理念新思想新战略，全面落实习近平总书记视察重庆重要讲话精神，切实增强</w:t>
      </w:r>
      <w:r>
        <w:rPr>
          <w:rFonts w:hint="default" w:ascii="方正仿宋_GBK" w:hAnsi="方正仿宋_GBK" w:eastAsia="方正仿宋_GBK"/>
          <w:color w:val="auto"/>
          <w:spacing w:val="-6"/>
          <w:kern w:val="2"/>
          <w:sz w:val="32"/>
          <w:lang w:val="zh-CN"/>
        </w:rPr>
        <w:t>“</w:t>
      </w:r>
      <w:r>
        <w:rPr>
          <w:rFonts w:hint="eastAsia" w:ascii="方正仿宋_GBK" w:hAnsi="方正仿宋_GBK" w:eastAsia="方正仿宋_GBK"/>
          <w:color w:val="auto"/>
          <w:spacing w:val="-6"/>
          <w:kern w:val="2"/>
          <w:sz w:val="32"/>
          <w:lang w:val="zh-CN"/>
        </w:rPr>
        <w:t>四个意识</w:t>
      </w:r>
      <w:r>
        <w:rPr>
          <w:rFonts w:hint="default" w:ascii="方正仿宋_GBK" w:hAnsi="方正仿宋_GBK" w:eastAsia="方正仿宋_GBK"/>
          <w:color w:val="auto"/>
          <w:spacing w:val="-6"/>
          <w:kern w:val="2"/>
          <w:sz w:val="32"/>
          <w:lang w:val="zh-CN"/>
        </w:rPr>
        <w:t>”</w:t>
      </w:r>
      <w:r>
        <w:rPr>
          <w:rFonts w:hint="eastAsia" w:ascii="方正仿宋_GBK" w:hAnsi="方正仿宋_GBK" w:eastAsia="方正仿宋_GBK"/>
          <w:color w:val="auto"/>
          <w:spacing w:val="-6"/>
          <w:kern w:val="2"/>
          <w:sz w:val="32"/>
          <w:lang w:val="zh-CN"/>
        </w:rPr>
        <w:t>，紧紧围绕统筹推进</w:t>
      </w:r>
      <w:r>
        <w:rPr>
          <w:rFonts w:hint="default" w:ascii="方正仿宋_GBK" w:hAnsi="方正仿宋_GBK" w:eastAsia="方正仿宋_GBK"/>
          <w:color w:val="auto"/>
          <w:spacing w:val="-6"/>
          <w:kern w:val="2"/>
          <w:sz w:val="32"/>
          <w:lang w:val="zh-CN"/>
        </w:rPr>
        <w:t>“</w:t>
      </w:r>
      <w:r>
        <w:rPr>
          <w:rFonts w:hint="eastAsia" w:ascii="方正仿宋_GBK" w:hAnsi="方正仿宋_GBK" w:eastAsia="方正仿宋_GBK"/>
          <w:color w:val="auto"/>
          <w:spacing w:val="-6"/>
          <w:kern w:val="2"/>
          <w:sz w:val="32"/>
          <w:lang w:val="zh-CN"/>
        </w:rPr>
        <w:t>五位一体</w:t>
      </w:r>
      <w:r>
        <w:rPr>
          <w:rFonts w:hint="default" w:ascii="方正仿宋_GBK" w:hAnsi="方正仿宋_GBK" w:eastAsia="方正仿宋_GBK"/>
          <w:color w:val="auto"/>
          <w:spacing w:val="-6"/>
          <w:kern w:val="2"/>
          <w:sz w:val="32"/>
          <w:lang w:val="zh-CN"/>
        </w:rPr>
        <w:t>”</w:t>
      </w:r>
      <w:r>
        <w:rPr>
          <w:rFonts w:hint="eastAsia" w:ascii="方正仿宋_GBK" w:hAnsi="方正仿宋_GBK" w:eastAsia="方正仿宋_GBK"/>
          <w:color w:val="auto"/>
          <w:spacing w:val="-6"/>
          <w:kern w:val="2"/>
          <w:sz w:val="32"/>
          <w:lang w:val="zh-CN"/>
        </w:rPr>
        <w:t>总体布局和协调推进</w:t>
      </w:r>
      <w:r>
        <w:rPr>
          <w:rFonts w:hint="default" w:ascii="方正仿宋_GBK" w:hAnsi="方正仿宋_GBK" w:eastAsia="方正仿宋_GBK"/>
          <w:color w:val="auto"/>
          <w:spacing w:val="-6"/>
          <w:kern w:val="2"/>
          <w:sz w:val="32"/>
          <w:lang w:val="zh-CN"/>
        </w:rPr>
        <w:t>“</w:t>
      </w:r>
      <w:r>
        <w:rPr>
          <w:rFonts w:hint="eastAsia" w:ascii="方正仿宋_GBK" w:hAnsi="方正仿宋_GBK" w:eastAsia="方正仿宋_GBK"/>
          <w:color w:val="auto"/>
          <w:spacing w:val="-6"/>
          <w:kern w:val="2"/>
          <w:sz w:val="32"/>
          <w:lang w:val="zh-CN"/>
        </w:rPr>
        <w:t>四个全面</w:t>
      </w:r>
      <w:r>
        <w:rPr>
          <w:rFonts w:hint="default" w:ascii="方正仿宋_GBK" w:hAnsi="方正仿宋_GBK" w:eastAsia="方正仿宋_GBK"/>
          <w:color w:val="auto"/>
          <w:spacing w:val="-6"/>
          <w:kern w:val="2"/>
          <w:sz w:val="32"/>
          <w:lang w:val="zh-CN"/>
        </w:rPr>
        <w:t>”</w:t>
      </w:r>
      <w:r>
        <w:rPr>
          <w:rFonts w:hint="eastAsia" w:ascii="方正仿宋_GBK" w:hAnsi="方正仿宋_GBK" w:eastAsia="方正仿宋_GBK"/>
          <w:color w:val="auto"/>
          <w:spacing w:val="-6"/>
          <w:kern w:val="2"/>
          <w:sz w:val="32"/>
          <w:lang w:val="zh-CN"/>
        </w:rPr>
        <w:t>战略布局，坚持以人民为中心的发展思想，贯彻落实新发展理念，以提高城市声环境质量为目标，坚持有利于城市规划的实施和可持续发展的原则，科学、合理划分调整，促进社会、经济和环境协调发展。</w:t>
      </w:r>
    </w:p>
    <w:p w14:paraId="445E1AFC">
      <w:pPr>
        <w:pStyle w:val="3"/>
        <w:keepNext/>
        <w:keepLines/>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t>（二）划分原则。</w:t>
      </w:r>
    </w:p>
    <w:p w14:paraId="4C9B2CFE">
      <w:pPr>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仿宋_GBK" w:hAnsi="方正仿宋_GBK" w:eastAsia="方正仿宋_GBK"/>
          <w:color w:val="auto"/>
          <w:kern w:val="2"/>
          <w:sz w:val="32"/>
          <w:lang w:val="zh-CN"/>
        </w:rPr>
      </w:pPr>
      <w:r>
        <w:rPr>
          <w:rFonts w:hint="eastAsia" w:ascii="方正仿宋_GBK" w:hAnsi="方正仿宋_GBK" w:eastAsia="方正仿宋_GBK"/>
          <w:color w:val="auto"/>
          <w:kern w:val="2"/>
          <w:sz w:val="32"/>
          <w:lang w:val="zh-CN"/>
        </w:rPr>
        <w:t>坚持以人为本，科学规范。</w:t>
      </w:r>
      <w:r>
        <w:rPr>
          <w:rFonts w:hint="eastAsia" w:ascii="方正仿宋_GBK" w:hAnsi="方正仿宋_GBK" w:eastAsia="方正仿宋_GBK"/>
          <w:color w:val="auto"/>
          <w:spacing w:val="-6"/>
          <w:kern w:val="2"/>
          <w:sz w:val="32"/>
          <w:lang w:val="zh-CN"/>
        </w:rPr>
        <w:t>以提高城市声环境质量为目标，有效的控制环境噪声污染状况，保障城市居民生活、工作、休息等正常需要，严格按照国家《声环境质量标准》（GB3096-2008）、《声环境功能区划技术规范》（GB/T15190-2014）、《重庆市声环境功能区划分技术规范实施细则（试行）》（渝环〔2015〕429号）进行划分。</w:t>
      </w:r>
    </w:p>
    <w:p w14:paraId="010EE1A9">
      <w:pPr>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kern w:val="2"/>
          <w:sz w:val="32"/>
          <w:lang w:val="zh-CN"/>
        </w:rPr>
        <w:t>坚持规划导向，统筹考虑。</w:t>
      </w:r>
      <w:r>
        <w:rPr>
          <w:rFonts w:hint="eastAsia" w:ascii="方正仿宋_GBK" w:hAnsi="方正仿宋_GBK" w:eastAsia="方正仿宋_GBK"/>
          <w:color w:val="auto"/>
          <w:spacing w:val="-6"/>
          <w:kern w:val="2"/>
          <w:sz w:val="32"/>
          <w:lang w:val="zh-CN"/>
        </w:rPr>
        <w:t>在《重庆市城乡总体规划（2007</w:t>
      </w:r>
      <w:r>
        <w:rPr>
          <w:rFonts w:hint="default" w:ascii="方正仿宋_GBK" w:hAnsi="方正仿宋_GBK" w:eastAsia="方正仿宋_GBK"/>
          <w:color w:val="auto"/>
          <w:spacing w:val="-6"/>
          <w:kern w:val="2"/>
          <w:sz w:val="32"/>
          <w:lang w:val="zh-CN"/>
        </w:rPr>
        <w:t>—</w:t>
      </w:r>
      <w:r>
        <w:rPr>
          <w:rFonts w:hint="eastAsia" w:ascii="方正仿宋_GBK" w:hAnsi="方正仿宋_GBK" w:eastAsia="方正仿宋_GBK"/>
          <w:color w:val="auto"/>
          <w:spacing w:val="-6"/>
          <w:kern w:val="2"/>
          <w:sz w:val="32"/>
          <w:lang w:val="zh-CN"/>
        </w:rPr>
        <w:t>2020年）》的总体要求下，以《荣昌区城乡总体规划（2009</w:t>
      </w:r>
      <w:r>
        <w:rPr>
          <w:rFonts w:hint="default" w:ascii="方正仿宋_GBK" w:hAnsi="方正仿宋_GBK" w:eastAsia="方正仿宋_GBK"/>
          <w:color w:val="auto"/>
          <w:spacing w:val="-6"/>
          <w:kern w:val="2"/>
          <w:sz w:val="32"/>
          <w:lang w:val="zh-CN"/>
        </w:rPr>
        <w:t>—</w:t>
      </w:r>
      <w:r>
        <w:rPr>
          <w:rFonts w:hint="eastAsia" w:ascii="方正仿宋_GBK" w:hAnsi="方正仿宋_GBK" w:eastAsia="方正仿宋_GBK"/>
          <w:color w:val="auto"/>
          <w:spacing w:val="-6"/>
          <w:kern w:val="2"/>
          <w:sz w:val="32"/>
          <w:lang w:val="zh-CN"/>
        </w:rPr>
        <w:t>2030年）》为主要依据，统筹考虑全市城市区域土地利用类型、声环境质量现状和规划进行划分。</w:t>
      </w:r>
    </w:p>
    <w:p w14:paraId="0DA1B4C4">
      <w:pPr>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仿宋_GBK" w:hAnsi="方正仿宋_GBK" w:eastAsia="方正仿宋_GBK"/>
          <w:color w:val="auto"/>
          <w:kern w:val="2"/>
          <w:sz w:val="32"/>
          <w:lang w:val="zh-CN"/>
        </w:rPr>
      </w:pPr>
      <w:r>
        <w:rPr>
          <w:rFonts w:hint="eastAsia" w:ascii="方正仿宋_GBK" w:hAnsi="方正仿宋_GBK" w:eastAsia="方正仿宋_GBK"/>
          <w:color w:val="auto"/>
          <w:kern w:val="2"/>
          <w:sz w:val="32"/>
          <w:lang w:val="zh-CN"/>
        </w:rPr>
        <w:t>坚持持续发展，动态调整。</w:t>
      </w:r>
      <w:r>
        <w:rPr>
          <w:rFonts w:hint="eastAsia" w:ascii="方正仿宋_GBK" w:hAnsi="方正仿宋_GBK" w:eastAsia="方正仿宋_GBK"/>
          <w:color w:val="auto"/>
          <w:spacing w:val="-6"/>
          <w:kern w:val="2"/>
          <w:sz w:val="32"/>
          <w:lang w:val="zh-CN"/>
        </w:rPr>
        <w:t>坚持城市生态性原则、经济性原则和可持续发展原则，要有利于城市规划的实施和城市的改建，充分利用城市行政区划及自然地貌，科学合理的区划。适时根据城市经济发展审环境质量管理科学技术的提高，动态调整功能区划分。</w:t>
      </w:r>
    </w:p>
    <w:p w14:paraId="292C13C1">
      <w:pPr>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kern w:val="2"/>
          <w:sz w:val="32"/>
          <w:lang w:val="zh-CN"/>
        </w:rPr>
        <w:t>坚持宏观控制，严控范围。</w:t>
      </w:r>
      <w:r>
        <w:rPr>
          <w:rFonts w:hint="eastAsia" w:ascii="方正仿宋_GBK" w:hAnsi="方正仿宋_GBK" w:eastAsia="方正仿宋_GBK"/>
          <w:color w:val="auto"/>
          <w:spacing w:val="-6"/>
          <w:kern w:val="2"/>
          <w:sz w:val="32"/>
          <w:lang w:val="zh-CN"/>
        </w:rPr>
        <w:t>以宏观控制为主，成片划分，宜大不宜小，宜粗不宜细，单块声功能区面积原则上不低于0.5km</w:t>
      </w:r>
      <w:r>
        <w:rPr>
          <w:rFonts w:hint="eastAsia" w:ascii="方正仿宋_GBK" w:hAnsi="方正仿宋_GBK" w:eastAsia="方正仿宋_GBK"/>
          <w:color w:val="auto"/>
          <w:spacing w:val="-6"/>
          <w:kern w:val="2"/>
          <w:sz w:val="32"/>
          <w:vertAlign w:val="superscript"/>
          <w:lang w:val="zh-CN"/>
        </w:rPr>
        <w:t>2</w:t>
      </w:r>
      <w:r>
        <w:rPr>
          <w:rFonts w:hint="eastAsia" w:ascii="方正仿宋_GBK" w:hAnsi="方正仿宋_GBK" w:eastAsia="方正仿宋_GBK"/>
          <w:color w:val="auto"/>
          <w:spacing w:val="-6"/>
          <w:kern w:val="2"/>
          <w:sz w:val="32"/>
          <w:lang w:val="zh-CN"/>
        </w:rPr>
        <w:t>，严格控制4类声环境功能区范围。</w:t>
      </w:r>
    </w:p>
    <w:p w14:paraId="76418CA9">
      <w:pPr>
        <w:pStyle w:val="3"/>
        <w:keepNext/>
        <w:keepLines/>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t>（三）划分依据。</w:t>
      </w:r>
    </w:p>
    <w:p w14:paraId="3C136478">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1﹒《中华人民共和国环境噪声污染防治法》；</w:t>
      </w:r>
    </w:p>
    <w:p w14:paraId="2DCF8E48">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2﹒《声环境质量标准》（GB3096-2008）；</w:t>
      </w:r>
    </w:p>
    <w:p w14:paraId="0C35ACEE">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3﹒《声环境功能区划技术规范》（GB/T15190-2014）</w:t>
      </w:r>
    </w:p>
    <w:p w14:paraId="168FA16B">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4﹒《城市用地分类与规划建设用地标准》（GB50137-2011）；</w:t>
      </w:r>
    </w:p>
    <w:p w14:paraId="6FFE98DD">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000000"/>
          <w:kern w:val="2"/>
          <w:sz w:val="32"/>
          <w:lang w:val="zh-CN"/>
        </w:rPr>
      </w:pPr>
      <w:r>
        <w:rPr>
          <w:rFonts w:hint="eastAsia" w:ascii="方正仿宋_GBK" w:hAnsi="方正仿宋_GBK" w:eastAsia="方正仿宋_GBK"/>
          <w:color w:val="auto"/>
          <w:spacing w:val="-6"/>
          <w:kern w:val="2"/>
          <w:sz w:val="32"/>
          <w:lang w:val="zh-CN"/>
        </w:rPr>
        <w:t>5﹒</w:t>
      </w:r>
      <w:r>
        <w:rPr>
          <w:rFonts w:hint="eastAsia" w:ascii="方正仿宋_GBK" w:hAnsi="方正仿宋_GBK" w:eastAsia="方正仿宋_GBK"/>
          <w:color w:val="000000"/>
          <w:kern w:val="2"/>
          <w:sz w:val="32"/>
          <w:lang w:val="zh-CN"/>
        </w:rPr>
        <w:t>《环境保护部关于加强环境噪声污染防治工作改善城乡声环境质量的指导意见》（环发〔2010〕144号）；</w:t>
      </w:r>
    </w:p>
    <w:p w14:paraId="27299801">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000000"/>
          <w:kern w:val="2"/>
          <w:sz w:val="32"/>
          <w:lang w:val="zh-CN"/>
        </w:rPr>
      </w:pPr>
      <w:r>
        <w:rPr>
          <w:rFonts w:hint="eastAsia" w:ascii="方正仿宋_GBK" w:hAnsi="方正仿宋_GBK" w:eastAsia="方正仿宋_GBK"/>
          <w:color w:val="auto"/>
          <w:spacing w:val="-6"/>
          <w:kern w:val="2"/>
          <w:sz w:val="32"/>
          <w:lang w:val="zh-CN"/>
        </w:rPr>
        <w:t>6﹒</w:t>
      </w:r>
      <w:r>
        <w:rPr>
          <w:rFonts w:hint="eastAsia" w:ascii="方正仿宋_GBK" w:hAnsi="方正仿宋_GBK" w:eastAsia="方正仿宋_GBK"/>
          <w:color w:val="000000"/>
          <w:kern w:val="2"/>
          <w:sz w:val="32"/>
          <w:lang w:val="zh-CN"/>
        </w:rPr>
        <w:t>《环保部办公厅关于加强和规范声环境功能区划分管理工作的通知》（环办大气函〔2017〕1709号）；</w:t>
      </w:r>
    </w:p>
    <w:p w14:paraId="52BEAE23">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7﹒《重庆市环境保护条例》；</w:t>
      </w:r>
    </w:p>
    <w:p w14:paraId="34C1550E">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8﹒《重庆市环境噪声污染防治办法》；</w:t>
      </w:r>
    </w:p>
    <w:p w14:paraId="0F531BA0">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9．《重庆市城乡总体规划（2007</w:t>
      </w:r>
      <w:r>
        <w:rPr>
          <w:rFonts w:hint="default" w:ascii="方正仿宋_GBK" w:hAnsi="方正仿宋_GBK" w:eastAsia="方正仿宋_GBK"/>
          <w:color w:val="auto"/>
          <w:spacing w:val="-6"/>
          <w:kern w:val="2"/>
          <w:sz w:val="32"/>
          <w:lang w:val="zh-CN"/>
        </w:rPr>
        <w:t>—</w:t>
      </w:r>
      <w:r>
        <w:rPr>
          <w:rFonts w:hint="eastAsia" w:ascii="方正仿宋_GBK" w:hAnsi="方正仿宋_GBK" w:eastAsia="方正仿宋_GBK"/>
          <w:color w:val="auto"/>
          <w:spacing w:val="-6"/>
          <w:kern w:val="2"/>
          <w:sz w:val="32"/>
          <w:lang w:val="zh-CN"/>
        </w:rPr>
        <w:t>2020年）》；</w:t>
      </w:r>
    </w:p>
    <w:p w14:paraId="08FC0043">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10﹒《重庆市声环境功能区划分技术规范实施细则（试行）》（渝环〔2015〕429号）；</w:t>
      </w:r>
    </w:p>
    <w:p w14:paraId="058408AB">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11﹒《荣昌区城乡总体规划（2009</w:t>
      </w:r>
      <w:r>
        <w:rPr>
          <w:rFonts w:hint="default" w:ascii="方正仿宋_GBK" w:hAnsi="方正仿宋_GBK" w:eastAsia="方正仿宋_GBK"/>
          <w:color w:val="auto"/>
          <w:spacing w:val="-6"/>
          <w:kern w:val="2"/>
          <w:sz w:val="32"/>
          <w:lang w:val="zh-CN"/>
        </w:rPr>
        <w:t>—</w:t>
      </w:r>
      <w:r>
        <w:rPr>
          <w:rFonts w:hint="eastAsia" w:ascii="方正仿宋_GBK" w:hAnsi="方正仿宋_GBK" w:eastAsia="方正仿宋_GBK"/>
          <w:color w:val="auto"/>
          <w:spacing w:val="-6"/>
          <w:kern w:val="2"/>
          <w:sz w:val="32"/>
          <w:lang w:val="zh-CN"/>
        </w:rPr>
        <w:t>2030年）》；</w:t>
      </w:r>
    </w:p>
    <w:p w14:paraId="388152BC">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12﹒《重庆市荣昌区综合交通体系规划》；</w:t>
      </w:r>
    </w:p>
    <w:p w14:paraId="443453C9">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13﹒《重庆市荣昌区综合交通运输</w:t>
      </w:r>
      <w:r>
        <w:rPr>
          <w:rFonts w:hint="default" w:ascii="方正仿宋_GBK" w:hAnsi="方正仿宋_GBK" w:eastAsia="方正仿宋_GBK"/>
          <w:color w:val="auto"/>
          <w:spacing w:val="-6"/>
          <w:kern w:val="2"/>
          <w:sz w:val="32"/>
          <w:lang w:val="zh-CN"/>
        </w:rPr>
        <w:t>“</w:t>
      </w:r>
      <w:r>
        <w:rPr>
          <w:rFonts w:hint="eastAsia" w:ascii="方正仿宋_GBK" w:hAnsi="方正仿宋_GBK" w:eastAsia="方正仿宋_GBK"/>
          <w:color w:val="auto"/>
          <w:spacing w:val="-6"/>
          <w:kern w:val="2"/>
          <w:sz w:val="32"/>
          <w:lang w:val="zh-CN"/>
        </w:rPr>
        <w:t>十三五</w:t>
      </w:r>
      <w:r>
        <w:rPr>
          <w:rFonts w:hint="default" w:ascii="方正仿宋_GBK" w:hAnsi="方正仿宋_GBK" w:eastAsia="方正仿宋_GBK"/>
          <w:color w:val="auto"/>
          <w:spacing w:val="-6"/>
          <w:kern w:val="2"/>
          <w:sz w:val="32"/>
          <w:lang w:val="zh-CN"/>
        </w:rPr>
        <w:t>”</w:t>
      </w:r>
      <w:r>
        <w:rPr>
          <w:rFonts w:hint="eastAsia" w:ascii="方正仿宋_GBK" w:hAnsi="方正仿宋_GBK" w:eastAsia="方正仿宋_GBK"/>
          <w:color w:val="auto"/>
          <w:spacing w:val="-6"/>
          <w:kern w:val="2"/>
          <w:sz w:val="32"/>
          <w:lang w:val="zh-CN"/>
        </w:rPr>
        <w:t>发展规划》（荣昌府发〔2017〕25号）；</w:t>
      </w:r>
    </w:p>
    <w:p w14:paraId="68010920">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14﹒《重庆荣昌高新技术产业开发区</w:t>
      </w:r>
      <w:r>
        <w:rPr>
          <w:rFonts w:hint="default" w:ascii="方正仿宋_GBK" w:hAnsi="方正仿宋_GBK" w:eastAsia="方正仿宋_GBK"/>
          <w:color w:val="auto"/>
          <w:spacing w:val="-6"/>
          <w:kern w:val="2"/>
          <w:sz w:val="32"/>
          <w:lang w:val="zh-CN"/>
        </w:rPr>
        <w:t>“</w:t>
      </w:r>
      <w:r>
        <w:rPr>
          <w:rFonts w:hint="eastAsia" w:ascii="方正仿宋_GBK" w:hAnsi="方正仿宋_GBK" w:eastAsia="方正仿宋_GBK"/>
          <w:color w:val="auto"/>
          <w:spacing w:val="-6"/>
          <w:kern w:val="2"/>
          <w:sz w:val="32"/>
          <w:lang w:val="zh-CN"/>
        </w:rPr>
        <w:t>十三五</w:t>
      </w:r>
      <w:r>
        <w:rPr>
          <w:rFonts w:hint="default" w:ascii="方正仿宋_GBK" w:hAnsi="方正仿宋_GBK" w:eastAsia="方正仿宋_GBK"/>
          <w:color w:val="auto"/>
          <w:spacing w:val="-6"/>
          <w:kern w:val="2"/>
          <w:sz w:val="32"/>
          <w:lang w:val="zh-CN"/>
        </w:rPr>
        <w:t>”</w:t>
      </w:r>
      <w:r>
        <w:rPr>
          <w:rFonts w:hint="eastAsia" w:ascii="方正仿宋_GBK" w:hAnsi="方正仿宋_GBK" w:eastAsia="方正仿宋_GBK"/>
          <w:color w:val="auto"/>
          <w:spacing w:val="-6"/>
          <w:kern w:val="2"/>
          <w:sz w:val="32"/>
          <w:lang w:val="zh-CN"/>
        </w:rPr>
        <w:t>发展规划》。</w:t>
      </w:r>
    </w:p>
    <w:p w14:paraId="36C9BBBD">
      <w:pPr>
        <w:pStyle w:val="3"/>
        <w:keepNext/>
        <w:keepLines/>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t>（四）区划时限、范围。</w:t>
      </w:r>
    </w:p>
    <w:p w14:paraId="0A4BB374">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1﹒区划时限</w:t>
      </w:r>
    </w:p>
    <w:p w14:paraId="71B44301">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区划基准年：2017年</w:t>
      </w:r>
    </w:p>
    <w:p w14:paraId="35017441">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区划时间：2018~2022年</w:t>
      </w:r>
    </w:p>
    <w:p w14:paraId="00E10263">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2﹒区划范围</w:t>
      </w:r>
    </w:p>
    <w:p w14:paraId="02C81C47">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本方案中区划范围包括荣昌区城市规划区范围（主要包括安富街道、广顺街道、昌元街道、昌州街道、峰高街道中心城区和直升镇镇部分区域）及仁义镇、吴家镇、双河街道、盘龙镇、铜鼓镇、清流镇、观胜镇、远觉镇、直升镇、清江镇、清升镇、万灵镇、龙集镇、河包镇、古昌镇、荣隆镇中心区域（见附录一）。</w:t>
      </w:r>
    </w:p>
    <w:p w14:paraId="560332A6">
      <w:pPr>
        <w:pStyle w:val="2"/>
        <w:keepNext/>
        <w:keepLines/>
        <w:pageBreakBefore w:val="0"/>
        <w:widowControl w:val="0"/>
        <w:kinsoku/>
        <w:wordWrap/>
        <w:overflowPunct/>
        <w:topLinePunct w:val="0"/>
        <w:autoSpaceDE/>
        <w:autoSpaceDN/>
        <w:bidi w:val="0"/>
        <w:adjustRightInd/>
        <w:snapToGrid/>
        <w:spacing w:before="0" w:beforeLines="0" w:after="0" w:afterLines="0" w:line="560" w:lineRule="exact"/>
        <w:ind w:left="0" w:right="0" w:firstLine="640"/>
        <w:jc w:val="both"/>
        <w:textAlignment w:val="auto"/>
        <w:rPr>
          <w:rFonts w:hint="eastAsia" w:ascii="方正黑体_GBK" w:hAnsi="方正黑体_GBK" w:eastAsia="方正黑体_GBK"/>
          <w:color w:val="auto"/>
          <w:kern w:val="44"/>
          <w:sz w:val="32"/>
          <w:lang w:val="zh-CN"/>
        </w:rPr>
      </w:pPr>
      <w:r>
        <w:rPr>
          <w:rFonts w:hint="eastAsia" w:ascii="方正黑体_GBK" w:hAnsi="方正黑体_GBK" w:eastAsia="方正黑体_GBK"/>
          <w:color w:val="auto"/>
          <w:kern w:val="44"/>
          <w:sz w:val="32"/>
          <w:lang w:val="zh-CN"/>
        </w:rPr>
        <w:t>二、区划类型及声环境质量标准</w:t>
      </w:r>
    </w:p>
    <w:p w14:paraId="231A0F06">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1﹒区划类型</w:t>
      </w:r>
    </w:p>
    <w:p w14:paraId="0E864E2C">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根据《声环境质量标准》（GB3096-2008）的规定，声环境功能区分为0类、1类、2类、3类和4类，其中：</w:t>
      </w:r>
    </w:p>
    <w:p w14:paraId="512F9B0C">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0 类声环境功能区：指康复疗养区等特别需要安静的区域。</w:t>
      </w:r>
    </w:p>
    <w:p w14:paraId="498433D0">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1类声环境功能区：指以居民住宅、医疗卫生、文化教育、科研设计、行政办公为主要功能，需要保持安静的区域。</w:t>
      </w:r>
    </w:p>
    <w:p w14:paraId="039B9C82">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2类声环境功能区：指以商业金融、集市贸易为主要功能，或者居住、商业、工业混杂，需要维护住宅安静的区域。</w:t>
      </w:r>
    </w:p>
    <w:p w14:paraId="68019AE0">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3类声环境功能区：指以工业生产、仓储物流为主要功能，需要防止工业噪声对周围环境产生严重影响的区域。</w:t>
      </w:r>
    </w:p>
    <w:p w14:paraId="75D5A77C">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4类声环境功能区：指交通干线两侧一定距离之内（见表1），需要防止交通噪声对周围环境产生严重影响的区域，包括4a类和4b类两种类型。4a类为高速公路、一级公路、二级公路、城市快速路、城市主干路、城市次干路、城市轨道交通（地面段）、内河航道两侧区域；4b类为铁路干线两侧区域。</w:t>
      </w:r>
    </w:p>
    <w:p w14:paraId="33E10D25">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000000"/>
          <w:sz w:val="32"/>
          <w:lang w:val="zh-CN"/>
        </w:rPr>
      </w:pPr>
      <w:r>
        <w:rPr>
          <w:rFonts w:hint="eastAsia" w:ascii="方正黑体_GBK" w:hAnsi="方正黑体_GBK" w:eastAsia="方正黑体_GBK"/>
          <w:color w:val="000000"/>
          <w:sz w:val="32"/>
          <w:lang w:val="zh-CN"/>
        </w:rPr>
        <w:t>表1  交通干线相邻区域4类功能区距离的确定</w:t>
      </w:r>
    </w:p>
    <w:tbl>
      <w:tblPr>
        <w:tblStyle w:val="12"/>
        <w:tblW w:w="8791" w:type="dxa"/>
        <w:jc w:val="center"/>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
      <w:tblGrid>
        <w:gridCol w:w="10"/>
        <w:gridCol w:w="4284"/>
        <w:gridCol w:w="10"/>
        <w:gridCol w:w="2115"/>
        <w:gridCol w:w="10"/>
        <w:gridCol w:w="2352"/>
        <w:gridCol w:w="10"/>
      </w:tblGrid>
      <w:tr w14:paraId="52F7DA59">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After w:val="1"/>
          <w:wAfter w:w="10" w:type="dxa"/>
          <w:trHeight w:val="512" w:hRule="exact"/>
          <w:jc w:val="center"/>
        </w:trPr>
        <w:tc>
          <w:tcPr>
            <w:tcW w:w="4294" w:type="dxa"/>
            <w:gridSpan w:val="2"/>
            <w:tcBorders>
              <w:top w:val="single" w:color="auto" w:sz="4" w:space="0"/>
              <w:left w:val="single" w:color="auto" w:sz="4" w:space="0"/>
              <w:bottom w:val="single" w:color="808080" w:sz="4" w:space="0"/>
              <w:right w:val="single" w:color="808080" w:sz="4" w:space="0"/>
              <w:tl2br w:val="nil"/>
              <w:tr2bl w:val="nil"/>
            </w:tcBorders>
            <w:noWrap w:val="0"/>
            <w:vAlign w:val="center"/>
          </w:tcPr>
          <w:p w14:paraId="7703B816">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源强类型</w:t>
            </w:r>
          </w:p>
        </w:tc>
        <w:tc>
          <w:tcPr>
            <w:tcW w:w="2125" w:type="dxa"/>
            <w:gridSpan w:val="2"/>
            <w:tcBorders>
              <w:top w:val="single" w:color="auto" w:sz="4" w:space="0"/>
              <w:left w:val="single" w:color="808080" w:sz="4" w:space="0"/>
              <w:bottom w:val="single" w:color="808080" w:sz="4" w:space="0"/>
              <w:right w:val="single" w:color="808080" w:sz="4" w:space="0"/>
              <w:tl2br w:val="nil"/>
              <w:tr2bl w:val="nil"/>
            </w:tcBorders>
            <w:noWrap w:val="0"/>
            <w:vAlign w:val="center"/>
          </w:tcPr>
          <w:p w14:paraId="65C57115">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划分距离（m）</w:t>
            </w:r>
          </w:p>
        </w:tc>
        <w:tc>
          <w:tcPr>
            <w:tcW w:w="2362" w:type="dxa"/>
            <w:gridSpan w:val="2"/>
            <w:tcBorders>
              <w:top w:val="single" w:color="auto" w:sz="4" w:space="0"/>
              <w:left w:val="single" w:color="808080" w:sz="4" w:space="0"/>
              <w:bottom w:val="single" w:color="808080" w:sz="4" w:space="0"/>
              <w:right w:val="single" w:color="auto" w:sz="4" w:space="0"/>
              <w:tl2br w:val="nil"/>
              <w:tr2bl w:val="nil"/>
            </w:tcBorders>
            <w:noWrap w:val="0"/>
            <w:vAlign w:val="center"/>
          </w:tcPr>
          <w:p w14:paraId="2C605D27">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相邻功能区类型</w:t>
            </w:r>
          </w:p>
        </w:tc>
      </w:tr>
      <w:tr w14:paraId="4D4B5B96">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After w:val="1"/>
          <w:wAfter w:w="10" w:type="dxa"/>
          <w:trHeight w:val="397" w:hRule="exact"/>
          <w:jc w:val="center"/>
        </w:trPr>
        <w:tc>
          <w:tcPr>
            <w:tcW w:w="4294" w:type="dxa"/>
            <w:gridSpan w:val="2"/>
            <w:vMerge w:val="restart"/>
            <w:tcBorders>
              <w:top w:val="single" w:color="808080" w:sz="4" w:space="0"/>
              <w:left w:val="single" w:color="auto" w:sz="4" w:space="0"/>
              <w:bottom w:val="single" w:color="808080" w:sz="4" w:space="0"/>
              <w:right w:val="single" w:color="808080" w:sz="4" w:space="0"/>
              <w:tl2br w:val="nil"/>
              <w:tr2bl w:val="nil"/>
            </w:tcBorders>
            <w:noWrap w:val="0"/>
            <w:vAlign w:val="center"/>
          </w:tcPr>
          <w:p w14:paraId="29EBEEC7">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高速公路、城市快速路</w:t>
            </w:r>
            <w:r>
              <w:rPr>
                <w:rFonts w:hint="eastAsia" w:ascii="方正仿宋_GBK" w:hAnsi="方正仿宋_GBK" w:eastAsia="方正仿宋_GBK"/>
                <w:color w:val="000000"/>
                <w:kern w:val="2"/>
                <w:sz w:val="28"/>
                <w:lang w:val="zh-CN"/>
              </w:rPr>
              <w:t>、</w:t>
            </w:r>
            <w:r>
              <w:rPr>
                <w:rFonts w:hint="eastAsia" w:ascii="方正仿宋_GBK" w:hAnsi="方正仿宋_GBK" w:eastAsia="方正仿宋_GBK"/>
                <w:color w:val="auto"/>
                <w:kern w:val="2"/>
                <w:sz w:val="28"/>
                <w:lang w:val="zh-CN"/>
              </w:rPr>
              <w:t>城市轨道交通（钢轨</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地面段）、铁路</w:t>
            </w:r>
          </w:p>
        </w:tc>
        <w:tc>
          <w:tcPr>
            <w:tcW w:w="212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7AE6F963">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55</w:t>
            </w:r>
          </w:p>
        </w:tc>
        <w:tc>
          <w:tcPr>
            <w:tcW w:w="2362"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11370A7E">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1</w:t>
            </w:r>
            <w:r>
              <w:rPr>
                <w:rFonts w:hint="eastAsia" w:ascii="方正仿宋_GBK" w:hAnsi="方正仿宋_GBK" w:eastAsia="方正仿宋_GBK"/>
                <w:color w:val="auto"/>
                <w:kern w:val="2"/>
                <w:sz w:val="28"/>
                <w:lang w:val="zh-CN"/>
              </w:rPr>
              <w:t>类区</w:t>
            </w:r>
          </w:p>
        </w:tc>
      </w:tr>
      <w:tr w14:paraId="0BD363DA">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After w:val="1"/>
          <w:wAfter w:w="10" w:type="dxa"/>
          <w:trHeight w:val="397" w:hRule="exact"/>
          <w:jc w:val="center"/>
        </w:trPr>
        <w:tc>
          <w:tcPr>
            <w:tcW w:w="4294" w:type="dxa"/>
            <w:gridSpan w:val="2"/>
            <w:vMerge w:val="continue"/>
            <w:tcBorders>
              <w:top w:val="single" w:color="808080" w:sz="4" w:space="0"/>
              <w:left w:val="single" w:color="auto" w:sz="4" w:space="0"/>
              <w:bottom w:val="single" w:color="808080" w:sz="4" w:space="0"/>
              <w:right w:val="single" w:color="808080" w:sz="4" w:space="0"/>
              <w:tl2br w:val="nil"/>
              <w:tr2bl w:val="nil"/>
            </w:tcBorders>
            <w:noWrap w:val="0"/>
            <w:vAlign w:val="center"/>
          </w:tcPr>
          <w:p w14:paraId="1970CFDC">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p>
        </w:tc>
        <w:tc>
          <w:tcPr>
            <w:tcW w:w="212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2808FFF2">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40</w:t>
            </w:r>
          </w:p>
        </w:tc>
        <w:tc>
          <w:tcPr>
            <w:tcW w:w="2362"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391E6F9C">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2</w:t>
            </w:r>
            <w:r>
              <w:rPr>
                <w:rFonts w:hint="eastAsia" w:ascii="方正仿宋_GBK" w:hAnsi="方正仿宋_GBK" w:eastAsia="方正仿宋_GBK"/>
                <w:color w:val="auto"/>
                <w:kern w:val="2"/>
                <w:sz w:val="28"/>
                <w:lang w:val="zh-CN"/>
              </w:rPr>
              <w:t>类区</w:t>
            </w:r>
          </w:p>
          <w:p w14:paraId="49071CB2">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p>
        </w:tc>
      </w:tr>
      <w:tr w14:paraId="2BFCE875">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Before w:val="1"/>
          <w:wBefore w:w="10" w:type="dxa"/>
          <w:trHeight w:val="397" w:hRule="exact"/>
          <w:jc w:val="center"/>
        </w:trPr>
        <w:tc>
          <w:tcPr>
            <w:tcW w:w="4294" w:type="dxa"/>
            <w:gridSpan w:val="2"/>
            <w:vMerge w:val="continue"/>
            <w:tcBorders>
              <w:top w:val="single" w:color="808080" w:sz="4" w:space="0"/>
              <w:left w:val="single" w:color="auto" w:sz="4" w:space="0"/>
              <w:bottom w:val="single" w:color="808080" w:sz="4" w:space="0"/>
              <w:right w:val="single" w:color="808080" w:sz="4" w:space="0"/>
              <w:tl2br w:val="nil"/>
              <w:tr2bl w:val="nil"/>
            </w:tcBorders>
            <w:noWrap w:val="0"/>
            <w:vAlign w:val="center"/>
          </w:tcPr>
          <w:p w14:paraId="1FE244A0">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p>
        </w:tc>
        <w:tc>
          <w:tcPr>
            <w:tcW w:w="212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0E8F2A89">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25</w:t>
            </w:r>
          </w:p>
        </w:tc>
        <w:tc>
          <w:tcPr>
            <w:tcW w:w="2362"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38294EFE">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3</w:t>
            </w:r>
            <w:r>
              <w:rPr>
                <w:rFonts w:hint="eastAsia" w:ascii="方正仿宋_GBK" w:hAnsi="方正仿宋_GBK" w:eastAsia="方正仿宋_GBK"/>
                <w:color w:val="auto"/>
                <w:kern w:val="2"/>
                <w:sz w:val="28"/>
                <w:lang w:val="zh-CN"/>
              </w:rPr>
              <w:t>类区</w:t>
            </w:r>
          </w:p>
        </w:tc>
      </w:tr>
      <w:tr w14:paraId="41B50127">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After w:val="1"/>
          <w:wAfter w:w="10" w:type="dxa"/>
          <w:trHeight w:val="397" w:hRule="exact"/>
          <w:jc w:val="center"/>
        </w:trPr>
        <w:tc>
          <w:tcPr>
            <w:tcW w:w="4294" w:type="dxa"/>
            <w:gridSpan w:val="2"/>
            <w:vMerge w:val="restart"/>
            <w:tcBorders>
              <w:top w:val="single" w:color="808080" w:sz="4" w:space="0"/>
              <w:left w:val="single" w:color="auto" w:sz="4" w:space="0"/>
              <w:bottom w:val="single" w:color="808080" w:sz="4" w:space="0"/>
              <w:right w:val="single" w:color="808080" w:sz="4" w:space="0"/>
              <w:tl2br w:val="nil"/>
              <w:tr2bl w:val="nil"/>
            </w:tcBorders>
            <w:noWrap w:val="0"/>
            <w:vAlign w:val="center"/>
          </w:tcPr>
          <w:p w14:paraId="279F113D">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一级公路、城市主干路、</w:t>
            </w:r>
            <w:r>
              <w:rPr>
                <w:rFonts w:hint="eastAsia" w:ascii="方正仿宋_GBK" w:hAnsi="方正仿宋_GBK" w:eastAsia="方正仿宋_GBK"/>
                <w:color w:val="000000"/>
                <w:kern w:val="2"/>
                <w:sz w:val="28"/>
                <w:lang w:val="zh-CN"/>
              </w:rPr>
              <w:t>内河航道</w:t>
            </w:r>
          </w:p>
        </w:tc>
        <w:tc>
          <w:tcPr>
            <w:tcW w:w="212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18F5498D">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50</w:t>
            </w:r>
          </w:p>
        </w:tc>
        <w:tc>
          <w:tcPr>
            <w:tcW w:w="2362"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73E6BF71">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1</w:t>
            </w:r>
            <w:r>
              <w:rPr>
                <w:rFonts w:hint="eastAsia" w:ascii="方正仿宋_GBK" w:hAnsi="方正仿宋_GBK" w:eastAsia="方正仿宋_GBK"/>
                <w:color w:val="auto"/>
                <w:kern w:val="2"/>
                <w:sz w:val="28"/>
                <w:lang w:val="zh-CN"/>
              </w:rPr>
              <w:t>类区</w:t>
            </w:r>
          </w:p>
        </w:tc>
      </w:tr>
      <w:tr w14:paraId="292B87DC">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After w:val="1"/>
          <w:wAfter w:w="10" w:type="dxa"/>
          <w:trHeight w:val="397" w:hRule="exact"/>
          <w:jc w:val="center"/>
        </w:trPr>
        <w:tc>
          <w:tcPr>
            <w:tcW w:w="4294" w:type="dxa"/>
            <w:gridSpan w:val="2"/>
            <w:vMerge w:val="continue"/>
            <w:tcBorders>
              <w:top w:val="single" w:color="808080" w:sz="4" w:space="0"/>
              <w:left w:val="single" w:color="auto" w:sz="4" w:space="0"/>
              <w:bottom w:val="single" w:color="808080" w:sz="4" w:space="0"/>
              <w:right w:val="single" w:color="808080" w:sz="4" w:space="0"/>
              <w:tl2br w:val="nil"/>
              <w:tr2bl w:val="nil"/>
            </w:tcBorders>
            <w:noWrap w:val="0"/>
            <w:vAlign w:val="center"/>
          </w:tcPr>
          <w:p w14:paraId="1834B327">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p>
        </w:tc>
        <w:tc>
          <w:tcPr>
            <w:tcW w:w="212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21A02F37">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35</w:t>
            </w:r>
          </w:p>
        </w:tc>
        <w:tc>
          <w:tcPr>
            <w:tcW w:w="2362"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1B1D1B4D">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2</w:t>
            </w:r>
            <w:r>
              <w:rPr>
                <w:rFonts w:hint="eastAsia" w:ascii="方正仿宋_GBK" w:hAnsi="方正仿宋_GBK" w:eastAsia="方正仿宋_GBK"/>
                <w:color w:val="auto"/>
                <w:kern w:val="2"/>
                <w:sz w:val="28"/>
                <w:lang w:val="zh-CN"/>
              </w:rPr>
              <w:t>类区</w:t>
            </w:r>
          </w:p>
          <w:p w14:paraId="760F70B3">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p>
        </w:tc>
      </w:tr>
      <w:tr w14:paraId="419C6A6A">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After w:val="1"/>
          <w:wAfter w:w="10" w:type="dxa"/>
          <w:trHeight w:val="437" w:hRule="exact"/>
          <w:jc w:val="center"/>
        </w:trPr>
        <w:tc>
          <w:tcPr>
            <w:tcW w:w="4294" w:type="dxa"/>
            <w:gridSpan w:val="2"/>
            <w:vMerge w:val="continue"/>
            <w:tcBorders>
              <w:top w:val="single" w:color="808080" w:sz="4" w:space="0"/>
              <w:left w:val="single" w:color="auto" w:sz="4" w:space="0"/>
              <w:bottom w:val="single" w:color="808080" w:sz="4" w:space="0"/>
              <w:right w:val="single" w:color="808080" w:sz="4" w:space="0"/>
              <w:tl2br w:val="nil"/>
              <w:tr2bl w:val="nil"/>
            </w:tcBorders>
            <w:noWrap w:val="0"/>
            <w:vAlign w:val="center"/>
          </w:tcPr>
          <w:p w14:paraId="2B78AD09">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p>
        </w:tc>
        <w:tc>
          <w:tcPr>
            <w:tcW w:w="212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49B17034">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20</w:t>
            </w:r>
          </w:p>
        </w:tc>
        <w:tc>
          <w:tcPr>
            <w:tcW w:w="2362"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45FF6F18">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3</w:t>
            </w:r>
            <w:r>
              <w:rPr>
                <w:rFonts w:hint="eastAsia" w:ascii="方正仿宋_GBK" w:hAnsi="方正仿宋_GBK" w:eastAsia="方正仿宋_GBK"/>
                <w:color w:val="auto"/>
                <w:kern w:val="2"/>
                <w:sz w:val="28"/>
                <w:lang w:val="zh-CN"/>
              </w:rPr>
              <w:t>类区</w:t>
            </w:r>
          </w:p>
        </w:tc>
      </w:tr>
      <w:tr w14:paraId="4125E216">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After w:val="1"/>
          <w:wAfter w:w="10" w:type="dxa"/>
          <w:trHeight w:val="397" w:hRule="exact"/>
          <w:jc w:val="center"/>
        </w:trPr>
        <w:tc>
          <w:tcPr>
            <w:tcW w:w="4294" w:type="dxa"/>
            <w:gridSpan w:val="2"/>
            <w:vMerge w:val="restart"/>
            <w:tcBorders>
              <w:top w:val="single" w:color="808080" w:sz="4" w:space="0"/>
              <w:left w:val="single" w:color="auto" w:sz="4" w:space="0"/>
              <w:bottom w:val="single" w:color="808080" w:sz="4" w:space="0"/>
              <w:right w:val="single" w:color="808080" w:sz="4" w:space="0"/>
              <w:tl2br w:val="nil"/>
              <w:tr2bl w:val="nil"/>
            </w:tcBorders>
            <w:noWrap w:val="0"/>
            <w:vAlign w:val="center"/>
          </w:tcPr>
          <w:p w14:paraId="42CB5F68">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二级公路、城市次干路、城市轨道交通（胶轨</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地面段）</w:t>
            </w:r>
          </w:p>
        </w:tc>
        <w:tc>
          <w:tcPr>
            <w:tcW w:w="212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6F0B7C1E">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45</w:t>
            </w:r>
          </w:p>
        </w:tc>
        <w:tc>
          <w:tcPr>
            <w:tcW w:w="2362"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2886FD4C">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1</w:t>
            </w:r>
            <w:r>
              <w:rPr>
                <w:rFonts w:hint="eastAsia" w:ascii="方正仿宋_GBK" w:hAnsi="方正仿宋_GBK" w:eastAsia="方正仿宋_GBK"/>
                <w:color w:val="auto"/>
                <w:kern w:val="2"/>
                <w:sz w:val="28"/>
                <w:lang w:val="zh-CN"/>
              </w:rPr>
              <w:t>类区</w:t>
            </w:r>
          </w:p>
        </w:tc>
      </w:tr>
      <w:tr w14:paraId="0DEA2B0A">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After w:val="1"/>
          <w:wAfter w:w="10" w:type="dxa"/>
          <w:trHeight w:val="462" w:hRule="exact"/>
          <w:jc w:val="center"/>
        </w:trPr>
        <w:tc>
          <w:tcPr>
            <w:tcW w:w="4294" w:type="dxa"/>
            <w:gridSpan w:val="2"/>
            <w:vMerge w:val="continue"/>
            <w:tcBorders>
              <w:top w:val="single" w:color="808080" w:sz="4" w:space="0"/>
              <w:left w:val="single" w:color="auto" w:sz="4" w:space="0"/>
              <w:bottom w:val="single" w:color="808080" w:sz="4" w:space="0"/>
              <w:right w:val="single" w:color="808080" w:sz="4" w:space="0"/>
              <w:tl2br w:val="nil"/>
              <w:tr2bl w:val="nil"/>
            </w:tcBorders>
            <w:noWrap w:val="0"/>
            <w:vAlign w:val="center"/>
          </w:tcPr>
          <w:p w14:paraId="48161EB6">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p>
        </w:tc>
        <w:tc>
          <w:tcPr>
            <w:tcW w:w="212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207E83AC">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30</w:t>
            </w:r>
          </w:p>
        </w:tc>
        <w:tc>
          <w:tcPr>
            <w:tcW w:w="2362"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7D6E9C68">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2</w:t>
            </w:r>
            <w:r>
              <w:rPr>
                <w:rFonts w:hint="eastAsia" w:ascii="方正仿宋_GBK" w:hAnsi="方正仿宋_GBK" w:eastAsia="方正仿宋_GBK"/>
                <w:color w:val="auto"/>
                <w:kern w:val="2"/>
                <w:sz w:val="28"/>
                <w:lang w:val="zh-CN"/>
              </w:rPr>
              <w:t>类区</w:t>
            </w:r>
          </w:p>
        </w:tc>
      </w:tr>
      <w:tr w14:paraId="5ED773B3">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After w:val="1"/>
          <w:wAfter w:w="10" w:type="dxa"/>
          <w:trHeight w:val="399" w:hRule="exact"/>
          <w:jc w:val="center"/>
        </w:trPr>
        <w:tc>
          <w:tcPr>
            <w:tcW w:w="4294" w:type="dxa"/>
            <w:gridSpan w:val="2"/>
            <w:vMerge w:val="continue"/>
            <w:tcBorders>
              <w:top w:val="single" w:color="808080" w:sz="4" w:space="0"/>
              <w:left w:val="single" w:color="auto" w:sz="4" w:space="0"/>
              <w:bottom w:val="single" w:color="auto" w:sz="4" w:space="0"/>
              <w:right w:val="single" w:color="808080" w:sz="4" w:space="0"/>
              <w:tl2br w:val="nil"/>
              <w:tr2bl w:val="nil"/>
            </w:tcBorders>
            <w:noWrap w:val="0"/>
            <w:vAlign w:val="center"/>
          </w:tcPr>
          <w:p w14:paraId="449D3F9D">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p>
        </w:tc>
        <w:tc>
          <w:tcPr>
            <w:tcW w:w="2125" w:type="dxa"/>
            <w:gridSpan w:val="2"/>
            <w:tcBorders>
              <w:top w:val="single" w:color="808080" w:sz="4" w:space="0"/>
              <w:left w:val="single" w:color="808080" w:sz="4" w:space="0"/>
              <w:bottom w:val="single" w:color="auto" w:sz="4" w:space="0"/>
              <w:right w:val="single" w:color="808080" w:sz="4" w:space="0"/>
              <w:tl2br w:val="nil"/>
              <w:tr2bl w:val="nil"/>
            </w:tcBorders>
            <w:noWrap w:val="0"/>
            <w:vAlign w:val="center"/>
          </w:tcPr>
          <w:p w14:paraId="6E6A6B56">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15</w:t>
            </w:r>
          </w:p>
        </w:tc>
        <w:tc>
          <w:tcPr>
            <w:tcW w:w="2362" w:type="dxa"/>
            <w:gridSpan w:val="2"/>
            <w:tcBorders>
              <w:top w:val="single" w:color="808080" w:sz="4" w:space="0"/>
              <w:left w:val="single" w:color="808080" w:sz="4" w:space="0"/>
              <w:bottom w:val="single" w:color="auto" w:sz="4" w:space="0"/>
              <w:right w:val="single" w:color="auto" w:sz="4" w:space="0"/>
              <w:tl2br w:val="nil"/>
              <w:tr2bl w:val="nil"/>
            </w:tcBorders>
            <w:noWrap w:val="0"/>
            <w:vAlign w:val="center"/>
          </w:tcPr>
          <w:p w14:paraId="3A5C2801">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3</w:t>
            </w:r>
            <w:r>
              <w:rPr>
                <w:rFonts w:hint="eastAsia" w:ascii="方正仿宋_GBK" w:hAnsi="方正仿宋_GBK" w:eastAsia="方正仿宋_GBK"/>
                <w:color w:val="auto"/>
                <w:kern w:val="2"/>
                <w:sz w:val="28"/>
                <w:lang w:val="zh-CN"/>
              </w:rPr>
              <w:t>类区</w:t>
            </w:r>
          </w:p>
        </w:tc>
      </w:tr>
    </w:tbl>
    <w:p w14:paraId="655F96F5">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2﹒声环境质量标准</w:t>
      </w:r>
    </w:p>
    <w:p w14:paraId="560E18C8">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根据《声环境质量标准》（GB3096-2008）的规定，0类、1类、2类、3类和4类区标准限值见下表1。</w:t>
      </w:r>
    </w:p>
    <w:p w14:paraId="08D9487A">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32"/>
          <w:lang w:val="zh-CN"/>
        </w:rPr>
      </w:pPr>
      <w:r>
        <w:rPr>
          <w:rFonts w:hint="eastAsia" w:ascii="方正黑体_GBK" w:hAnsi="方正黑体_GBK" w:eastAsia="方正黑体_GBK"/>
          <w:color w:val="auto"/>
          <w:kern w:val="2"/>
          <w:sz w:val="32"/>
          <w:lang w:val="zh-CN"/>
        </w:rPr>
        <w:t>表2 声环境噪声限值</w:t>
      </w:r>
    </w:p>
    <w:tbl>
      <w:tblPr>
        <w:tblStyle w:val="12"/>
        <w:tblW w:w="8505" w:type="dxa"/>
        <w:jc w:val="center"/>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
      <w:tblGrid>
        <w:gridCol w:w="10"/>
        <w:gridCol w:w="1085"/>
        <w:gridCol w:w="2043"/>
        <w:gridCol w:w="10"/>
        <w:gridCol w:w="2625"/>
        <w:gridCol w:w="10"/>
        <w:gridCol w:w="2712"/>
        <w:gridCol w:w="10"/>
      </w:tblGrid>
      <w:tr w14:paraId="70F31F5D">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After w:val="1"/>
          <w:wAfter w:w="10" w:type="dxa"/>
          <w:trHeight w:val="350" w:hRule="atLeast"/>
          <w:jc w:val="center"/>
        </w:trPr>
        <w:tc>
          <w:tcPr>
            <w:tcW w:w="3138" w:type="dxa"/>
            <w:gridSpan w:val="3"/>
            <w:vMerge w:val="restart"/>
            <w:tcBorders>
              <w:top w:val="single" w:color="auto" w:sz="4" w:space="0"/>
              <w:left w:val="single" w:color="auto" w:sz="4" w:space="0"/>
              <w:bottom w:val="single" w:color="808080" w:sz="4" w:space="0"/>
              <w:right w:val="single" w:color="808080" w:sz="4" w:space="0"/>
              <w:tl2br w:val="nil"/>
              <w:tr2bl w:val="nil"/>
            </w:tcBorders>
            <w:noWrap w:val="0"/>
            <w:vAlign w:val="center"/>
          </w:tcPr>
          <w:p w14:paraId="3AD03C02">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声环境功能区类别</w:t>
            </w:r>
          </w:p>
        </w:tc>
        <w:tc>
          <w:tcPr>
            <w:tcW w:w="5357" w:type="dxa"/>
            <w:gridSpan w:val="4"/>
            <w:tcBorders>
              <w:top w:val="single" w:color="auto" w:sz="4" w:space="0"/>
              <w:left w:val="single" w:color="808080" w:sz="4" w:space="0"/>
              <w:bottom w:val="single" w:color="808080" w:sz="4" w:space="0"/>
              <w:right w:val="single" w:color="auto" w:sz="4" w:space="0"/>
              <w:tl2br w:val="nil"/>
              <w:tr2bl w:val="nil"/>
            </w:tcBorders>
            <w:noWrap w:val="0"/>
            <w:vAlign w:val="center"/>
          </w:tcPr>
          <w:p w14:paraId="783AD513">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标准值类eq（dBA）</w:t>
            </w:r>
          </w:p>
        </w:tc>
      </w:tr>
      <w:tr w14:paraId="48C36ACF">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After w:val="1"/>
          <w:wAfter w:w="10" w:type="dxa"/>
          <w:trHeight w:val="376" w:hRule="atLeast"/>
          <w:jc w:val="center"/>
        </w:trPr>
        <w:tc>
          <w:tcPr>
            <w:tcW w:w="3138" w:type="dxa"/>
            <w:gridSpan w:val="3"/>
            <w:vMerge w:val="continue"/>
            <w:tcBorders>
              <w:top w:val="single" w:color="808080" w:sz="4" w:space="0"/>
              <w:left w:val="single" w:color="auto" w:sz="4" w:space="0"/>
              <w:bottom w:val="single" w:color="808080" w:sz="4" w:space="0"/>
              <w:right w:val="single" w:color="808080" w:sz="4" w:space="0"/>
              <w:tl2br w:val="nil"/>
              <w:tr2bl w:val="nil"/>
            </w:tcBorders>
            <w:noWrap w:val="0"/>
            <w:vAlign w:val="center"/>
          </w:tcPr>
          <w:p w14:paraId="4DF7CA08">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p>
        </w:tc>
        <w:tc>
          <w:tcPr>
            <w:tcW w:w="263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491CE6A4">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昼间</w:t>
            </w:r>
          </w:p>
        </w:tc>
        <w:tc>
          <w:tcPr>
            <w:tcW w:w="2722"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75C6B543">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夜间</w:t>
            </w:r>
          </w:p>
        </w:tc>
      </w:tr>
      <w:tr w14:paraId="30E1ED6C">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After w:val="1"/>
          <w:wAfter w:w="10" w:type="dxa"/>
          <w:jc w:val="center"/>
        </w:trPr>
        <w:tc>
          <w:tcPr>
            <w:tcW w:w="3138" w:type="dxa"/>
            <w:gridSpan w:val="3"/>
            <w:tcBorders>
              <w:top w:val="single" w:color="808080" w:sz="4" w:space="0"/>
              <w:left w:val="single" w:color="auto" w:sz="4" w:space="0"/>
              <w:bottom w:val="single" w:color="808080" w:sz="4" w:space="0"/>
              <w:right w:val="single" w:color="808080" w:sz="4" w:space="0"/>
              <w:tl2br w:val="nil"/>
              <w:tr2bl w:val="nil"/>
            </w:tcBorders>
            <w:noWrap w:val="0"/>
            <w:vAlign w:val="center"/>
          </w:tcPr>
          <w:p w14:paraId="24F71061">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0</w:t>
            </w:r>
            <w:r>
              <w:rPr>
                <w:rFonts w:hint="eastAsia" w:ascii="方正仿宋_GBK" w:hAnsi="方正仿宋_GBK" w:eastAsia="方正仿宋_GBK"/>
                <w:color w:val="auto"/>
                <w:kern w:val="2"/>
                <w:sz w:val="28"/>
                <w:lang w:val="zh-CN"/>
              </w:rPr>
              <w:t>类</w:t>
            </w:r>
          </w:p>
        </w:tc>
        <w:tc>
          <w:tcPr>
            <w:tcW w:w="263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7B0A6A26">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50</w:t>
            </w:r>
          </w:p>
        </w:tc>
        <w:tc>
          <w:tcPr>
            <w:tcW w:w="2722"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44541687">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40</w:t>
            </w:r>
          </w:p>
        </w:tc>
      </w:tr>
      <w:tr w14:paraId="13FF0BD8">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Before w:val="1"/>
          <w:wBefore w:w="10" w:type="dxa"/>
          <w:jc w:val="center"/>
        </w:trPr>
        <w:tc>
          <w:tcPr>
            <w:tcW w:w="3138" w:type="dxa"/>
            <w:gridSpan w:val="3"/>
            <w:tcBorders>
              <w:top w:val="single" w:color="808080" w:sz="4" w:space="0"/>
              <w:left w:val="single" w:color="auto" w:sz="4" w:space="0"/>
              <w:bottom w:val="single" w:color="808080" w:sz="4" w:space="0"/>
              <w:right w:val="single" w:color="808080" w:sz="4" w:space="0"/>
              <w:tl2br w:val="nil"/>
              <w:tr2bl w:val="nil"/>
            </w:tcBorders>
            <w:noWrap w:val="0"/>
            <w:vAlign w:val="center"/>
          </w:tcPr>
          <w:p w14:paraId="7B417074">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1</w:t>
            </w:r>
            <w:r>
              <w:rPr>
                <w:rFonts w:hint="eastAsia" w:ascii="方正仿宋_GBK" w:hAnsi="方正仿宋_GBK" w:eastAsia="方正仿宋_GBK"/>
                <w:color w:val="auto"/>
                <w:kern w:val="2"/>
                <w:sz w:val="28"/>
                <w:lang w:val="zh-CN"/>
              </w:rPr>
              <w:t>类</w:t>
            </w:r>
          </w:p>
        </w:tc>
        <w:tc>
          <w:tcPr>
            <w:tcW w:w="263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57473138">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55</w:t>
            </w:r>
          </w:p>
        </w:tc>
        <w:tc>
          <w:tcPr>
            <w:tcW w:w="2722"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0927318B">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45</w:t>
            </w:r>
          </w:p>
        </w:tc>
      </w:tr>
      <w:tr w14:paraId="4720153A">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Before w:val="1"/>
          <w:wBefore w:w="10" w:type="dxa"/>
          <w:jc w:val="center"/>
        </w:trPr>
        <w:tc>
          <w:tcPr>
            <w:tcW w:w="3138" w:type="dxa"/>
            <w:gridSpan w:val="3"/>
            <w:tcBorders>
              <w:top w:val="single" w:color="808080" w:sz="4" w:space="0"/>
              <w:left w:val="single" w:color="auto" w:sz="4" w:space="0"/>
              <w:bottom w:val="single" w:color="808080" w:sz="4" w:space="0"/>
              <w:right w:val="single" w:color="808080" w:sz="4" w:space="0"/>
              <w:tl2br w:val="nil"/>
              <w:tr2bl w:val="nil"/>
            </w:tcBorders>
            <w:noWrap w:val="0"/>
            <w:vAlign w:val="center"/>
          </w:tcPr>
          <w:p w14:paraId="68DC941E">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2</w:t>
            </w:r>
            <w:r>
              <w:rPr>
                <w:rFonts w:hint="eastAsia" w:ascii="方正仿宋_GBK" w:hAnsi="方正仿宋_GBK" w:eastAsia="方正仿宋_GBK"/>
                <w:color w:val="auto"/>
                <w:kern w:val="2"/>
                <w:sz w:val="28"/>
                <w:lang w:val="zh-CN"/>
              </w:rPr>
              <w:t>类</w:t>
            </w:r>
          </w:p>
        </w:tc>
        <w:tc>
          <w:tcPr>
            <w:tcW w:w="263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3BD0BE78">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60</w:t>
            </w:r>
          </w:p>
        </w:tc>
        <w:tc>
          <w:tcPr>
            <w:tcW w:w="2722"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3585FC7F">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50</w:t>
            </w:r>
          </w:p>
        </w:tc>
      </w:tr>
      <w:tr w14:paraId="70178BB2">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Before w:val="1"/>
          <w:wBefore w:w="10" w:type="dxa"/>
          <w:jc w:val="center"/>
        </w:trPr>
        <w:tc>
          <w:tcPr>
            <w:tcW w:w="3138" w:type="dxa"/>
            <w:gridSpan w:val="3"/>
            <w:tcBorders>
              <w:top w:val="single" w:color="808080" w:sz="4" w:space="0"/>
              <w:left w:val="single" w:color="auto" w:sz="4" w:space="0"/>
              <w:bottom w:val="single" w:color="808080" w:sz="4" w:space="0"/>
              <w:right w:val="single" w:color="808080" w:sz="4" w:space="0"/>
              <w:tl2br w:val="nil"/>
              <w:tr2bl w:val="nil"/>
            </w:tcBorders>
            <w:noWrap w:val="0"/>
            <w:vAlign w:val="center"/>
          </w:tcPr>
          <w:p w14:paraId="39F6B96A">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3</w:t>
            </w:r>
            <w:r>
              <w:rPr>
                <w:rFonts w:hint="eastAsia" w:ascii="方正仿宋_GBK" w:hAnsi="方正仿宋_GBK" w:eastAsia="方正仿宋_GBK"/>
                <w:color w:val="auto"/>
                <w:kern w:val="2"/>
                <w:sz w:val="28"/>
                <w:lang w:val="zh-CN"/>
              </w:rPr>
              <w:t>类</w:t>
            </w:r>
          </w:p>
        </w:tc>
        <w:tc>
          <w:tcPr>
            <w:tcW w:w="263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73117279">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65</w:t>
            </w:r>
          </w:p>
        </w:tc>
        <w:tc>
          <w:tcPr>
            <w:tcW w:w="2722"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4C75C5A7">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55</w:t>
            </w:r>
          </w:p>
        </w:tc>
      </w:tr>
      <w:tr w14:paraId="36F86ECF">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After w:val="1"/>
          <w:wAfter w:w="10" w:type="dxa"/>
          <w:trHeight w:val="77" w:hRule="atLeast"/>
          <w:jc w:val="center"/>
        </w:trPr>
        <w:tc>
          <w:tcPr>
            <w:tcW w:w="1095" w:type="dxa"/>
            <w:gridSpan w:val="2"/>
            <w:vMerge w:val="restart"/>
            <w:tcBorders>
              <w:top w:val="single" w:color="808080" w:sz="4" w:space="0"/>
              <w:left w:val="single" w:color="auto" w:sz="4" w:space="0"/>
              <w:bottom w:val="single" w:color="808080" w:sz="4" w:space="0"/>
              <w:right w:val="single" w:color="808080" w:sz="4" w:space="0"/>
              <w:tl2br w:val="nil"/>
              <w:tr2bl w:val="nil"/>
            </w:tcBorders>
            <w:noWrap w:val="0"/>
            <w:vAlign w:val="center"/>
          </w:tcPr>
          <w:p w14:paraId="7E558242">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w:t>
            </w:r>
            <w:r>
              <w:rPr>
                <w:rFonts w:hint="eastAsia" w:ascii="方正仿宋_GBK" w:hAnsi="方正仿宋_GBK" w:eastAsia="方正仿宋_GBK"/>
                <w:color w:val="auto"/>
                <w:kern w:val="2"/>
                <w:sz w:val="28"/>
                <w:lang w:val="zh-CN"/>
              </w:rPr>
              <w:t>类</w:t>
            </w:r>
          </w:p>
        </w:tc>
        <w:tc>
          <w:tcPr>
            <w:tcW w:w="2043" w:type="dxa"/>
            <w:tcBorders>
              <w:top w:val="single" w:color="808080" w:sz="4" w:space="0"/>
              <w:left w:val="single" w:color="808080" w:sz="4" w:space="0"/>
              <w:bottom w:val="single" w:color="808080" w:sz="4" w:space="0"/>
              <w:right w:val="single" w:color="808080" w:sz="4" w:space="0"/>
              <w:tl2br w:val="nil"/>
              <w:tr2bl w:val="nil"/>
            </w:tcBorders>
            <w:noWrap w:val="0"/>
            <w:vAlign w:val="center"/>
          </w:tcPr>
          <w:p w14:paraId="0278CB42">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4a</w:t>
            </w:r>
            <w:r>
              <w:rPr>
                <w:rFonts w:hint="eastAsia" w:ascii="方正仿宋_GBK" w:hAnsi="方正仿宋_GBK" w:eastAsia="方正仿宋_GBK"/>
                <w:color w:val="auto"/>
                <w:kern w:val="2"/>
                <w:sz w:val="28"/>
                <w:lang w:val="zh-CN"/>
              </w:rPr>
              <w:t>类</w:t>
            </w:r>
          </w:p>
        </w:tc>
        <w:tc>
          <w:tcPr>
            <w:tcW w:w="263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3BBF5606">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70</w:t>
            </w:r>
          </w:p>
        </w:tc>
        <w:tc>
          <w:tcPr>
            <w:tcW w:w="2722"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6202A73B">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55</w:t>
            </w:r>
          </w:p>
        </w:tc>
      </w:tr>
      <w:tr w14:paraId="7E60186E">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After w:val="1"/>
          <w:wAfter w:w="10" w:type="dxa"/>
          <w:jc w:val="center"/>
        </w:trPr>
        <w:tc>
          <w:tcPr>
            <w:tcW w:w="1095" w:type="dxa"/>
            <w:gridSpan w:val="2"/>
            <w:vMerge w:val="continue"/>
            <w:tcBorders>
              <w:top w:val="single" w:color="808080" w:sz="4" w:space="0"/>
              <w:left w:val="single" w:color="auto" w:sz="4" w:space="0"/>
              <w:bottom w:val="single" w:color="auto" w:sz="4" w:space="0"/>
              <w:right w:val="single" w:color="808080" w:sz="4" w:space="0"/>
              <w:tl2br w:val="nil"/>
              <w:tr2bl w:val="nil"/>
            </w:tcBorders>
            <w:noWrap w:val="0"/>
            <w:vAlign w:val="center"/>
          </w:tcPr>
          <w:p w14:paraId="7D579AD2">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p>
        </w:tc>
        <w:tc>
          <w:tcPr>
            <w:tcW w:w="2043" w:type="dxa"/>
            <w:tcBorders>
              <w:top w:val="single" w:color="808080" w:sz="4" w:space="0"/>
              <w:left w:val="single" w:color="808080" w:sz="4" w:space="0"/>
              <w:bottom w:val="single" w:color="auto" w:sz="4" w:space="0"/>
              <w:right w:val="single" w:color="808080" w:sz="4" w:space="0"/>
              <w:tl2br w:val="nil"/>
              <w:tr2bl w:val="nil"/>
            </w:tcBorders>
            <w:noWrap w:val="0"/>
            <w:vAlign w:val="center"/>
          </w:tcPr>
          <w:p w14:paraId="66B72D75">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4b</w:t>
            </w:r>
            <w:r>
              <w:rPr>
                <w:rFonts w:hint="eastAsia" w:ascii="方正仿宋_GBK" w:hAnsi="方正仿宋_GBK" w:eastAsia="方正仿宋_GBK"/>
                <w:color w:val="auto"/>
                <w:kern w:val="2"/>
                <w:sz w:val="28"/>
                <w:lang w:val="zh-CN"/>
              </w:rPr>
              <w:t>类</w:t>
            </w:r>
          </w:p>
        </w:tc>
        <w:tc>
          <w:tcPr>
            <w:tcW w:w="2635" w:type="dxa"/>
            <w:gridSpan w:val="2"/>
            <w:tcBorders>
              <w:top w:val="single" w:color="808080" w:sz="4" w:space="0"/>
              <w:left w:val="single" w:color="808080" w:sz="4" w:space="0"/>
              <w:bottom w:val="single" w:color="auto" w:sz="4" w:space="0"/>
              <w:right w:val="single" w:color="808080" w:sz="4" w:space="0"/>
              <w:tl2br w:val="nil"/>
              <w:tr2bl w:val="nil"/>
            </w:tcBorders>
            <w:noWrap w:val="0"/>
            <w:vAlign w:val="center"/>
          </w:tcPr>
          <w:p w14:paraId="70E15A36">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70</w:t>
            </w:r>
          </w:p>
        </w:tc>
        <w:tc>
          <w:tcPr>
            <w:tcW w:w="2722" w:type="dxa"/>
            <w:gridSpan w:val="2"/>
            <w:tcBorders>
              <w:top w:val="single" w:color="808080" w:sz="4" w:space="0"/>
              <w:left w:val="single" w:color="808080" w:sz="4" w:space="0"/>
              <w:bottom w:val="single" w:color="auto" w:sz="4" w:space="0"/>
              <w:right w:val="single" w:color="auto" w:sz="4" w:space="0"/>
              <w:tl2br w:val="nil"/>
              <w:tr2bl w:val="nil"/>
            </w:tcBorders>
            <w:noWrap w:val="0"/>
            <w:vAlign w:val="center"/>
          </w:tcPr>
          <w:p w14:paraId="22F956EA">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60</w:t>
            </w:r>
          </w:p>
        </w:tc>
      </w:tr>
    </w:tbl>
    <w:p w14:paraId="6809219B">
      <w:pPr>
        <w:pStyle w:val="2"/>
        <w:keepNext/>
        <w:keepLines/>
        <w:pageBreakBefore w:val="0"/>
        <w:widowControl w:val="0"/>
        <w:kinsoku/>
        <w:wordWrap/>
        <w:overflowPunct/>
        <w:topLinePunct w:val="0"/>
        <w:autoSpaceDE/>
        <w:autoSpaceDN/>
        <w:bidi w:val="0"/>
        <w:adjustRightInd/>
        <w:snapToGrid/>
        <w:spacing w:before="0" w:beforeLines="0" w:after="0" w:afterLines="0" w:line="560" w:lineRule="exact"/>
        <w:ind w:left="0" w:right="0" w:firstLine="640"/>
        <w:jc w:val="both"/>
        <w:textAlignment w:val="auto"/>
        <w:rPr>
          <w:rFonts w:hint="eastAsia" w:ascii="方正黑体_GBK" w:hAnsi="方正黑体_GBK" w:eastAsia="方正黑体_GBK"/>
          <w:color w:val="auto"/>
          <w:kern w:val="44"/>
          <w:sz w:val="32"/>
          <w:lang w:val="zh-CN"/>
        </w:rPr>
      </w:pPr>
      <w:r>
        <w:rPr>
          <w:rFonts w:hint="eastAsia" w:ascii="方正黑体_GBK" w:hAnsi="方正黑体_GBK" w:eastAsia="方正黑体_GBK"/>
          <w:color w:val="auto"/>
          <w:kern w:val="44"/>
          <w:sz w:val="32"/>
          <w:lang w:val="zh-CN"/>
        </w:rPr>
        <w:t>三、区划步骤</w:t>
      </w:r>
    </w:p>
    <w:p w14:paraId="0DA01B78">
      <w:pPr>
        <w:pStyle w:val="3"/>
        <w:keepNext/>
        <w:keepLines/>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t>（一）基础数据入库。</w:t>
      </w:r>
    </w:p>
    <w:p w14:paraId="7276E1EC">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通过数据编辑与处理、错误修正、数据格式转化、数据比例转化、投影变换、数据概化、数据重构、地理编码等方法，建立包含城乡总体规划和城市总体规划数据、城市和乡镇控制性详细规划、高分遥感影像数据、土地利用规划数据、城市交通规划数据等的声环境功能区地理数据库，保证数据在空间与内容上的完整性、逻辑上的一致性。</w:t>
      </w:r>
    </w:p>
    <w:p w14:paraId="2E6DE3A0">
      <w:pPr>
        <w:pStyle w:val="3"/>
        <w:keepNext/>
        <w:keepLines/>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t>（二）划分噪声区划单元。</w:t>
      </w:r>
    </w:p>
    <w:p w14:paraId="4E135CE2">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根据城乡规划建设用地边界划定此次声环境功能区区划的范围，利用道路交通规划的城市交通要道、城市行政区划及自然地貌确定声环境区划单元，原则上，单块声功能区面积不低于0.5km</w:t>
      </w:r>
      <w:r>
        <w:rPr>
          <w:rFonts w:hint="eastAsia" w:ascii="方正仿宋_GBK" w:hAnsi="方正仿宋_GBK" w:eastAsia="方正仿宋_GBK"/>
          <w:color w:val="auto"/>
          <w:spacing w:val="-6"/>
          <w:kern w:val="2"/>
          <w:sz w:val="32"/>
          <w:vertAlign w:val="superscript"/>
          <w:lang w:val="zh-CN"/>
        </w:rPr>
        <w:t>2</w:t>
      </w:r>
      <w:r>
        <w:rPr>
          <w:rFonts w:hint="eastAsia" w:ascii="方正仿宋_GBK" w:hAnsi="方正仿宋_GBK" w:eastAsia="方正仿宋_GBK"/>
          <w:color w:val="auto"/>
          <w:spacing w:val="-6"/>
          <w:kern w:val="2"/>
          <w:sz w:val="32"/>
          <w:lang w:val="zh-CN"/>
        </w:rPr>
        <w:t>。</w:t>
      </w:r>
    </w:p>
    <w:p w14:paraId="7FA44DE9">
      <w:pPr>
        <w:pStyle w:val="3"/>
        <w:keepNext/>
        <w:keepLines/>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楷体简体" w:hAnsi="方正楷体简体" w:eastAsia="方正楷体简体"/>
          <w:color w:val="auto"/>
          <w:kern w:val="2"/>
          <w:sz w:val="32"/>
          <w:lang w:val="zh-CN"/>
        </w:rPr>
      </w:pPr>
      <w:r>
        <w:rPr>
          <w:rFonts w:hint="eastAsia" w:ascii="方正楷体_GBK" w:hAnsi="方正楷体_GBK" w:eastAsia="方正楷体_GBK"/>
          <w:color w:val="auto"/>
          <w:kern w:val="2"/>
          <w:sz w:val="32"/>
          <w:lang w:val="zh-CN"/>
        </w:rPr>
        <w:t>（三）确定声环境功能区类型。</w:t>
      </w:r>
    </w:p>
    <w:p w14:paraId="7DEA75C1">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1﹒根据《重庆市声环境功能区划分技术规范实施细则（试行）》（渝环〔2015〕429号），首先对0、1、3类声环境功能区确认划分，余下区域划分为2类声环境功能区，在此基础上划分4类声环境功能区。</w:t>
      </w:r>
    </w:p>
    <w:p w14:paraId="523E2682">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2﹒交通干线两侧一定区域按以下标准划定4类声功能区：</w:t>
      </w:r>
    </w:p>
    <w:p w14:paraId="20D2FDAF">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（1）城区内已建成高速公路、城市主干道、次干道根据表1划为4a类声环境功能区。</w:t>
      </w:r>
    </w:p>
    <w:p w14:paraId="5E3D5788">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（2）城区内已建成铁路根据表1划为4b类声环境功能区。</w:t>
      </w:r>
    </w:p>
    <w:p w14:paraId="39F8D43A">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（3）对于4a类声环境功能区和4b类声环境功能区有重叠的区域，划为4b类声环境功能区。</w:t>
      </w:r>
    </w:p>
    <w:p w14:paraId="5C19E537">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（4）交通干线建设规划实施前按当前声环境功能区划定，规划实施后适时调整为相应4类声环境功能区。</w:t>
      </w:r>
    </w:p>
    <w:p w14:paraId="7753735A">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3、大型公交枢纽站、高速服务区、汽车站等区域划为4a类声环境功能区，火车站、动车站等划为4b类声环境功能区。</w:t>
      </w:r>
    </w:p>
    <w:p w14:paraId="5EFFE693">
      <w:pPr>
        <w:pStyle w:val="3"/>
        <w:keepNext/>
        <w:keepLines/>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t>（四）综合分析。</w:t>
      </w:r>
    </w:p>
    <w:p w14:paraId="369B959E">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以荣昌区高分遥感影像数据为基础，利用GIS空间分析功能，将各功能区进行空间叠加、拓扑查错、单元合并等综合分析，得到荣昌区声环境功能区划的初步成果。</w:t>
      </w:r>
    </w:p>
    <w:p w14:paraId="6F46A420">
      <w:pPr>
        <w:pStyle w:val="3"/>
        <w:keepNext/>
        <w:keepLines/>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楷体简体" w:hAnsi="方正楷体简体" w:eastAsia="方正楷体简体"/>
          <w:color w:val="auto"/>
          <w:kern w:val="2"/>
          <w:sz w:val="32"/>
          <w:lang w:val="zh-CN"/>
        </w:rPr>
      </w:pPr>
      <w:r>
        <w:rPr>
          <w:rFonts w:hint="eastAsia" w:ascii="方正楷体_GBK" w:hAnsi="方正楷体_GBK" w:eastAsia="方正楷体_GBK"/>
          <w:color w:val="auto"/>
          <w:kern w:val="2"/>
          <w:sz w:val="32"/>
          <w:lang w:val="zh-CN"/>
        </w:rPr>
        <w:t>（五）现场踏勘与优化。</w:t>
      </w:r>
    </w:p>
    <w:p w14:paraId="0BA42A54">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基于初步空间成果，选取复杂和典型区域进行现场核查，重点对学校、医院等敏感区域以及功能区边界核查，对不合理的声环境单元进行校正、调整和优化。</w:t>
      </w:r>
    </w:p>
    <w:p w14:paraId="5D6E652A">
      <w:pPr>
        <w:pStyle w:val="3"/>
        <w:keepNext/>
        <w:keepLines/>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t>（六）综合制图。</w:t>
      </w:r>
    </w:p>
    <w:p w14:paraId="0FF24469">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根据环境噪声功能区调整、划分数据成果，以GIS专题地图形式编制荣昌区环境噪声功能区专题图。</w:t>
      </w:r>
    </w:p>
    <w:p w14:paraId="06CB25DB">
      <w:pPr>
        <w:pStyle w:val="2"/>
        <w:keepNext/>
        <w:keepLines/>
        <w:pageBreakBefore w:val="0"/>
        <w:widowControl w:val="0"/>
        <w:kinsoku/>
        <w:wordWrap/>
        <w:overflowPunct/>
        <w:topLinePunct w:val="0"/>
        <w:autoSpaceDE/>
        <w:autoSpaceDN/>
        <w:bidi w:val="0"/>
        <w:adjustRightInd/>
        <w:snapToGrid/>
        <w:spacing w:before="0" w:beforeLines="0" w:after="0" w:afterLines="0" w:line="560" w:lineRule="exact"/>
        <w:ind w:left="0" w:right="0" w:firstLine="640"/>
        <w:jc w:val="both"/>
        <w:textAlignment w:val="auto"/>
        <w:rPr>
          <w:rFonts w:hint="eastAsia" w:ascii="方正黑体_GBK" w:hAnsi="方正黑体_GBK" w:eastAsia="方正黑体_GBK"/>
          <w:color w:val="auto"/>
          <w:kern w:val="44"/>
          <w:sz w:val="32"/>
          <w:lang w:val="zh-CN"/>
        </w:rPr>
      </w:pPr>
      <w:r>
        <w:rPr>
          <w:rFonts w:hint="eastAsia" w:ascii="方正黑体_GBK" w:hAnsi="方正黑体_GBK" w:eastAsia="方正黑体_GBK"/>
          <w:color w:val="auto"/>
          <w:kern w:val="44"/>
          <w:sz w:val="32"/>
          <w:lang w:val="zh-CN"/>
        </w:rPr>
        <w:t>四、荣昌城区声环境功能区划分结果</w:t>
      </w:r>
    </w:p>
    <w:p w14:paraId="3CE4D2A3">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以城市功能、城市用地类型、交通干线、自然地貌等边界作为声环境区划单元主要依据，在空间叠加及合并的基础上，荣昌区声功能区划定面积为79.15km</w:t>
      </w:r>
      <w:r>
        <w:rPr>
          <w:rFonts w:hint="eastAsia" w:ascii="方正仿宋_GBK" w:hAnsi="方正仿宋_GBK" w:eastAsia="方正仿宋_GBK"/>
          <w:color w:val="auto"/>
          <w:spacing w:val="-6"/>
          <w:kern w:val="2"/>
          <w:sz w:val="32"/>
          <w:vertAlign w:val="superscript"/>
          <w:lang w:val="zh-CN"/>
        </w:rPr>
        <w:t>2</w:t>
      </w:r>
      <w:r>
        <w:rPr>
          <w:rFonts w:hint="eastAsia" w:ascii="方正仿宋_GBK" w:hAnsi="方正仿宋_GBK" w:eastAsia="方正仿宋_GBK"/>
          <w:color w:val="auto"/>
          <w:spacing w:val="-6"/>
          <w:kern w:val="2"/>
          <w:sz w:val="32"/>
          <w:lang w:val="zh-CN"/>
        </w:rPr>
        <w:t>，其中中心城区声环境噪声功能区划定面积为60.85km</w:t>
      </w:r>
      <w:r>
        <w:rPr>
          <w:rFonts w:hint="eastAsia" w:ascii="方正仿宋_GBK" w:hAnsi="方正仿宋_GBK" w:eastAsia="方正仿宋_GBK"/>
          <w:color w:val="auto"/>
          <w:spacing w:val="-6"/>
          <w:kern w:val="2"/>
          <w:sz w:val="32"/>
          <w:vertAlign w:val="superscript"/>
          <w:lang w:val="zh-CN"/>
        </w:rPr>
        <w:t>2</w:t>
      </w:r>
      <w:r>
        <w:rPr>
          <w:rFonts w:hint="eastAsia" w:ascii="方正仿宋_GBK" w:hAnsi="方正仿宋_GBK" w:eastAsia="方正仿宋_GBK"/>
          <w:color w:val="auto"/>
          <w:spacing w:val="-6"/>
          <w:kern w:val="2"/>
          <w:sz w:val="32"/>
          <w:lang w:val="zh-CN"/>
        </w:rPr>
        <w:t>，集镇声环境噪声功能区划定面积为18.30km</w:t>
      </w:r>
      <w:r>
        <w:rPr>
          <w:rFonts w:hint="eastAsia" w:ascii="方正仿宋_GBK" w:hAnsi="方正仿宋_GBK" w:eastAsia="方正仿宋_GBK"/>
          <w:color w:val="auto"/>
          <w:spacing w:val="-6"/>
          <w:kern w:val="2"/>
          <w:sz w:val="32"/>
          <w:vertAlign w:val="superscript"/>
          <w:lang w:val="zh-CN"/>
        </w:rPr>
        <w:t>2</w:t>
      </w:r>
      <w:r>
        <w:rPr>
          <w:rFonts w:hint="eastAsia" w:ascii="方正仿宋_GBK" w:hAnsi="方正仿宋_GBK" w:eastAsia="方正仿宋_GBK"/>
          <w:color w:val="auto"/>
          <w:spacing w:val="-6"/>
          <w:kern w:val="2"/>
          <w:sz w:val="32"/>
          <w:lang w:val="zh-CN"/>
        </w:rPr>
        <w:t>。</w:t>
      </w:r>
    </w:p>
    <w:p w14:paraId="6AB5861E">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中心城区0类声环境功能区0个；1类声环境功能区划单元10个，区划面积为12.36km</w:t>
      </w:r>
      <w:r>
        <w:rPr>
          <w:rFonts w:hint="eastAsia" w:ascii="方正仿宋_GBK" w:hAnsi="方正仿宋_GBK" w:eastAsia="方正仿宋_GBK"/>
          <w:color w:val="auto"/>
          <w:spacing w:val="-6"/>
          <w:kern w:val="2"/>
          <w:sz w:val="32"/>
          <w:vertAlign w:val="superscript"/>
          <w:lang w:val="zh-CN"/>
        </w:rPr>
        <w:t>2</w:t>
      </w:r>
      <w:r>
        <w:rPr>
          <w:rFonts w:hint="eastAsia" w:ascii="方正仿宋_GBK" w:hAnsi="方正仿宋_GBK" w:eastAsia="方正仿宋_GBK"/>
          <w:color w:val="auto"/>
          <w:spacing w:val="-6"/>
          <w:kern w:val="2"/>
          <w:sz w:val="32"/>
          <w:lang w:val="zh-CN"/>
        </w:rPr>
        <w:t>，占总区划面积的20.31%；2类声环境功能区划单元9个，区划面积为12.12km</w:t>
      </w:r>
      <w:r>
        <w:rPr>
          <w:rFonts w:hint="eastAsia" w:ascii="方正仿宋_GBK" w:hAnsi="方正仿宋_GBK" w:eastAsia="方正仿宋_GBK"/>
          <w:color w:val="auto"/>
          <w:spacing w:val="-6"/>
          <w:kern w:val="2"/>
          <w:sz w:val="32"/>
          <w:vertAlign w:val="superscript"/>
          <w:lang w:val="zh-CN"/>
        </w:rPr>
        <w:t>2</w:t>
      </w:r>
      <w:r>
        <w:rPr>
          <w:rFonts w:hint="eastAsia" w:ascii="方正仿宋_GBK" w:hAnsi="方正仿宋_GBK" w:eastAsia="方正仿宋_GBK"/>
          <w:color w:val="auto"/>
          <w:spacing w:val="-6"/>
          <w:kern w:val="2"/>
          <w:sz w:val="32"/>
          <w:lang w:val="zh-CN"/>
        </w:rPr>
        <w:t>，占总区划面积的19.92%；3类声环境功能区划单元4个，区划面积为22.75km</w:t>
      </w:r>
      <w:r>
        <w:rPr>
          <w:rFonts w:hint="eastAsia" w:ascii="方正仿宋_GBK" w:hAnsi="方正仿宋_GBK" w:eastAsia="方正仿宋_GBK"/>
          <w:color w:val="auto"/>
          <w:spacing w:val="-6"/>
          <w:kern w:val="2"/>
          <w:sz w:val="32"/>
          <w:vertAlign w:val="superscript"/>
          <w:lang w:val="zh-CN"/>
        </w:rPr>
        <w:t>2</w:t>
      </w:r>
      <w:r>
        <w:rPr>
          <w:rFonts w:hint="eastAsia" w:ascii="方正仿宋_GBK" w:hAnsi="方正仿宋_GBK" w:eastAsia="方正仿宋_GBK"/>
          <w:color w:val="auto"/>
          <w:spacing w:val="-6"/>
          <w:kern w:val="2"/>
          <w:sz w:val="32"/>
          <w:lang w:val="zh-CN"/>
        </w:rPr>
        <w:t>，占总区划面积的37.39%；4a类声功能区划面积为区划面积为11.00km</w:t>
      </w:r>
      <w:r>
        <w:rPr>
          <w:rFonts w:hint="eastAsia" w:ascii="方正仿宋_GBK" w:hAnsi="方正仿宋_GBK" w:eastAsia="方正仿宋_GBK"/>
          <w:color w:val="auto"/>
          <w:spacing w:val="-6"/>
          <w:kern w:val="2"/>
          <w:sz w:val="32"/>
          <w:vertAlign w:val="superscript"/>
          <w:lang w:val="zh-CN"/>
        </w:rPr>
        <w:t>2</w:t>
      </w:r>
      <w:r>
        <w:rPr>
          <w:rFonts w:hint="eastAsia" w:ascii="方正仿宋_GBK" w:hAnsi="方正仿宋_GBK" w:eastAsia="方正仿宋_GBK"/>
          <w:color w:val="auto"/>
          <w:spacing w:val="-6"/>
          <w:kern w:val="2"/>
          <w:sz w:val="32"/>
          <w:lang w:val="zh-CN"/>
        </w:rPr>
        <w:t>，占总区划面积的18.08%；4b类声功能区划面积为区划面积为2.63km</w:t>
      </w:r>
      <w:r>
        <w:rPr>
          <w:rFonts w:hint="eastAsia" w:ascii="方正仿宋_GBK" w:hAnsi="方正仿宋_GBK" w:eastAsia="方正仿宋_GBK"/>
          <w:color w:val="auto"/>
          <w:spacing w:val="-6"/>
          <w:kern w:val="2"/>
          <w:sz w:val="32"/>
          <w:vertAlign w:val="superscript"/>
          <w:lang w:val="zh-CN"/>
        </w:rPr>
        <w:t>2</w:t>
      </w:r>
      <w:r>
        <w:rPr>
          <w:rFonts w:hint="eastAsia" w:ascii="方正仿宋_GBK" w:hAnsi="方正仿宋_GBK" w:eastAsia="方正仿宋_GBK"/>
          <w:color w:val="auto"/>
          <w:spacing w:val="-6"/>
          <w:kern w:val="2"/>
          <w:sz w:val="32"/>
          <w:lang w:val="zh-CN"/>
        </w:rPr>
        <w:t>，占总区划面积的4.32%，荣昌区城市区域声环境功能区划图及数据信息表见附录二和附录三。</w:t>
      </w:r>
      <w:r>
        <w:rPr>
          <w:rFonts w:hint="default" w:ascii="Times New Roman" w:hAnsi="Times New Roman" w:eastAsia="Times New Roman"/>
          <w:color w:val="auto"/>
          <w:spacing w:val="-6"/>
          <w:kern w:val="2"/>
          <w:sz w:val="32"/>
          <w:lang w:val="en-US"/>
        </w:rPr>
        <w:t xml:space="preserve"> </w:t>
      </w:r>
    </w:p>
    <w:p w14:paraId="0F8E5AF7">
      <w:pPr>
        <w:pStyle w:val="3"/>
        <w:keepNext/>
        <w:keepLines/>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楷体简体" w:hAnsi="方正楷体简体" w:eastAsia="方正楷体简体"/>
          <w:color w:val="auto"/>
          <w:kern w:val="2"/>
          <w:sz w:val="32"/>
          <w:lang w:val="zh-CN"/>
        </w:rPr>
      </w:pPr>
      <w:r>
        <w:rPr>
          <w:rFonts w:hint="eastAsia" w:ascii="方正楷体_GBK" w:hAnsi="方正楷体_GBK" w:eastAsia="方正楷体_GBK"/>
          <w:color w:val="auto"/>
          <w:kern w:val="2"/>
          <w:sz w:val="32"/>
          <w:lang w:val="zh-CN"/>
        </w:rPr>
        <w:t>（一）1类、2类和3类声环境功能区划分结果。</w:t>
      </w:r>
    </w:p>
    <w:p w14:paraId="587F1042">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荣昌区城市区域声环境功能区划图见附录一，各类声环境功能区边界或范围详见表3~表5。</w:t>
      </w:r>
    </w:p>
    <w:p w14:paraId="255754D0">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32"/>
          <w:lang w:val="zh-CN"/>
        </w:rPr>
      </w:pPr>
      <w:r>
        <w:rPr>
          <w:rFonts w:hint="eastAsia" w:ascii="方正黑体_GBK" w:hAnsi="方正黑体_GBK" w:eastAsia="方正黑体_GBK"/>
          <w:color w:val="auto"/>
          <w:kern w:val="2"/>
          <w:sz w:val="32"/>
          <w:lang w:val="zh-CN"/>
        </w:rPr>
        <w:t>表3 荣昌中心城区1类声环境功能区边界或范围规定</w:t>
      </w:r>
    </w:p>
    <w:tbl>
      <w:tblPr>
        <w:tblStyle w:val="12"/>
        <w:tblW w:w="8922" w:type="dxa"/>
        <w:jc w:val="center"/>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
      <w:tblGrid>
        <w:gridCol w:w="10"/>
        <w:gridCol w:w="862"/>
        <w:gridCol w:w="10"/>
        <w:gridCol w:w="1180"/>
        <w:gridCol w:w="10"/>
        <w:gridCol w:w="4569"/>
        <w:gridCol w:w="10"/>
        <w:gridCol w:w="864"/>
        <w:gridCol w:w="10"/>
        <w:gridCol w:w="694"/>
        <w:gridCol w:w="10"/>
        <w:gridCol w:w="683"/>
        <w:gridCol w:w="10"/>
      </w:tblGrid>
      <w:tr w14:paraId="64CFBAE4">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After w:val="1"/>
          <w:wAfter w:w="10" w:type="dxa"/>
          <w:trHeight w:val="350" w:hRule="atLeast"/>
          <w:jc w:val="center"/>
        </w:trPr>
        <w:tc>
          <w:tcPr>
            <w:tcW w:w="2062" w:type="dxa"/>
            <w:gridSpan w:val="4"/>
            <w:tcBorders>
              <w:top w:val="single" w:color="auto" w:sz="4" w:space="0"/>
              <w:left w:val="single" w:color="auto" w:sz="4" w:space="0"/>
              <w:bottom w:val="single" w:color="808080" w:sz="4" w:space="0"/>
              <w:right w:val="single" w:color="808080" w:sz="4" w:space="0"/>
              <w:tl2br w:val="nil"/>
              <w:tr2bl w:val="nil"/>
            </w:tcBorders>
            <w:noWrap w:val="0"/>
            <w:vAlign w:val="center"/>
          </w:tcPr>
          <w:p w14:paraId="7EA6B71F">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适用区域类别</w:t>
            </w:r>
          </w:p>
        </w:tc>
        <w:tc>
          <w:tcPr>
            <w:tcW w:w="4579" w:type="dxa"/>
            <w:gridSpan w:val="2"/>
            <w:vMerge w:val="restart"/>
            <w:tcBorders>
              <w:top w:val="single" w:color="auto" w:sz="4" w:space="0"/>
              <w:left w:val="single" w:color="808080" w:sz="4" w:space="0"/>
              <w:bottom w:val="single" w:color="808080" w:sz="4" w:space="0"/>
              <w:right w:val="single" w:color="808080" w:sz="4" w:space="0"/>
              <w:tl2br w:val="nil"/>
              <w:tr2bl w:val="nil"/>
            </w:tcBorders>
            <w:noWrap w:val="0"/>
            <w:vAlign w:val="center"/>
          </w:tcPr>
          <w:p w14:paraId="783A3D04">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区域范围</w:t>
            </w:r>
          </w:p>
        </w:tc>
        <w:tc>
          <w:tcPr>
            <w:tcW w:w="874" w:type="dxa"/>
            <w:gridSpan w:val="2"/>
            <w:vMerge w:val="restart"/>
            <w:tcBorders>
              <w:top w:val="single" w:color="auto" w:sz="4" w:space="0"/>
              <w:left w:val="single" w:color="808080" w:sz="4" w:space="0"/>
              <w:bottom w:val="single" w:color="808080" w:sz="4" w:space="0"/>
              <w:right w:val="single" w:color="808080" w:sz="4" w:space="0"/>
              <w:tl2br w:val="nil"/>
              <w:tr2bl w:val="nil"/>
            </w:tcBorders>
            <w:noWrap w:val="0"/>
            <w:vAlign w:val="center"/>
          </w:tcPr>
          <w:p w14:paraId="3AE0ACB3">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面积（km</w:t>
            </w:r>
            <w:r>
              <w:rPr>
                <w:rFonts w:hint="eastAsia" w:ascii="方正黑体_GBK" w:hAnsi="方正黑体_GBK" w:eastAsia="方正黑体_GBK"/>
                <w:color w:val="auto"/>
                <w:kern w:val="2"/>
                <w:sz w:val="28"/>
                <w:vertAlign w:val="superscript"/>
                <w:lang w:val="zh-CN"/>
              </w:rPr>
              <w:t>2</w:t>
            </w:r>
            <w:r>
              <w:rPr>
                <w:rFonts w:hint="eastAsia" w:ascii="方正黑体_GBK" w:hAnsi="方正黑体_GBK" w:eastAsia="方正黑体_GBK"/>
                <w:color w:val="auto"/>
                <w:kern w:val="2"/>
                <w:sz w:val="28"/>
                <w:lang w:val="zh-CN"/>
              </w:rPr>
              <w:t>）</w:t>
            </w:r>
          </w:p>
        </w:tc>
        <w:tc>
          <w:tcPr>
            <w:tcW w:w="1397" w:type="dxa"/>
            <w:gridSpan w:val="4"/>
            <w:tcBorders>
              <w:top w:val="single" w:color="auto" w:sz="4" w:space="0"/>
              <w:left w:val="single" w:color="808080" w:sz="4" w:space="0"/>
              <w:bottom w:val="single" w:color="808080" w:sz="4" w:space="0"/>
              <w:right w:val="single" w:color="auto" w:sz="4" w:space="0"/>
              <w:tl2br w:val="nil"/>
              <w:tr2bl w:val="nil"/>
            </w:tcBorders>
            <w:noWrap w:val="0"/>
            <w:vAlign w:val="center"/>
          </w:tcPr>
          <w:p w14:paraId="57CF8370">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标准值</w:t>
            </w:r>
          </w:p>
          <w:p w14:paraId="07A26309">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Leq（dBA）</w:t>
            </w:r>
          </w:p>
        </w:tc>
      </w:tr>
      <w:tr w14:paraId="31949296">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After w:val="1"/>
          <w:wAfter w:w="10" w:type="dxa"/>
          <w:trHeight w:val="223" w:hRule="atLeast"/>
          <w:jc w:val="center"/>
        </w:trPr>
        <w:tc>
          <w:tcPr>
            <w:tcW w:w="872"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14:paraId="51B07D7A">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代码</w:t>
            </w:r>
          </w:p>
        </w:tc>
        <w:tc>
          <w:tcPr>
            <w:tcW w:w="1190"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06F6AE74">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区域</w:t>
            </w:r>
          </w:p>
        </w:tc>
        <w:tc>
          <w:tcPr>
            <w:tcW w:w="4579" w:type="dxa"/>
            <w:gridSpan w:val="2"/>
            <w:vMerge w:val="continue"/>
            <w:tcBorders>
              <w:top w:val="single" w:color="808080" w:sz="4" w:space="0"/>
              <w:left w:val="single" w:color="808080" w:sz="4" w:space="0"/>
              <w:bottom w:val="single" w:color="808080" w:sz="4" w:space="0"/>
              <w:right w:val="single" w:color="808080" w:sz="4" w:space="0"/>
              <w:tl2br w:val="nil"/>
              <w:tr2bl w:val="nil"/>
            </w:tcBorders>
            <w:noWrap w:val="0"/>
            <w:vAlign w:val="center"/>
          </w:tcPr>
          <w:p w14:paraId="7C61DF75">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p>
        </w:tc>
        <w:tc>
          <w:tcPr>
            <w:tcW w:w="874" w:type="dxa"/>
            <w:gridSpan w:val="2"/>
            <w:vMerge w:val="continue"/>
            <w:tcBorders>
              <w:top w:val="single" w:color="808080" w:sz="4" w:space="0"/>
              <w:left w:val="single" w:color="808080" w:sz="4" w:space="0"/>
              <w:bottom w:val="single" w:color="808080" w:sz="4" w:space="0"/>
              <w:right w:val="single" w:color="808080" w:sz="4" w:space="0"/>
              <w:tl2br w:val="nil"/>
              <w:tr2bl w:val="nil"/>
            </w:tcBorders>
            <w:noWrap w:val="0"/>
            <w:vAlign w:val="center"/>
          </w:tcPr>
          <w:p w14:paraId="682AB4CB">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p>
        </w:tc>
        <w:tc>
          <w:tcPr>
            <w:tcW w:w="70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3C4ED822">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昼间</w:t>
            </w:r>
          </w:p>
        </w:tc>
        <w:tc>
          <w:tcPr>
            <w:tcW w:w="693"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5C97C5E7">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夜间</w:t>
            </w:r>
          </w:p>
        </w:tc>
      </w:tr>
      <w:tr w14:paraId="5DA85668">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After w:val="1"/>
          <w:wAfter w:w="10" w:type="dxa"/>
          <w:trHeight w:val="1144" w:hRule="atLeast"/>
          <w:jc w:val="center"/>
        </w:trPr>
        <w:tc>
          <w:tcPr>
            <w:tcW w:w="872"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14:paraId="3DB6441C">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5001531L01</w:t>
            </w:r>
          </w:p>
        </w:tc>
        <w:tc>
          <w:tcPr>
            <w:tcW w:w="1190"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18359704">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仿宋_GBK" w:hAnsi="方正仿宋_GBK" w:eastAsia="方正仿宋_GBK"/>
                <w:color w:val="auto"/>
                <w:kern w:val="2"/>
                <w:sz w:val="28"/>
                <w:lang w:val="zh-CN"/>
              </w:rPr>
            </w:pPr>
            <w:r>
              <w:rPr>
                <w:rFonts w:hint="eastAsia" w:ascii="方正仿宋_GBK" w:hAnsi="方正仿宋_GBK" w:eastAsia="方正仿宋_GBK"/>
                <w:color w:val="auto"/>
                <w:kern w:val="2"/>
                <w:sz w:val="28"/>
                <w:lang w:val="zh-CN"/>
              </w:rPr>
              <w:t>居住</w:t>
            </w:r>
          </w:p>
          <w:p w14:paraId="249BF1BD">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文教区</w:t>
            </w:r>
          </w:p>
        </w:tc>
        <w:tc>
          <w:tcPr>
            <w:tcW w:w="4579"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5CEE4CE7">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濑溪河以西、成渝路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成渝铁路以南、成渝路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成渝铁路以东居住文教区</w:t>
            </w:r>
          </w:p>
        </w:tc>
        <w:tc>
          <w:tcPr>
            <w:tcW w:w="87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6455235B">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1.67</w:t>
            </w:r>
          </w:p>
        </w:tc>
        <w:tc>
          <w:tcPr>
            <w:tcW w:w="70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5090A5AF">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55</w:t>
            </w:r>
          </w:p>
        </w:tc>
        <w:tc>
          <w:tcPr>
            <w:tcW w:w="693"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7B80DEC9">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45</w:t>
            </w:r>
          </w:p>
        </w:tc>
      </w:tr>
      <w:tr w14:paraId="660940BF">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After w:val="1"/>
          <w:wAfter w:w="10" w:type="dxa"/>
          <w:jc w:val="center"/>
        </w:trPr>
        <w:tc>
          <w:tcPr>
            <w:tcW w:w="872"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14:paraId="2DB652B8">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5001531L02</w:t>
            </w:r>
          </w:p>
        </w:tc>
        <w:tc>
          <w:tcPr>
            <w:tcW w:w="1190"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061F22F8">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仿宋_GBK" w:hAnsi="方正仿宋_GBK" w:eastAsia="方正仿宋_GBK"/>
                <w:color w:val="auto"/>
                <w:kern w:val="2"/>
                <w:sz w:val="28"/>
                <w:lang w:val="zh-CN"/>
              </w:rPr>
            </w:pPr>
            <w:r>
              <w:rPr>
                <w:rFonts w:hint="eastAsia" w:ascii="方正仿宋_GBK" w:hAnsi="方正仿宋_GBK" w:eastAsia="方正仿宋_GBK"/>
                <w:color w:val="auto"/>
                <w:kern w:val="2"/>
                <w:sz w:val="28"/>
                <w:lang w:val="zh-CN"/>
              </w:rPr>
              <w:t>居住</w:t>
            </w:r>
          </w:p>
          <w:p w14:paraId="2F8363FF">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文教区</w:t>
            </w:r>
          </w:p>
        </w:tc>
        <w:tc>
          <w:tcPr>
            <w:tcW w:w="4579"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3A16302F">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成渝路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昌州大道</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濑溪河</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恒荣路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香国大道</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宝城东路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濑溪河以西、渝昆高速以南居住文教区</w:t>
            </w:r>
          </w:p>
        </w:tc>
        <w:tc>
          <w:tcPr>
            <w:tcW w:w="87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09BED364">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2.63</w:t>
            </w:r>
          </w:p>
        </w:tc>
        <w:tc>
          <w:tcPr>
            <w:tcW w:w="70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20404602">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55</w:t>
            </w:r>
          </w:p>
        </w:tc>
        <w:tc>
          <w:tcPr>
            <w:tcW w:w="693"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35303360">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45</w:t>
            </w:r>
          </w:p>
        </w:tc>
      </w:tr>
      <w:tr w14:paraId="0B5D37EE">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Before w:val="1"/>
          <w:wBefore w:w="10" w:type="dxa"/>
          <w:jc w:val="center"/>
        </w:trPr>
        <w:tc>
          <w:tcPr>
            <w:tcW w:w="872"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14:paraId="34EC3DA5">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5001531L03</w:t>
            </w:r>
          </w:p>
        </w:tc>
        <w:tc>
          <w:tcPr>
            <w:tcW w:w="1190"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74AB1238">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仿宋_GBK" w:hAnsi="方正仿宋_GBK" w:eastAsia="方正仿宋_GBK"/>
                <w:color w:val="auto"/>
                <w:kern w:val="2"/>
                <w:sz w:val="28"/>
                <w:lang w:val="zh-CN"/>
              </w:rPr>
            </w:pPr>
            <w:r>
              <w:rPr>
                <w:rFonts w:hint="eastAsia" w:ascii="方正仿宋_GBK" w:hAnsi="方正仿宋_GBK" w:eastAsia="方正仿宋_GBK"/>
                <w:color w:val="auto"/>
                <w:kern w:val="2"/>
                <w:sz w:val="28"/>
                <w:lang w:val="zh-CN"/>
              </w:rPr>
              <w:t>居住</w:t>
            </w:r>
          </w:p>
          <w:p w14:paraId="4FC93000">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文教区</w:t>
            </w:r>
          </w:p>
        </w:tc>
        <w:tc>
          <w:tcPr>
            <w:tcW w:w="4579"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4101E1C1">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成渝铁路以北、昌州大道</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谭家坡街</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西大街</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宝城支路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昌州大道</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成渝路以南、209县道以东居住文教区</w:t>
            </w:r>
          </w:p>
        </w:tc>
        <w:tc>
          <w:tcPr>
            <w:tcW w:w="87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3A6F6328">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0.98</w:t>
            </w:r>
          </w:p>
        </w:tc>
        <w:tc>
          <w:tcPr>
            <w:tcW w:w="70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72C668BC">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55</w:t>
            </w:r>
          </w:p>
        </w:tc>
        <w:tc>
          <w:tcPr>
            <w:tcW w:w="693"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67D51B5A">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45</w:t>
            </w:r>
          </w:p>
        </w:tc>
      </w:tr>
      <w:tr w14:paraId="554F023D">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Before w:val="1"/>
          <w:wBefore w:w="10" w:type="dxa"/>
          <w:jc w:val="center"/>
        </w:trPr>
        <w:tc>
          <w:tcPr>
            <w:tcW w:w="872"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14:paraId="578E2628">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5001531L04</w:t>
            </w:r>
          </w:p>
        </w:tc>
        <w:tc>
          <w:tcPr>
            <w:tcW w:w="1190"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4D22B0C3">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仿宋_GBK" w:hAnsi="方正仿宋_GBK" w:eastAsia="方正仿宋_GBK"/>
                <w:color w:val="auto"/>
                <w:kern w:val="2"/>
                <w:sz w:val="28"/>
                <w:lang w:val="zh-CN"/>
              </w:rPr>
            </w:pPr>
            <w:r>
              <w:rPr>
                <w:rFonts w:hint="eastAsia" w:ascii="方正仿宋_GBK" w:hAnsi="方正仿宋_GBK" w:eastAsia="方正仿宋_GBK"/>
                <w:color w:val="auto"/>
                <w:kern w:val="2"/>
                <w:sz w:val="28"/>
                <w:lang w:val="zh-CN"/>
              </w:rPr>
              <w:t>居住</w:t>
            </w:r>
          </w:p>
          <w:p w14:paraId="688157C2">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文教区</w:t>
            </w:r>
          </w:p>
        </w:tc>
        <w:tc>
          <w:tcPr>
            <w:tcW w:w="4579"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41AC50E7">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人民路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玉屏街以北、海棠路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海棠北路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濑溪河</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宝城东路以西、香国大道以南、恒荣路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广场路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广场北路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上河路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后西二街</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人民四支路以东居住文教区</w:t>
            </w:r>
          </w:p>
        </w:tc>
        <w:tc>
          <w:tcPr>
            <w:tcW w:w="87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4C2AA4BC">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0.87</w:t>
            </w:r>
          </w:p>
        </w:tc>
        <w:tc>
          <w:tcPr>
            <w:tcW w:w="70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60902504">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55</w:t>
            </w:r>
          </w:p>
        </w:tc>
        <w:tc>
          <w:tcPr>
            <w:tcW w:w="693"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0A87721C">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45</w:t>
            </w:r>
          </w:p>
        </w:tc>
      </w:tr>
      <w:tr w14:paraId="7841DC7E">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Before w:val="1"/>
          <w:wBefore w:w="10" w:type="dxa"/>
          <w:jc w:val="center"/>
        </w:trPr>
        <w:tc>
          <w:tcPr>
            <w:tcW w:w="872"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14:paraId="61F21306">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5001531L05</w:t>
            </w:r>
          </w:p>
        </w:tc>
        <w:tc>
          <w:tcPr>
            <w:tcW w:w="1190"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07CCCEE9">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居住区</w:t>
            </w:r>
          </w:p>
        </w:tc>
        <w:tc>
          <w:tcPr>
            <w:tcW w:w="4579"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0F7807C8">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富安北路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迎宾大道</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昌龙大道</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成渝铁路以北、渝昆高速以南、棠香北街</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宝城东路以东居住区</w:t>
            </w:r>
          </w:p>
        </w:tc>
        <w:tc>
          <w:tcPr>
            <w:tcW w:w="87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5176549C">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1.72</w:t>
            </w:r>
          </w:p>
        </w:tc>
        <w:tc>
          <w:tcPr>
            <w:tcW w:w="70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7EE2BA09">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55</w:t>
            </w:r>
          </w:p>
        </w:tc>
        <w:tc>
          <w:tcPr>
            <w:tcW w:w="693"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485C5446">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45</w:t>
            </w:r>
          </w:p>
        </w:tc>
      </w:tr>
      <w:tr w14:paraId="005DAB0A">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After w:val="1"/>
          <w:wAfter w:w="10" w:type="dxa"/>
          <w:trHeight w:val="995" w:hRule="atLeast"/>
          <w:jc w:val="center"/>
        </w:trPr>
        <w:tc>
          <w:tcPr>
            <w:tcW w:w="872"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14:paraId="25E58CED">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5001531L06</w:t>
            </w:r>
          </w:p>
        </w:tc>
        <w:tc>
          <w:tcPr>
            <w:tcW w:w="1190"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6C16CFBF">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仿宋_GBK" w:hAnsi="方正仿宋_GBK" w:eastAsia="方正仿宋_GBK"/>
                <w:color w:val="auto"/>
                <w:kern w:val="2"/>
                <w:sz w:val="28"/>
                <w:lang w:val="zh-CN"/>
              </w:rPr>
            </w:pPr>
            <w:r>
              <w:rPr>
                <w:rFonts w:hint="eastAsia" w:ascii="方正仿宋_GBK" w:hAnsi="方正仿宋_GBK" w:eastAsia="方正仿宋_GBK"/>
                <w:color w:val="auto"/>
                <w:kern w:val="2"/>
                <w:sz w:val="28"/>
                <w:lang w:val="zh-CN"/>
              </w:rPr>
              <w:t>规划</w:t>
            </w:r>
          </w:p>
          <w:p w14:paraId="07F4EA80">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居住区</w:t>
            </w:r>
          </w:p>
        </w:tc>
        <w:tc>
          <w:tcPr>
            <w:tcW w:w="4579"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4503CE70">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渝昆高速以北、朝阳路以西、濑溪河以东规划居住区</w:t>
            </w:r>
          </w:p>
        </w:tc>
        <w:tc>
          <w:tcPr>
            <w:tcW w:w="87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624D2EEA">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0.87</w:t>
            </w:r>
          </w:p>
        </w:tc>
        <w:tc>
          <w:tcPr>
            <w:tcW w:w="70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546D81EB">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55</w:t>
            </w:r>
          </w:p>
        </w:tc>
        <w:tc>
          <w:tcPr>
            <w:tcW w:w="693"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0E3AA395">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45</w:t>
            </w:r>
          </w:p>
        </w:tc>
      </w:tr>
      <w:tr w14:paraId="158D7150">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After w:val="1"/>
          <w:wAfter w:w="10" w:type="dxa"/>
          <w:jc w:val="center"/>
        </w:trPr>
        <w:tc>
          <w:tcPr>
            <w:tcW w:w="872"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14:paraId="3054057F">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5001531L07</w:t>
            </w:r>
          </w:p>
        </w:tc>
        <w:tc>
          <w:tcPr>
            <w:tcW w:w="1190"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17BAE6AE">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规划居住文教区</w:t>
            </w:r>
          </w:p>
        </w:tc>
        <w:tc>
          <w:tcPr>
            <w:tcW w:w="4579"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2028243E">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龙华二路以北、荣昌北站（不含）以西、成渝铁路以南、朝阳路以东规划居住文教区</w:t>
            </w:r>
          </w:p>
        </w:tc>
        <w:tc>
          <w:tcPr>
            <w:tcW w:w="87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4A4C6563">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0.71</w:t>
            </w:r>
          </w:p>
        </w:tc>
        <w:tc>
          <w:tcPr>
            <w:tcW w:w="70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7800A109">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55</w:t>
            </w:r>
          </w:p>
        </w:tc>
        <w:tc>
          <w:tcPr>
            <w:tcW w:w="693"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07B9C90A">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45</w:t>
            </w:r>
          </w:p>
        </w:tc>
      </w:tr>
      <w:tr w14:paraId="73BA3166">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Before w:val="1"/>
          <w:wBefore w:w="10" w:type="dxa"/>
          <w:jc w:val="center"/>
        </w:trPr>
        <w:tc>
          <w:tcPr>
            <w:tcW w:w="872"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14:paraId="060A6829">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5001531L08</w:t>
            </w:r>
          </w:p>
        </w:tc>
        <w:tc>
          <w:tcPr>
            <w:tcW w:w="1190"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68777D05">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规划生态居住区</w:t>
            </w:r>
          </w:p>
        </w:tc>
        <w:tc>
          <w:tcPr>
            <w:tcW w:w="4579"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15CAD408">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渝昆高速以北、成渝铁路以西、龙华三路（规划）以南、科园路（规划）以东规划生态居住区域</w:t>
            </w:r>
          </w:p>
        </w:tc>
        <w:tc>
          <w:tcPr>
            <w:tcW w:w="87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758E3553">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1.18</w:t>
            </w:r>
          </w:p>
        </w:tc>
        <w:tc>
          <w:tcPr>
            <w:tcW w:w="70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6E7FA269">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55</w:t>
            </w:r>
          </w:p>
        </w:tc>
        <w:tc>
          <w:tcPr>
            <w:tcW w:w="693"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25759DBE">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45</w:t>
            </w:r>
          </w:p>
        </w:tc>
      </w:tr>
      <w:tr w14:paraId="5760F1AB">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After w:val="1"/>
          <w:wAfter w:w="10" w:type="dxa"/>
          <w:trHeight w:val="901" w:hRule="atLeast"/>
          <w:jc w:val="center"/>
        </w:trPr>
        <w:tc>
          <w:tcPr>
            <w:tcW w:w="872"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14:paraId="7E002F19">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5001531L09</w:t>
            </w:r>
          </w:p>
        </w:tc>
        <w:tc>
          <w:tcPr>
            <w:tcW w:w="1190"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0A75E26B">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仿宋_GBK" w:hAnsi="方正仿宋_GBK" w:eastAsia="方正仿宋_GBK"/>
                <w:color w:val="auto"/>
                <w:kern w:val="2"/>
                <w:sz w:val="28"/>
                <w:lang w:val="zh-CN"/>
              </w:rPr>
            </w:pPr>
            <w:r>
              <w:rPr>
                <w:rFonts w:hint="eastAsia" w:ascii="方正仿宋_GBK" w:hAnsi="方正仿宋_GBK" w:eastAsia="方正仿宋_GBK"/>
                <w:color w:val="auto"/>
                <w:kern w:val="2"/>
                <w:sz w:val="28"/>
                <w:lang w:val="zh-CN"/>
              </w:rPr>
              <w:t>生态</w:t>
            </w:r>
          </w:p>
          <w:p w14:paraId="23799741">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居住区</w:t>
            </w:r>
          </w:p>
        </w:tc>
        <w:tc>
          <w:tcPr>
            <w:tcW w:w="4579"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133E39DE">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庙山路以北、启明路以西、昌州大道以南生态居住区</w:t>
            </w:r>
          </w:p>
        </w:tc>
        <w:tc>
          <w:tcPr>
            <w:tcW w:w="87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6488EC13">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0.77</w:t>
            </w:r>
          </w:p>
        </w:tc>
        <w:tc>
          <w:tcPr>
            <w:tcW w:w="704"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3B909CC4">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55</w:t>
            </w:r>
          </w:p>
        </w:tc>
        <w:tc>
          <w:tcPr>
            <w:tcW w:w="693"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3C775380">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45</w:t>
            </w:r>
          </w:p>
        </w:tc>
      </w:tr>
      <w:tr w14:paraId="4EA44D90">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After w:val="1"/>
          <w:wAfter w:w="10" w:type="dxa"/>
          <w:trHeight w:val="971" w:hRule="atLeast"/>
          <w:jc w:val="center"/>
        </w:trPr>
        <w:tc>
          <w:tcPr>
            <w:tcW w:w="872" w:type="dxa"/>
            <w:gridSpan w:val="2"/>
            <w:tcBorders>
              <w:top w:val="single" w:color="808080" w:sz="4" w:space="0"/>
              <w:left w:val="single" w:color="auto" w:sz="4" w:space="0"/>
              <w:bottom w:val="single" w:color="auto" w:sz="4" w:space="0"/>
              <w:right w:val="single" w:color="808080" w:sz="4" w:space="0"/>
              <w:tl2br w:val="nil"/>
              <w:tr2bl w:val="nil"/>
            </w:tcBorders>
            <w:noWrap w:val="0"/>
            <w:vAlign w:val="center"/>
          </w:tcPr>
          <w:p w14:paraId="00158299">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5001531L10</w:t>
            </w:r>
          </w:p>
        </w:tc>
        <w:tc>
          <w:tcPr>
            <w:tcW w:w="1190" w:type="dxa"/>
            <w:gridSpan w:val="2"/>
            <w:tcBorders>
              <w:top w:val="single" w:color="808080" w:sz="4" w:space="0"/>
              <w:left w:val="single" w:color="808080" w:sz="4" w:space="0"/>
              <w:bottom w:val="single" w:color="auto" w:sz="4" w:space="0"/>
              <w:right w:val="single" w:color="808080" w:sz="4" w:space="0"/>
              <w:tl2br w:val="nil"/>
              <w:tr2bl w:val="nil"/>
            </w:tcBorders>
            <w:noWrap w:val="0"/>
            <w:vAlign w:val="center"/>
          </w:tcPr>
          <w:p w14:paraId="47447596">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规划居住文教区</w:t>
            </w:r>
          </w:p>
        </w:tc>
        <w:tc>
          <w:tcPr>
            <w:tcW w:w="4579" w:type="dxa"/>
            <w:gridSpan w:val="2"/>
            <w:tcBorders>
              <w:top w:val="single" w:color="808080" w:sz="4" w:space="0"/>
              <w:left w:val="single" w:color="808080" w:sz="4" w:space="0"/>
              <w:bottom w:val="single" w:color="auto" w:sz="4" w:space="0"/>
              <w:right w:val="single" w:color="808080" w:sz="4" w:space="0"/>
              <w:tl2br w:val="nil"/>
              <w:tr2bl w:val="nil"/>
            </w:tcBorders>
            <w:noWrap w:val="0"/>
            <w:vAlign w:val="center"/>
          </w:tcPr>
          <w:p w14:paraId="283250EB">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昌州大道以北、干坝子村（不含）以东规划居住文教区域</w:t>
            </w:r>
          </w:p>
        </w:tc>
        <w:tc>
          <w:tcPr>
            <w:tcW w:w="874" w:type="dxa"/>
            <w:gridSpan w:val="2"/>
            <w:tcBorders>
              <w:top w:val="single" w:color="808080" w:sz="4" w:space="0"/>
              <w:left w:val="single" w:color="808080" w:sz="4" w:space="0"/>
              <w:bottom w:val="single" w:color="auto" w:sz="4" w:space="0"/>
              <w:right w:val="single" w:color="808080" w:sz="4" w:space="0"/>
              <w:tl2br w:val="nil"/>
              <w:tr2bl w:val="nil"/>
            </w:tcBorders>
            <w:noWrap w:val="0"/>
            <w:vAlign w:val="center"/>
          </w:tcPr>
          <w:p w14:paraId="6EAF32DC">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0.96</w:t>
            </w:r>
          </w:p>
        </w:tc>
        <w:tc>
          <w:tcPr>
            <w:tcW w:w="704" w:type="dxa"/>
            <w:gridSpan w:val="2"/>
            <w:tcBorders>
              <w:top w:val="single" w:color="808080" w:sz="4" w:space="0"/>
              <w:left w:val="single" w:color="808080" w:sz="4" w:space="0"/>
              <w:bottom w:val="single" w:color="auto" w:sz="4" w:space="0"/>
              <w:right w:val="single" w:color="808080" w:sz="4" w:space="0"/>
              <w:tl2br w:val="nil"/>
              <w:tr2bl w:val="nil"/>
            </w:tcBorders>
            <w:noWrap w:val="0"/>
            <w:vAlign w:val="center"/>
          </w:tcPr>
          <w:p w14:paraId="074EB5CE">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55</w:t>
            </w:r>
          </w:p>
        </w:tc>
        <w:tc>
          <w:tcPr>
            <w:tcW w:w="693" w:type="dxa"/>
            <w:gridSpan w:val="2"/>
            <w:tcBorders>
              <w:top w:val="single" w:color="808080" w:sz="4" w:space="0"/>
              <w:left w:val="single" w:color="808080" w:sz="4" w:space="0"/>
              <w:bottom w:val="single" w:color="auto" w:sz="4" w:space="0"/>
              <w:right w:val="single" w:color="auto" w:sz="4" w:space="0"/>
              <w:tl2br w:val="nil"/>
              <w:tr2bl w:val="nil"/>
            </w:tcBorders>
            <w:noWrap w:val="0"/>
            <w:vAlign w:val="center"/>
          </w:tcPr>
          <w:p w14:paraId="3AA4E38D">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45</w:t>
            </w:r>
          </w:p>
        </w:tc>
      </w:tr>
    </w:tbl>
    <w:p w14:paraId="30CB0F07">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32"/>
          <w:lang w:val="zh-CN"/>
        </w:rPr>
      </w:pPr>
      <w:r>
        <w:rPr>
          <w:rFonts w:hint="eastAsia" w:ascii="方正黑体_GBK" w:hAnsi="方正黑体_GBK" w:eastAsia="方正黑体_GBK"/>
          <w:color w:val="auto"/>
          <w:kern w:val="2"/>
          <w:sz w:val="32"/>
          <w:lang w:val="zh-CN"/>
        </w:rPr>
        <w:t>表4 荣昌区中心城区2类声环境功能区边界或范围规定</w:t>
      </w:r>
    </w:p>
    <w:tbl>
      <w:tblPr>
        <w:tblStyle w:val="12"/>
        <w:tblW w:w="8769" w:type="dxa"/>
        <w:jc w:val="center"/>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
      <w:tblGrid>
        <w:gridCol w:w="10"/>
        <w:gridCol w:w="859"/>
        <w:gridCol w:w="10"/>
        <w:gridCol w:w="1265"/>
        <w:gridCol w:w="10"/>
        <w:gridCol w:w="4481"/>
        <w:gridCol w:w="10"/>
        <w:gridCol w:w="817"/>
        <w:gridCol w:w="10"/>
        <w:gridCol w:w="662"/>
        <w:gridCol w:w="10"/>
        <w:gridCol w:w="615"/>
        <w:gridCol w:w="10"/>
      </w:tblGrid>
      <w:tr w14:paraId="0795D51B">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After w:val="1"/>
          <w:wAfter w:w="10" w:type="dxa"/>
          <w:trHeight w:val="350" w:hRule="atLeast"/>
          <w:jc w:val="center"/>
        </w:trPr>
        <w:tc>
          <w:tcPr>
            <w:tcW w:w="2144" w:type="dxa"/>
            <w:gridSpan w:val="4"/>
            <w:tcBorders>
              <w:top w:val="single" w:color="auto" w:sz="4" w:space="0"/>
              <w:left w:val="single" w:color="auto" w:sz="4" w:space="0"/>
              <w:bottom w:val="single" w:color="808080" w:sz="4" w:space="0"/>
              <w:right w:val="single" w:color="808080" w:sz="4" w:space="0"/>
              <w:tl2br w:val="nil"/>
              <w:tr2bl w:val="nil"/>
            </w:tcBorders>
            <w:noWrap w:val="0"/>
            <w:vAlign w:val="center"/>
          </w:tcPr>
          <w:p w14:paraId="1E49C208">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适用区域类别</w:t>
            </w:r>
          </w:p>
        </w:tc>
        <w:tc>
          <w:tcPr>
            <w:tcW w:w="4491" w:type="dxa"/>
            <w:gridSpan w:val="2"/>
            <w:vMerge w:val="restart"/>
            <w:tcBorders>
              <w:top w:val="single" w:color="auto" w:sz="4" w:space="0"/>
              <w:left w:val="single" w:color="808080" w:sz="4" w:space="0"/>
              <w:bottom w:val="single" w:color="808080" w:sz="4" w:space="0"/>
              <w:right w:val="single" w:color="808080" w:sz="4" w:space="0"/>
              <w:tl2br w:val="nil"/>
              <w:tr2bl w:val="nil"/>
            </w:tcBorders>
            <w:noWrap w:val="0"/>
            <w:vAlign w:val="center"/>
          </w:tcPr>
          <w:p w14:paraId="73220451">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区域范围</w:t>
            </w:r>
          </w:p>
        </w:tc>
        <w:tc>
          <w:tcPr>
            <w:tcW w:w="827" w:type="dxa"/>
            <w:gridSpan w:val="2"/>
            <w:vMerge w:val="restart"/>
            <w:tcBorders>
              <w:top w:val="single" w:color="auto" w:sz="4" w:space="0"/>
              <w:left w:val="single" w:color="808080" w:sz="4" w:space="0"/>
              <w:bottom w:val="single" w:color="808080" w:sz="4" w:space="0"/>
              <w:right w:val="single" w:color="808080" w:sz="4" w:space="0"/>
              <w:tl2br w:val="nil"/>
              <w:tr2bl w:val="nil"/>
            </w:tcBorders>
            <w:noWrap w:val="0"/>
            <w:vAlign w:val="center"/>
          </w:tcPr>
          <w:p w14:paraId="43359379">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面积（km</w:t>
            </w:r>
            <w:r>
              <w:rPr>
                <w:rFonts w:hint="eastAsia" w:ascii="方正黑体_GBK" w:hAnsi="方正黑体_GBK" w:eastAsia="方正黑体_GBK"/>
                <w:color w:val="auto"/>
                <w:kern w:val="2"/>
                <w:sz w:val="28"/>
                <w:vertAlign w:val="superscript"/>
                <w:lang w:val="zh-CN"/>
              </w:rPr>
              <w:t>2</w:t>
            </w:r>
            <w:r>
              <w:rPr>
                <w:rFonts w:hint="eastAsia" w:ascii="方正黑体_GBK" w:hAnsi="方正黑体_GBK" w:eastAsia="方正黑体_GBK"/>
                <w:color w:val="auto"/>
                <w:kern w:val="2"/>
                <w:sz w:val="28"/>
                <w:lang w:val="zh-CN"/>
              </w:rPr>
              <w:t>）</w:t>
            </w:r>
          </w:p>
        </w:tc>
        <w:tc>
          <w:tcPr>
            <w:tcW w:w="1297" w:type="dxa"/>
            <w:gridSpan w:val="4"/>
            <w:tcBorders>
              <w:top w:val="single" w:color="auto" w:sz="4" w:space="0"/>
              <w:left w:val="single" w:color="808080" w:sz="4" w:space="0"/>
              <w:bottom w:val="single" w:color="808080" w:sz="4" w:space="0"/>
              <w:right w:val="single" w:color="auto" w:sz="4" w:space="0"/>
              <w:tl2br w:val="nil"/>
              <w:tr2bl w:val="nil"/>
            </w:tcBorders>
            <w:noWrap w:val="0"/>
            <w:vAlign w:val="center"/>
          </w:tcPr>
          <w:p w14:paraId="53F74956">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标准值</w:t>
            </w:r>
          </w:p>
          <w:p w14:paraId="033982DA">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Leq（dBA）</w:t>
            </w:r>
          </w:p>
        </w:tc>
      </w:tr>
      <w:tr w14:paraId="5361B5D6">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After w:val="1"/>
          <w:wAfter w:w="10" w:type="dxa"/>
          <w:trHeight w:val="376" w:hRule="atLeast"/>
          <w:jc w:val="center"/>
        </w:trPr>
        <w:tc>
          <w:tcPr>
            <w:tcW w:w="869"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14:paraId="23BEAD34">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代码</w:t>
            </w:r>
          </w:p>
        </w:tc>
        <w:tc>
          <w:tcPr>
            <w:tcW w:w="127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1057FBB9">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区域</w:t>
            </w:r>
          </w:p>
        </w:tc>
        <w:tc>
          <w:tcPr>
            <w:tcW w:w="4491" w:type="dxa"/>
            <w:gridSpan w:val="2"/>
            <w:vMerge w:val="continue"/>
            <w:tcBorders>
              <w:top w:val="single" w:color="808080" w:sz="4" w:space="0"/>
              <w:left w:val="single" w:color="808080" w:sz="4" w:space="0"/>
              <w:bottom w:val="single" w:color="808080" w:sz="4" w:space="0"/>
              <w:right w:val="single" w:color="808080" w:sz="4" w:space="0"/>
              <w:tl2br w:val="nil"/>
              <w:tr2bl w:val="nil"/>
            </w:tcBorders>
            <w:noWrap w:val="0"/>
            <w:vAlign w:val="center"/>
          </w:tcPr>
          <w:p w14:paraId="3C368BF4">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p>
        </w:tc>
        <w:tc>
          <w:tcPr>
            <w:tcW w:w="827" w:type="dxa"/>
            <w:gridSpan w:val="2"/>
            <w:vMerge w:val="continue"/>
            <w:tcBorders>
              <w:top w:val="single" w:color="808080" w:sz="4" w:space="0"/>
              <w:left w:val="single" w:color="808080" w:sz="4" w:space="0"/>
              <w:bottom w:val="single" w:color="808080" w:sz="4" w:space="0"/>
              <w:right w:val="single" w:color="808080" w:sz="4" w:space="0"/>
              <w:tl2br w:val="nil"/>
              <w:tr2bl w:val="nil"/>
            </w:tcBorders>
            <w:noWrap w:val="0"/>
            <w:vAlign w:val="center"/>
          </w:tcPr>
          <w:p w14:paraId="171011B6">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p>
        </w:tc>
        <w:tc>
          <w:tcPr>
            <w:tcW w:w="672"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2FC35E57">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昼间</w:t>
            </w:r>
          </w:p>
        </w:tc>
        <w:tc>
          <w:tcPr>
            <w:tcW w:w="625"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2D05E505">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夜间</w:t>
            </w:r>
          </w:p>
        </w:tc>
      </w:tr>
      <w:tr w14:paraId="39B0AA0D">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After w:val="1"/>
          <w:wAfter w:w="10" w:type="dxa"/>
          <w:jc w:val="center"/>
        </w:trPr>
        <w:tc>
          <w:tcPr>
            <w:tcW w:w="869"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14:paraId="33169CF7">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5001532L01</w:t>
            </w:r>
          </w:p>
        </w:tc>
        <w:tc>
          <w:tcPr>
            <w:tcW w:w="127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61AF4122">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居住、商业混合区</w:t>
            </w:r>
          </w:p>
        </w:tc>
        <w:tc>
          <w:tcPr>
            <w:tcW w:w="4491"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4E062877">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安富街道居住、商业区域</w:t>
            </w:r>
          </w:p>
        </w:tc>
        <w:tc>
          <w:tcPr>
            <w:tcW w:w="827"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3F272400">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4.49</w:t>
            </w:r>
          </w:p>
        </w:tc>
        <w:tc>
          <w:tcPr>
            <w:tcW w:w="672"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70CF620D">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60</w:t>
            </w:r>
          </w:p>
        </w:tc>
        <w:tc>
          <w:tcPr>
            <w:tcW w:w="625"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748A34BF">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w:t>
            </w:r>
          </w:p>
        </w:tc>
      </w:tr>
      <w:tr w14:paraId="00A2269F">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Before w:val="1"/>
          <w:wBefore w:w="10" w:type="dxa"/>
          <w:jc w:val="center"/>
        </w:trPr>
        <w:tc>
          <w:tcPr>
            <w:tcW w:w="869"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14:paraId="7FE783B3">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5001532L02</w:t>
            </w:r>
          </w:p>
        </w:tc>
        <w:tc>
          <w:tcPr>
            <w:tcW w:w="127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1FC75E5B">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居住、商业混合区</w:t>
            </w:r>
          </w:p>
        </w:tc>
        <w:tc>
          <w:tcPr>
            <w:tcW w:w="4491"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06E9738B">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成渝铁路以北、209县道以西、广顺小学（含）以东广顺街道集镇居住、商业区域</w:t>
            </w:r>
          </w:p>
        </w:tc>
        <w:tc>
          <w:tcPr>
            <w:tcW w:w="827"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1A247BE3">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0.93</w:t>
            </w:r>
          </w:p>
        </w:tc>
        <w:tc>
          <w:tcPr>
            <w:tcW w:w="672"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4BEE8C17">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60</w:t>
            </w:r>
          </w:p>
        </w:tc>
        <w:tc>
          <w:tcPr>
            <w:tcW w:w="625"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4A02C94D">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w:t>
            </w:r>
          </w:p>
        </w:tc>
      </w:tr>
      <w:tr w14:paraId="25F16C26">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Before w:val="1"/>
          <w:wBefore w:w="10" w:type="dxa"/>
          <w:jc w:val="center"/>
        </w:trPr>
        <w:tc>
          <w:tcPr>
            <w:tcW w:w="869"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14:paraId="7380E8E0">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5001532L03</w:t>
            </w:r>
          </w:p>
        </w:tc>
        <w:tc>
          <w:tcPr>
            <w:tcW w:w="127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2AFBA270">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居住、商业混合区</w:t>
            </w:r>
          </w:p>
        </w:tc>
        <w:tc>
          <w:tcPr>
            <w:tcW w:w="4491"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2B14EC34">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昌州大道</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宝城路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宝城支路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西大街</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谭家坡街</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昌州大道红岩路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城南大道-环保产业园（不含）</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成渝铁路以北、迎宾大道以西、昌州大道</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海棠路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玉屏街</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人民路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人民四支路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后西二街</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上河路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广场北路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广场路以南、濑溪河东居住、商业区域</w:t>
            </w:r>
          </w:p>
        </w:tc>
        <w:tc>
          <w:tcPr>
            <w:tcW w:w="827"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2DD078A2">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1.67</w:t>
            </w:r>
          </w:p>
        </w:tc>
        <w:tc>
          <w:tcPr>
            <w:tcW w:w="672"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1C116588">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60</w:t>
            </w:r>
          </w:p>
        </w:tc>
        <w:tc>
          <w:tcPr>
            <w:tcW w:w="625"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3B621D05">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w:t>
            </w:r>
          </w:p>
        </w:tc>
      </w:tr>
      <w:tr w14:paraId="3886B0A3">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Before w:val="1"/>
          <w:wBefore w:w="10" w:type="dxa"/>
          <w:jc w:val="center"/>
        </w:trPr>
        <w:tc>
          <w:tcPr>
            <w:tcW w:w="869"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14:paraId="4846F8A3">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5001532L04</w:t>
            </w:r>
          </w:p>
        </w:tc>
        <w:tc>
          <w:tcPr>
            <w:tcW w:w="127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34470760">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居住、商业、工业混合区</w:t>
            </w:r>
          </w:p>
        </w:tc>
        <w:tc>
          <w:tcPr>
            <w:tcW w:w="4491"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0727098D">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尚书路延伸路以北、嘉吉普瑞纳大道以西、荣升路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天正路以西、昌州大道以南、迎宾大道以东居住、商业、工业混合区</w:t>
            </w:r>
          </w:p>
        </w:tc>
        <w:tc>
          <w:tcPr>
            <w:tcW w:w="827"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201C46AE">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0.89</w:t>
            </w:r>
          </w:p>
        </w:tc>
        <w:tc>
          <w:tcPr>
            <w:tcW w:w="672"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0E8CDB6C">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60</w:t>
            </w:r>
          </w:p>
        </w:tc>
        <w:tc>
          <w:tcPr>
            <w:tcW w:w="625"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3EAD6FA2">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w:t>
            </w:r>
          </w:p>
        </w:tc>
      </w:tr>
      <w:tr w14:paraId="3DD5F2A5">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Before w:val="1"/>
          <w:wBefore w:w="10" w:type="dxa"/>
          <w:jc w:val="center"/>
        </w:trPr>
        <w:tc>
          <w:tcPr>
            <w:tcW w:w="869"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14:paraId="1582FA68">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5001532L05</w:t>
            </w:r>
          </w:p>
        </w:tc>
        <w:tc>
          <w:tcPr>
            <w:tcW w:w="127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225D423D">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居住、商业混合区</w:t>
            </w:r>
          </w:p>
        </w:tc>
        <w:tc>
          <w:tcPr>
            <w:tcW w:w="4491"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339F9932">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昌州大道以北、成渝铁路以西、昌龙大道</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迎宾大道</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富安北路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宝城东路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濑溪河以南、海棠北路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海棠路以东居住、商业区域</w:t>
            </w:r>
          </w:p>
        </w:tc>
        <w:tc>
          <w:tcPr>
            <w:tcW w:w="827"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22B90DA7">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1.50</w:t>
            </w:r>
          </w:p>
        </w:tc>
        <w:tc>
          <w:tcPr>
            <w:tcW w:w="672"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37530B09">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60</w:t>
            </w:r>
          </w:p>
        </w:tc>
        <w:tc>
          <w:tcPr>
            <w:tcW w:w="625"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29FD4F8A">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w:t>
            </w:r>
          </w:p>
        </w:tc>
      </w:tr>
      <w:tr w14:paraId="5C778A8A">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Before w:val="1"/>
          <w:wBefore w:w="10" w:type="dxa"/>
          <w:jc w:val="center"/>
        </w:trPr>
        <w:tc>
          <w:tcPr>
            <w:tcW w:w="869"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14:paraId="0FAC5908">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5001532L06</w:t>
            </w:r>
          </w:p>
        </w:tc>
        <w:tc>
          <w:tcPr>
            <w:tcW w:w="1275"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6D27667C">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规划居住、商业混合区</w:t>
            </w:r>
          </w:p>
        </w:tc>
        <w:tc>
          <w:tcPr>
            <w:tcW w:w="4491"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40F49649">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渝昆高速</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科园路（规划）</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龙华三路（规划）以北、干坝子村（含）以西、荣昌北站</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荣昌北站纵向西路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龙华二路以南、朝阳路以东规划居住、商业区域</w:t>
            </w:r>
          </w:p>
        </w:tc>
        <w:tc>
          <w:tcPr>
            <w:tcW w:w="827"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6C94500B">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1.71</w:t>
            </w:r>
          </w:p>
        </w:tc>
        <w:tc>
          <w:tcPr>
            <w:tcW w:w="672"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39EE11DD">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60</w:t>
            </w:r>
          </w:p>
        </w:tc>
        <w:tc>
          <w:tcPr>
            <w:tcW w:w="625"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1E4C2B07">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w:t>
            </w:r>
          </w:p>
        </w:tc>
      </w:tr>
      <w:tr w14:paraId="3A567671">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After w:val="1"/>
          <w:wAfter w:w="10" w:type="dxa"/>
          <w:trHeight w:val="1124" w:hRule="atLeast"/>
          <w:jc w:val="center"/>
        </w:trPr>
        <w:tc>
          <w:tcPr>
            <w:tcW w:w="869" w:type="dxa"/>
            <w:gridSpan w:val="2"/>
            <w:tcBorders>
              <w:top w:val="single" w:color="808080" w:sz="4" w:space="0"/>
              <w:left w:val="single" w:color="auto" w:sz="4" w:space="0"/>
              <w:bottom w:val="single" w:color="auto" w:sz="4" w:space="0"/>
              <w:right w:val="single" w:color="808080" w:sz="4" w:space="0"/>
              <w:tl2br w:val="nil"/>
              <w:tr2bl w:val="nil"/>
            </w:tcBorders>
            <w:noWrap w:val="0"/>
            <w:vAlign w:val="center"/>
          </w:tcPr>
          <w:p w14:paraId="3D49A63D">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5001532L07</w:t>
            </w:r>
          </w:p>
        </w:tc>
        <w:tc>
          <w:tcPr>
            <w:tcW w:w="1275" w:type="dxa"/>
            <w:gridSpan w:val="2"/>
            <w:tcBorders>
              <w:top w:val="single" w:color="808080" w:sz="4" w:space="0"/>
              <w:left w:val="single" w:color="808080" w:sz="4" w:space="0"/>
              <w:bottom w:val="single" w:color="auto" w:sz="4" w:space="0"/>
              <w:right w:val="single" w:color="808080" w:sz="4" w:space="0"/>
              <w:tl2br w:val="nil"/>
              <w:tr2bl w:val="nil"/>
            </w:tcBorders>
            <w:noWrap w:val="0"/>
            <w:vAlign w:val="center"/>
          </w:tcPr>
          <w:p w14:paraId="232F2D60">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居住、商业混合区</w:t>
            </w:r>
          </w:p>
        </w:tc>
        <w:tc>
          <w:tcPr>
            <w:tcW w:w="4491" w:type="dxa"/>
            <w:gridSpan w:val="2"/>
            <w:tcBorders>
              <w:top w:val="single" w:color="808080" w:sz="4" w:space="0"/>
              <w:left w:val="single" w:color="808080" w:sz="4" w:space="0"/>
              <w:bottom w:val="single" w:color="auto" w:sz="4" w:space="0"/>
              <w:right w:val="single" w:color="808080" w:sz="4" w:space="0"/>
              <w:tl2br w:val="nil"/>
              <w:tr2bl w:val="nil"/>
            </w:tcBorders>
            <w:noWrap w:val="0"/>
            <w:vAlign w:val="center"/>
          </w:tcPr>
          <w:p w14:paraId="7CF525E3">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渝昆高速以北、昌州大道以南、荣昌高新区（不含）以东居住、商业区域</w:t>
            </w:r>
          </w:p>
        </w:tc>
        <w:tc>
          <w:tcPr>
            <w:tcW w:w="827" w:type="dxa"/>
            <w:gridSpan w:val="2"/>
            <w:tcBorders>
              <w:top w:val="single" w:color="808080" w:sz="4" w:space="0"/>
              <w:left w:val="single" w:color="808080" w:sz="4" w:space="0"/>
              <w:bottom w:val="single" w:color="auto" w:sz="4" w:space="0"/>
              <w:right w:val="single" w:color="808080" w:sz="4" w:space="0"/>
              <w:tl2br w:val="nil"/>
              <w:tr2bl w:val="nil"/>
            </w:tcBorders>
            <w:noWrap w:val="0"/>
            <w:vAlign w:val="center"/>
          </w:tcPr>
          <w:p w14:paraId="772DEEEB">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0.93</w:t>
            </w:r>
          </w:p>
        </w:tc>
        <w:tc>
          <w:tcPr>
            <w:tcW w:w="672" w:type="dxa"/>
            <w:gridSpan w:val="2"/>
            <w:tcBorders>
              <w:top w:val="single" w:color="808080" w:sz="4" w:space="0"/>
              <w:left w:val="single" w:color="808080" w:sz="4" w:space="0"/>
              <w:bottom w:val="single" w:color="auto" w:sz="4" w:space="0"/>
              <w:right w:val="single" w:color="808080" w:sz="4" w:space="0"/>
              <w:tl2br w:val="nil"/>
              <w:tr2bl w:val="nil"/>
            </w:tcBorders>
            <w:noWrap w:val="0"/>
            <w:vAlign w:val="center"/>
          </w:tcPr>
          <w:p w14:paraId="53CC587E">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60</w:t>
            </w:r>
          </w:p>
        </w:tc>
        <w:tc>
          <w:tcPr>
            <w:tcW w:w="625" w:type="dxa"/>
            <w:gridSpan w:val="2"/>
            <w:tcBorders>
              <w:top w:val="single" w:color="808080" w:sz="4" w:space="0"/>
              <w:left w:val="single" w:color="808080" w:sz="4" w:space="0"/>
              <w:bottom w:val="single" w:color="auto" w:sz="4" w:space="0"/>
              <w:right w:val="single" w:color="auto" w:sz="4" w:space="0"/>
              <w:tl2br w:val="nil"/>
              <w:tr2bl w:val="nil"/>
            </w:tcBorders>
            <w:noWrap w:val="0"/>
            <w:vAlign w:val="center"/>
          </w:tcPr>
          <w:p w14:paraId="0C7C288E">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w:t>
            </w:r>
          </w:p>
        </w:tc>
      </w:tr>
    </w:tbl>
    <w:p w14:paraId="25854CA4">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仁义镇、吴家镇、双河街道、盘龙镇、铜鼓镇、清流镇、观胜镇、远觉镇、直升镇、清江镇、清升镇、万灵镇、龙集镇、河包镇、古昌镇、荣隆镇集镇区域执行2类声环境标准。</w:t>
      </w:r>
    </w:p>
    <w:p w14:paraId="0D8B3DA5">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32"/>
          <w:lang w:val="zh-CN"/>
        </w:rPr>
      </w:pPr>
      <w:r>
        <w:rPr>
          <w:rFonts w:hint="eastAsia" w:ascii="方正黑体_GBK" w:hAnsi="方正黑体_GBK" w:eastAsia="方正黑体_GBK"/>
          <w:color w:val="auto"/>
          <w:kern w:val="2"/>
          <w:sz w:val="32"/>
          <w:lang w:val="zh-CN"/>
        </w:rPr>
        <w:t>表5 荣昌区中心城区3类声环境功能区边界或范围规定</w:t>
      </w:r>
    </w:p>
    <w:tbl>
      <w:tblPr>
        <w:tblStyle w:val="12"/>
        <w:tblW w:w="8568" w:type="dxa"/>
        <w:jc w:val="center"/>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Layout w:type="fixed"/>
        <w:tblCellMar>
          <w:top w:w="0" w:type="dxa"/>
          <w:left w:w="10" w:type="dxa"/>
          <w:bottom w:w="0" w:type="dxa"/>
          <w:right w:w="10" w:type="dxa"/>
        </w:tblCellMar>
      </w:tblPr>
      <w:tblGrid>
        <w:gridCol w:w="10"/>
        <w:gridCol w:w="887"/>
        <w:gridCol w:w="10"/>
        <w:gridCol w:w="928"/>
        <w:gridCol w:w="10"/>
        <w:gridCol w:w="4502"/>
        <w:gridCol w:w="10"/>
        <w:gridCol w:w="821"/>
        <w:gridCol w:w="10"/>
        <w:gridCol w:w="676"/>
        <w:gridCol w:w="10"/>
        <w:gridCol w:w="684"/>
        <w:gridCol w:w="10"/>
      </w:tblGrid>
      <w:tr w14:paraId="6D544C6D">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After w:val="1"/>
          <w:wAfter w:w="10" w:type="dxa"/>
          <w:trHeight w:val="350" w:hRule="atLeast"/>
          <w:jc w:val="center"/>
        </w:trPr>
        <w:tc>
          <w:tcPr>
            <w:tcW w:w="1835" w:type="dxa"/>
            <w:gridSpan w:val="4"/>
            <w:tcBorders>
              <w:top w:val="single" w:color="auto" w:sz="4" w:space="0"/>
              <w:left w:val="single" w:color="auto" w:sz="4" w:space="0"/>
              <w:bottom w:val="single" w:color="808080" w:sz="4" w:space="0"/>
              <w:right w:val="single" w:color="808080" w:sz="4" w:space="0"/>
              <w:tl2br w:val="nil"/>
              <w:tr2bl w:val="nil"/>
            </w:tcBorders>
            <w:noWrap w:val="0"/>
            <w:vAlign w:val="center"/>
          </w:tcPr>
          <w:p w14:paraId="66D785C9">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适用区域类别</w:t>
            </w:r>
          </w:p>
        </w:tc>
        <w:tc>
          <w:tcPr>
            <w:tcW w:w="4512" w:type="dxa"/>
            <w:gridSpan w:val="2"/>
            <w:vMerge w:val="restart"/>
            <w:tcBorders>
              <w:top w:val="single" w:color="auto" w:sz="4" w:space="0"/>
              <w:left w:val="single" w:color="808080" w:sz="4" w:space="0"/>
              <w:bottom w:val="single" w:color="808080" w:sz="4" w:space="0"/>
              <w:right w:val="single" w:color="808080" w:sz="4" w:space="0"/>
              <w:tl2br w:val="nil"/>
              <w:tr2bl w:val="nil"/>
            </w:tcBorders>
            <w:noWrap w:val="0"/>
            <w:vAlign w:val="center"/>
          </w:tcPr>
          <w:p w14:paraId="1194E34A">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区域范围</w:t>
            </w:r>
          </w:p>
        </w:tc>
        <w:tc>
          <w:tcPr>
            <w:tcW w:w="831" w:type="dxa"/>
            <w:gridSpan w:val="2"/>
            <w:vMerge w:val="restart"/>
            <w:tcBorders>
              <w:top w:val="single" w:color="auto" w:sz="4" w:space="0"/>
              <w:left w:val="single" w:color="808080" w:sz="4" w:space="0"/>
              <w:bottom w:val="single" w:color="808080" w:sz="4" w:space="0"/>
              <w:right w:val="single" w:color="808080" w:sz="4" w:space="0"/>
              <w:tl2br w:val="nil"/>
              <w:tr2bl w:val="nil"/>
            </w:tcBorders>
            <w:noWrap w:val="0"/>
            <w:vAlign w:val="center"/>
          </w:tcPr>
          <w:p w14:paraId="2391A2D9">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面积（km</w:t>
            </w:r>
            <w:r>
              <w:rPr>
                <w:rFonts w:hint="eastAsia" w:ascii="方正黑体_GBK" w:hAnsi="方正黑体_GBK" w:eastAsia="方正黑体_GBK"/>
                <w:color w:val="auto"/>
                <w:kern w:val="2"/>
                <w:sz w:val="28"/>
                <w:vertAlign w:val="superscript"/>
                <w:lang w:val="zh-CN"/>
              </w:rPr>
              <w:t>2</w:t>
            </w:r>
            <w:r>
              <w:rPr>
                <w:rFonts w:hint="eastAsia" w:ascii="方正黑体_GBK" w:hAnsi="方正黑体_GBK" w:eastAsia="方正黑体_GBK"/>
                <w:color w:val="auto"/>
                <w:kern w:val="2"/>
                <w:sz w:val="28"/>
                <w:lang w:val="zh-CN"/>
              </w:rPr>
              <w:t>）</w:t>
            </w:r>
          </w:p>
        </w:tc>
        <w:tc>
          <w:tcPr>
            <w:tcW w:w="1380" w:type="dxa"/>
            <w:gridSpan w:val="4"/>
            <w:tcBorders>
              <w:top w:val="single" w:color="auto" w:sz="4" w:space="0"/>
              <w:left w:val="single" w:color="808080" w:sz="4" w:space="0"/>
              <w:bottom w:val="single" w:color="808080" w:sz="4" w:space="0"/>
              <w:right w:val="single" w:color="auto" w:sz="4" w:space="0"/>
              <w:tl2br w:val="nil"/>
              <w:tr2bl w:val="nil"/>
            </w:tcBorders>
            <w:noWrap w:val="0"/>
            <w:vAlign w:val="center"/>
          </w:tcPr>
          <w:p w14:paraId="24BE2C0C">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标准值</w:t>
            </w:r>
          </w:p>
          <w:p w14:paraId="170DF406">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Leq（dBA）</w:t>
            </w:r>
          </w:p>
        </w:tc>
      </w:tr>
      <w:tr w14:paraId="7F9D4A98">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After w:val="1"/>
          <w:wAfter w:w="10" w:type="dxa"/>
          <w:trHeight w:val="376" w:hRule="atLeast"/>
          <w:jc w:val="center"/>
        </w:trPr>
        <w:tc>
          <w:tcPr>
            <w:tcW w:w="897"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14:paraId="7F1CB7F4">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代码</w:t>
            </w:r>
          </w:p>
        </w:tc>
        <w:tc>
          <w:tcPr>
            <w:tcW w:w="938"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43E8B7FB">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区域</w:t>
            </w:r>
          </w:p>
        </w:tc>
        <w:tc>
          <w:tcPr>
            <w:tcW w:w="4512" w:type="dxa"/>
            <w:gridSpan w:val="2"/>
            <w:vMerge w:val="continue"/>
            <w:tcBorders>
              <w:top w:val="single" w:color="808080" w:sz="4" w:space="0"/>
              <w:left w:val="single" w:color="808080" w:sz="4" w:space="0"/>
              <w:bottom w:val="single" w:color="808080" w:sz="4" w:space="0"/>
              <w:right w:val="single" w:color="808080" w:sz="4" w:space="0"/>
              <w:tl2br w:val="nil"/>
              <w:tr2bl w:val="nil"/>
            </w:tcBorders>
            <w:noWrap w:val="0"/>
            <w:vAlign w:val="center"/>
          </w:tcPr>
          <w:p w14:paraId="6F920827">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p>
        </w:tc>
        <w:tc>
          <w:tcPr>
            <w:tcW w:w="831" w:type="dxa"/>
            <w:gridSpan w:val="2"/>
            <w:vMerge w:val="continue"/>
            <w:tcBorders>
              <w:top w:val="single" w:color="808080" w:sz="4" w:space="0"/>
              <w:left w:val="single" w:color="808080" w:sz="4" w:space="0"/>
              <w:bottom w:val="single" w:color="808080" w:sz="4" w:space="0"/>
              <w:right w:val="single" w:color="808080" w:sz="4" w:space="0"/>
              <w:tl2br w:val="nil"/>
              <w:tr2bl w:val="nil"/>
            </w:tcBorders>
            <w:noWrap w:val="0"/>
            <w:vAlign w:val="center"/>
          </w:tcPr>
          <w:p w14:paraId="4926C5E7">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p>
        </w:tc>
        <w:tc>
          <w:tcPr>
            <w:tcW w:w="686"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5197C6F9">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昼间</w:t>
            </w:r>
          </w:p>
        </w:tc>
        <w:tc>
          <w:tcPr>
            <w:tcW w:w="694"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05A995C3">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eastAsia" w:ascii="方正黑体_GBK" w:hAnsi="方正黑体_GBK" w:eastAsia="方正黑体_GBK"/>
                <w:color w:val="auto"/>
                <w:kern w:val="2"/>
                <w:sz w:val="28"/>
                <w:lang w:val="zh-CN"/>
              </w:rPr>
            </w:pPr>
            <w:r>
              <w:rPr>
                <w:rFonts w:hint="eastAsia" w:ascii="方正黑体_GBK" w:hAnsi="方正黑体_GBK" w:eastAsia="方正黑体_GBK"/>
                <w:color w:val="auto"/>
                <w:kern w:val="2"/>
                <w:sz w:val="28"/>
                <w:lang w:val="zh-CN"/>
              </w:rPr>
              <w:t>夜间</w:t>
            </w:r>
          </w:p>
        </w:tc>
      </w:tr>
      <w:tr w14:paraId="605652E6">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After w:val="1"/>
          <w:wAfter w:w="10" w:type="dxa"/>
          <w:jc w:val="center"/>
        </w:trPr>
        <w:tc>
          <w:tcPr>
            <w:tcW w:w="897"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14:paraId="05F6EA9F">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5001533L01</w:t>
            </w:r>
          </w:p>
        </w:tc>
        <w:tc>
          <w:tcPr>
            <w:tcW w:w="938"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72DE96B0">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工业区</w:t>
            </w:r>
          </w:p>
        </w:tc>
        <w:tc>
          <w:tcPr>
            <w:tcW w:w="4512"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64A36B1B">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濑溪河以北、209县道</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成渝铁路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广顺小学（不含）以西广顺工业园工业区</w:t>
            </w:r>
          </w:p>
        </w:tc>
        <w:tc>
          <w:tcPr>
            <w:tcW w:w="831"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1BC9CB80">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7.62</w:t>
            </w:r>
          </w:p>
        </w:tc>
        <w:tc>
          <w:tcPr>
            <w:tcW w:w="686"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73B29AE1">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65</w:t>
            </w:r>
          </w:p>
        </w:tc>
        <w:tc>
          <w:tcPr>
            <w:tcW w:w="694"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328CCCD5">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55</w:t>
            </w:r>
          </w:p>
        </w:tc>
      </w:tr>
      <w:tr w14:paraId="054E00DE">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Before w:val="1"/>
          <w:wBefore w:w="10" w:type="dxa"/>
          <w:jc w:val="center"/>
        </w:trPr>
        <w:tc>
          <w:tcPr>
            <w:tcW w:w="897"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14:paraId="089841C5">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5001533L02</w:t>
            </w:r>
          </w:p>
        </w:tc>
        <w:tc>
          <w:tcPr>
            <w:tcW w:w="938"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2DAAE0B0">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规划工业区</w:t>
            </w:r>
          </w:p>
        </w:tc>
        <w:tc>
          <w:tcPr>
            <w:tcW w:w="4512"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1852A779">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成渝铁路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红岩路</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城南大道</w:t>
            </w:r>
            <w:r>
              <w:rPr>
                <w:rFonts w:hint="default" w:ascii="方正仿宋_GBK" w:hAnsi="方正仿宋_GBK" w:eastAsia="方正仿宋_GBK"/>
                <w:color w:val="auto"/>
                <w:kern w:val="2"/>
                <w:sz w:val="28"/>
                <w:lang w:val="zh-CN"/>
              </w:rPr>
              <w:t>—</w:t>
            </w:r>
            <w:r>
              <w:rPr>
                <w:rFonts w:hint="eastAsia" w:ascii="方正仿宋_GBK" w:hAnsi="方正仿宋_GBK" w:eastAsia="方正仿宋_GBK"/>
                <w:color w:val="auto"/>
                <w:kern w:val="2"/>
                <w:sz w:val="28"/>
                <w:lang w:val="zh-CN"/>
              </w:rPr>
              <w:t>环保产业园（含）以南、迎宾大道以西规划工业区</w:t>
            </w:r>
          </w:p>
        </w:tc>
        <w:tc>
          <w:tcPr>
            <w:tcW w:w="831"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72BB407D">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2.67</w:t>
            </w:r>
          </w:p>
        </w:tc>
        <w:tc>
          <w:tcPr>
            <w:tcW w:w="686"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64C1C753">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65</w:t>
            </w:r>
          </w:p>
        </w:tc>
        <w:tc>
          <w:tcPr>
            <w:tcW w:w="694"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00E5A43D">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55</w:t>
            </w:r>
          </w:p>
        </w:tc>
      </w:tr>
      <w:tr w14:paraId="6DDEFE7C">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Before w:val="1"/>
          <w:wBefore w:w="10" w:type="dxa"/>
          <w:jc w:val="center"/>
        </w:trPr>
        <w:tc>
          <w:tcPr>
            <w:tcW w:w="897" w:type="dxa"/>
            <w:gridSpan w:val="2"/>
            <w:tcBorders>
              <w:top w:val="single" w:color="808080" w:sz="4" w:space="0"/>
              <w:left w:val="single" w:color="auto" w:sz="4" w:space="0"/>
              <w:bottom w:val="single" w:color="808080" w:sz="4" w:space="0"/>
              <w:right w:val="single" w:color="808080" w:sz="4" w:space="0"/>
              <w:tl2br w:val="nil"/>
              <w:tr2bl w:val="nil"/>
            </w:tcBorders>
            <w:noWrap w:val="0"/>
            <w:vAlign w:val="center"/>
          </w:tcPr>
          <w:p w14:paraId="41D77A0C">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5001533L03</w:t>
            </w:r>
          </w:p>
        </w:tc>
        <w:tc>
          <w:tcPr>
            <w:tcW w:w="938"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2808EC58">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工业区</w:t>
            </w:r>
          </w:p>
        </w:tc>
        <w:tc>
          <w:tcPr>
            <w:tcW w:w="4512"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0766C5B4">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荣昌高新区迎宾大道以东工业区域</w:t>
            </w:r>
          </w:p>
        </w:tc>
        <w:tc>
          <w:tcPr>
            <w:tcW w:w="831"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06D5E360">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11.48</w:t>
            </w:r>
          </w:p>
        </w:tc>
        <w:tc>
          <w:tcPr>
            <w:tcW w:w="686" w:type="dxa"/>
            <w:gridSpan w:val="2"/>
            <w:tcBorders>
              <w:top w:val="single" w:color="808080" w:sz="4" w:space="0"/>
              <w:left w:val="single" w:color="808080" w:sz="4" w:space="0"/>
              <w:bottom w:val="single" w:color="808080" w:sz="4" w:space="0"/>
              <w:right w:val="single" w:color="808080" w:sz="4" w:space="0"/>
              <w:tl2br w:val="nil"/>
              <w:tr2bl w:val="nil"/>
            </w:tcBorders>
            <w:noWrap w:val="0"/>
            <w:vAlign w:val="center"/>
          </w:tcPr>
          <w:p w14:paraId="47D55545">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65</w:t>
            </w:r>
          </w:p>
        </w:tc>
        <w:tc>
          <w:tcPr>
            <w:tcW w:w="694" w:type="dxa"/>
            <w:gridSpan w:val="2"/>
            <w:tcBorders>
              <w:top w:val="single" w:color="808080" w:sz="4" w:space="0"/>
              <w:left w:val="single" w:color="808080" w:sz="4" w:space="0"/>
              <w:bottom w:val="single" w:color="808080" w:sz="4" w:space="0"/>
              <w:right w:val="single" w:color="auto" w:sz="4" w:space="0"/>
              <w:tl2br w:val="nil"/>
              <w:tr2bl w:val="nil"/>
            </w:tcBorders>
            <w:noWrap w:val="0"/>
            <w:vAlign w:val="center"/>
          </w:tcPr>
          <w:p w14:paraId="2EC1BE6C">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55</w:t>
            </w:r>
          </w:p>
        </w:tc>
      </w:tr>
      <w:tr w14:paraId="1E703BCB">
        <w:tblPrEx>
          <w:tblBorders>
            <w:top w:val="single" w:color="auto" w:sz="4" w:space="0"/>
            <w:left w:val="single" w:color="auto" w:sz="4" w:space="0"/>
            <w:bottom w:val="single" w:color="auto" w:sz="4" w:space="0"/>
            <w:right w:val="single" w:color="808080" w:sz="4" w:space="0"/>
            <w:insideH w:val="none" w:color="auto" w:sz="0" w:space="0"/>
            <w:insideV w:val="none" w:color="auto" w:sz="0" w:space="0"/>
          </w:tblBorders>
          <w:tblCellMar>
            <w:top w:w="0" w:type="dxa"/>
            <w:left w:w="10" w:type="dxa"/>
            <w:bottom w:w="0" w:type="dxa"/>
            <w:right w:w="10" w:type="dxa"/>
          </w:tblCellMar>
        </w:tblPrEx>
        <w:trPr>
          <w:gridBefore w:val="1"/>
          <w:wBefore w:w="10" w:type="dxa"/>
          <w:jc w:val="center"/>
        </w:trPr>
        <w:tc>
          <w:tcPr>
            <w:tcW w:w="897" w:type="dxa"/>
            <w:gridSpan w:val="2"/>
            <w:tcBorders>
              <w:top w:val="single" w:color="808080" w:sz="4" w:space="0"/>
              <w:left w:val="single" w:color="auto" w:sz="4" w:space="0"/>
              <w:bottom w:val="single" w:color="auto" w:sz="4" w:space="0"/>
              <w:right w:val="single" w:color="808080" w:sz="4" w:space="0"/>
              <w:tl2br w:val="nil"/>
              <w:tr2bl w:val="nil"/>
            </w:tcBorders>
            <w:noWrap w:val="0"/>
            <w:vAlign w:val="center"/>
          </w:tcPr>
          <w:p w14:paraId="1DDDD6E5">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5001533L04</w:t>
            </w:r>
          </w:p>
        </w:tc>
        <w:tc>
          <w:tcPr>
            <w:tcW w:w="938" w:type="dxa"/>
            <w:gridSpan w:val="2"/>
            <w:tcBorders>
              <w:top w:val="single" w:color="808080" w:sz="4" w:space="0"/>
              <w:left w:val="single" w:color="808080" w:sz="4" w:space="0"/>
              <w:bottom w:val="single" w:color="auto" w:sz="4" w:space="0"/>
              <w:right w:val="single" w:color="808080" w:sz="4" w:space="0"/>
              <w:tl2br w:val="nil"/>
              <w:tr2bl w:val="nil"/>
            </w:tcBorders>
            <w:noWrap w:val="0"/>
            <w:vAlign w:val="center"/>
          </w:tcPr>
          <w:p w14:paraId="379180AE">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工业区</w:t>
            </w:r>
          </w:p>
        </w:tc>
        <w:tc>
          <w:tcPr>
            <w:tcW w:w="4512" w:type="dxa"/>
            <w:gridSpan w:val="2"/>
            <w:tcBorders>
              <w:top w:val="single" w:color="808080" w:sz="4" w:space="0"/>
              <w:left w:val="single" w:color="808080" w:sz="4" w:space="0"/>
              <w:bottom w:val="single" w:color="auto" w:sz="4" w:space="0"/>
              <w:right w:val="single" w:color="808080" w:sz="4" w:space="0"/>
              <w:tl2br w:val="nil"/>
              <w:tr2bl w:val="nil"/>
            </w:tcBorders>
            <w:noWrap w:val="0"/>
            <w:vAlign w:val="center"/>
          </w:tcPr>
          <w:p w14:paraId="7024BB0D">
            <w:pPr>
              <w:pageBreakBefore w:val="0"/>
              <w:widowControl w:val="0"/>
              <w:kinsoku/>
              <w:wordWrap/>
              <w:overflowPunct/>
              <w:topLinePunct w:val="0"/>
              <w:autoSpaceDE/>
              <w:autoSpaceDN/>
              <w:bidi w:val="0"/>
              <w:adjustRightInd/>
              <w:snapToGrid/>
              <w:spacing w:beforeLines="0" w:afterLines="0" w:line="560" w:lineRule="exact"/>
              <w:ind w:left="0" w:right="0"/>
              <w:jc w:val="both"/>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渝昆高速以北、濑溪河以西工业区</w:t>
            </w:r>
          </w:p>
        </w:tc>
        <w:tc>
          <w:tcPr>
            <w:tcW w:w="831" w:type="dxa"/>
            <w:gridSpan w:val="2"/>
            <w:tcBorders>
              <w:top w:val="single" w:color="808080" w:sz="4" w:space="0"/>
              <w:left w:val="single" w:color="808080" w:sz="4" w:space="0"/>
              <w:bottom w:val="single" w:color="auto" w:sz="4" w:space="0"/>
              <w:right w:val="single" w:color="808080" w:sz="4" w:space="0"/>
              <w:tl2br w:val="nil"/>
              <w:tr2bl w:val="nil"/>
            </w:tcBorders>
            <w:noWrap w:val="0"/>
            <w:vAlign w:val="center"/>
          </w:tcPr>
          <w:p w14:paraId="70BB7984">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default" w:ascii="Times New Roman" w:hAnsi="Times New Roman" w:eastAsia="Times New Roman"/>
                <w:color w:val="auto"/>
                <w:kern w:val="2"/>
                <w:sz w:val="28"/>
                <w:lang w:val="en-US"/>
              </w:rPr>
              <w:t>0.98</w:t>
            </w:r>
          </w:p>
        </w:tc>
        <w:tc>
          <w:tcPr>
            <w:tcW w:w="686" w:type="dxa"/>
            <w:gridSpan w:val="2"/>
            <w:tcBorders>
              <w:top w:val="single" w:color="808080" w:sz="4" w:space="0"/>
              <w:left w:val="single" w:color="808080" w:sz="4" w:space="0"/>
              <w:bottom w:val="single" w:color="auto" w:sz="4" w:space="0"/>
              <w:right w:val="single" w:color="808080" w:sz="4" w:space="0"/>
              <w:tl2br w:val="nil"/>
              <w:tr2bl w:val="nil"/>
            </w:tcBorders>
            <w:noWrap w:val="0"/>
            <w:vAlign w:val="center"/>
          </w:tcPr>
          <w:p w14:paraId="3A008851">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65</w:t>
            </w:r>
          </w:p>
        </w:tc>
        <w:tc>
          <w:tcPr>
            <w:tcW w:w="694" w:type="dxa"/>
            <w:gridSpan w:val="2"/>
            <w:tcBorders>
              <w:top w:val="single" w:color="808080" w:sz="4" w:space="0"/>
              <w:left w:val="single" w:color="808080" w:sz="4" w:space="0"/>
              <w:bottom w:val="single" w:color="auto" w:sz="4" w:space="0"/>
              <w:right w:val="single" w:color="auto" w:sz="4" w:space="0"/>
              <w:tl2br w:val="nil"/>
              <w:tr2bl w:val="nil"/>
            </w:tcBorders>
            <w:noWrap w:val="0"/>
            <w:vAlign w:val="center"/>
          </w:tcPr>
          <w:p w14:paraId="464F5172">
            <w:pPr>
              <w:pageBreakBefore w:val="0"/>
              <w:widowControl w:val="0"/>
              <w:kinsoku/>
              <w:wordWrap/>
              <w:overflowPunct/>
              <w:topLinePunct w:val="0"/>
              <w:autoSpaceDE/>
              <w:autoSpaceDN/>
              <w:bidi w:val="0"/>
              <w:adjustRightInd/>
              <w:snapToGrid/>
              <w:spacing w:beforeLines="0" w:afterLines="0" w:line="560" w:lineRule="exact"/>
              <w:ind w:left="0" w:right="0"/>
              <w:jc w:val="center"/>
              <w:textAlignment w:val="auto"/>
              <w:rPr>
                <w:rFonts w:hint="default" w:ascii="Times New Roman" w:hAnsi="Times New Roman" w:eastAsia="Times New Roman"/>
                <w:color w:val="auto"/>
                <w:kern w:val="2"/>
                <w:sz w:val="28"/>
                <w:lang w:val="en-US"/>
              </w:rPr>
            </w:pPr>
            <w:r>
              <w:rPr>
                <w:rFonts w:hint="eastAsia" w:ascii="方正仿宋_GBK" w:hAnsi="方正仿宋_GBK" w:eastAsia="方正仿宋_GBK"/>
                <w:color w:val="auto"/>
                <w:kern w:val="2"/>
                <w:sz w:val="28"/>
                <w:lang w:val="zh-CN"/>
              </w:rPr>
              <w:t>55</w:t>
            </w:r>
          </w:p>
        </w:tc>
      </w:tr>
    </w:tbl>
    <w:p w14:paraId="055D4675">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荣隆工业园、吴家镇规划工业用地区域、双河街道国营益民机械厂和许家沟煤矿工业区执行3类声环境标准。</w:t>
      </w:r>
    </w:p>
    <w:p w14:paraId="1156560A">
      <w:pPr>
        <w:pStyle w:val="3"/>
        <w:keepNext/>
        <w:keepLines/>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t>（二）4类声环境功能区划分结果。</w:t>
      </w:r>
    </w:p>
    <w:p w14:paraId="1006C83F">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根据《声环境质量标准》（GB3096-2008）的规定，根据现场调查并结合相应规划，确定荣昌城区内高速公路、城市主干路、城市次干路、铁路等61条道路为交通干线，具体名单如下：</w:t>
      </w:r>
    </w:p>
    <w:p w14:paraId="4268211A">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eastAsia" w:ascii="方正仿宋_GBK" w:hAnsi="方正仿宋_GBK" w:eastAsia="方正仿宋_GBK"/>
          <w:color w:val="auto"/>
          <w:spacing w:val="-6"/>
          <w:kern w:val="2"/>
          <w:sz w:val="32"/>
          <w:lang w:val="zh-CN"/>
        </w:rPr>
      </w:pPr>
      <w:r>
        <w:rPr>
          <w:rFonts w:hint="eastAsia" w:ascii="方正仿宋_GBK" w:hAnsi="方正仿宋_GBK" w:eastAsia="方正仿宋_GBK"/>
          <w:color w:val="auto"/>
          <w:spacing w:val="-6"/>
          <w:kern w:val="2"/>
          <w:sz w:val="32"/>
          <w:lang w:val="zh-CN"/>
        </w:rPr>
        <w:t>1﹒交通干线</w:t>
      </w:r>
    </w:p>
    <w:p w14:paraId="3FFFE0B8">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（1）4a类交通干线</w:t>
      </w:r>
    </w:p>
    <w:p w14:paraId="697A4945">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①高速公路（1条）：</w:t>
      </w:r>
    </w:p>
    <w:p w14:paraId="729026AB">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渝昆高速城区内路段。</w:t>
      </w:r>
    </w:p>
    <w:p w14:paraId="4E6CD546">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②主干路（26条）：</w:t>
      </w:r>
    </w:p>
    <w:p w14:paraId="554C0443">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工业大道、广安路、成渝路、广顺大道、组团第二通道、昌州大道、迎宾大道、学院路、嘉吉普瑞纳大道、香国大道、统升路、尚书路、宝城东路、灯饰大道、海棠北路、昌龙大道、朝阳路、灵方大道、启明路、荣昌大道、龙华二路、宝城路、海棠路、龙华三路、陶都大道、林溪路。</w:t>
      </w:r>
    </w:p>
    <w:p w14:paraId="727E38E1">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③次干路（32条）：</w:t>
      </w:r>
    </w:p>
    <w:p w14:paraId="7216E57F">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广盘路、红岩路、凤鸣路、城南大道、荣滨北路、荣升路、天正路、恒荣路、富安北路、荣滨南路、广场路、庙山路、国泰路、花园路、荣昌北站纵向西路、向阳路、棠香北街、荣庆路、板桥路、园丁街、龙华一路、富安南路、棠香南街、颐和街、民安街、海棠四支路、玉屏街、东环路、东湖三支路、小康路、人民路、兴发路。</w:t>
      </w:r>
    </w:p>
    <w:p w14:paraId="176470C4">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（2）4b类交通干线</w:t>
      </w:r>
    </w:p>
    <w:p w14:paraId="2DB33F75">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成渝铁路、成渝高铁等城区内路段。</w:t>
      </w:r>
    </w:p>
    <w:p w14:paraId="19D47661">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2﹒交通枢纽站（场）</w:t>
      </w:r>
    </w:p>
    <w:p w14:paraId="3DEA56D8">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（1）4a类交通枢纽站（场）</w:t>
      </w:r>
    </w:p>
    <w:p w14:paraId="231B16D1">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荣昌汽车站、荣昌汽车总站、荣昌服务区、富吉汽车站。</w:t>
      </w:r>
    </w:p>
    <w:p w14:paraId="41DF427E">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（2）4b类交通枢纽站（场）</w:t>
      </w:r>
    </w:p>
    <w:p w14:paraId="74259EDD">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荣昌站、广顺站、荣昌北站、峰高铺站。</w:t>
      </w:r>
    </w:p>
    <w:p w14:paraId="4AD153BF">
      <w:pPr>
        <w:pStyle w:val="2"/>
        <w:keepNext/>
        <w:keepLines/>
        <w:pageBreakBefore w:val="0"/>
        <w:widowControl w:val="0"/>
        <w:kinsoku/>
        <w:wordWrap/>
        <w:overflowPunct/>
        <w:topLinePunct w:val="0"/>
        <w:autoSpaceDE/>
        <w:autoSpaceDN/>
        <w:bidi w:val="0"/>
        <w:adjustRightInd/>
        <w:snapToGrid/>
        <w:spacing w:before="0" w:beforeLines="0" w:after="0" w:afterLines="0" w:line="560" w:lineRule="exact"/>
        <w:ind w:left="0" w:right="0" w:firstLine="640"/>
        <w:jc w:val="both"/>
        <w:textAlignment w:val="auto"/>
        <w:rPr>
          <w:rFonts w:hint="eastAsia" w:ascii="方正黑体_GBK" w:hAnsi="方正黑体_GBK" w:eastAsia="方正黑体_GBK"/>
          <w:color w:val="auto"/>
          <w:kern w:val="44"/>
          <w:sz w:val="32"/>
          <w:lang w:val="zh-CN"/>
        </w:rPr>
      </w:pPr>
      <w:r>
        <w:rPr>
          <w:rFonts w:hint="eastAsia" w:ascii="方正黑体_GBK" w:hAnsi="方正黑体_GBK" w:eastAsia="方正黑体_GBK"/>
          <w:color w:val="auto"/>
          <w:kern w:val="44"/>
          <w:sz w:val="32"/>
          <w:lang w:val="zh-CN"/>
        </w:rPr>
        <w:t>五、组织实施</w:t>
      </w:r>
    </w:p>
    <w:p w14:paraId="0C4AA5D0">
      <w:pPr>
        <w:pStyle w:val="3"/>
        <w:keepNext/>
        <w:keepLines/>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t>（一）强化监测评估。</w:t>
      </w:r>
    </w:p>
    <w:p w14:paraId="743B5E7A">
      <w:pPr>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default" w:ascii="Times New Roman" w:hAnsi="Times New Roman" w:eastAsia="Times New Roman"/>
          <w:color w:val="000000"/>
          <w:kern w:val="2"/>
          <w:sz w:val="32"/>
          <w:lang w:val="en-US"/>
        </w:rPr>
      </w:pPr>
      <w:r>
        <w:rPr>
          <w:rFonts w:hint="eastAsia" w:ascii="方正仿宋_GBK" w:hAnsi="方正仿宋_GBK" w:eastAsia="方正仿宋_GBK"/>
          <w:color w:val="000000"/>
          <w:kern w:val="2"/>
          <w:sz w:val="32"/>
          <w:lang w:val="zh-CN"/>
        </w:rPr>
        <w:t>建立城区噪声监测评估制度，及时制定辖区噪声监测方案和评估计划，合理设置环境噪声监测网络，组织开展区域声环境质量监视性监测，定期向社会公布监测结果和声环境质量报告。根据国家和市级相关环境监测技术，开展城区声环境质量监测、调查评估和达标考核工作，及时将声环境质量现状及变化趋势向市级环境保护主管部门和区人民政府报告。</w:t>
      </w:r>
    </w:p>
    <w:p w14:paraId="603A2EB4">
      <w:pPr>
        <w:pStyle w:val="3"/>
        <w:keepNext/>
        <w:keepLines/>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t>（二）加强源头预防。</w:t>
      </w:r>
    </w:p>
    <w:p w14:paraId="3FFB8591">
      <w:pPr>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default" w:ascii="Times New Roman" w:hAnsi="Times New Roman" w:eastAsia="Times New Roman"/>
          <w:color w:val="000000"/>
          <w:kern w:val="2"/>
          <w:sz w:val="32"/>
          <w:lang w:val="en-US"/>
        </w:rPr>
      </w:pPr>
      <w:r>
        <w:rPr>
          <w:rFonts w:hint="eastAsia" w:ascii="方正仿宋_GBK" w:hAnsi="方正仿宋_GBK" w:eastAsia="方正仿宋_GBK"/>
          <w:color w:val="000000"/>
          <w:kern w:val="2"/>
          <w:sz w:val="32"/>
          <w:lang w:val="zh-CN"/>
        </w:rPr>
        <w:t>根据声功能区划结果，及时制定辖区声环境保护方案，加强工业噪声、交通噪声、社会生活噪声和施工噪声控制，从源头削减噪声污染。对于不达标的声功能区，制定声环境功能区整治达标方案，分年度确定声环境整治目标和任务，逐步提高辖区声环境功能区达标率。</w:t>
      </w:r>
      <w:r>
        <w:rPr>
          <w:rFonts w:hint="default" w:ascii="Times New Roman" w:hAnsi="Times New Roman" w:eastAsia="Times New Roman"/>
          <w:color w:val="000000"/>
          <w:kern w:val="2"/>
          <w:sz w:val="32"/>
          <w:lang w:val="en-US"/>
        </w:rPr>
        <w:t xml:space="preserve"> </w:t>
      </w:r>
    </w:p>
    <w:p w14:paraId="34A18F4B">
      <w:pPr>
        <w:pStyle w:val="3"/>
        <w:keepNext/>
        <w:keepLines/>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t>（三）推进空间管控。</w:t>
      </w:r>
    </w:p>
    <w:p w14:paraId="4F86E023">
      <w:pPr>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default" w:ascii="Times New Roman" w:hAnsi="Times New Roman" w:eastAsia="Times New Roman"/>
          <w:color w:val="000000"/>
          <w:kern w:val="2"/>
          <w:sz w:val="32"/>
          <w:lang w:val="en-US"/>
        </w:rPr>
      </w:pPr>
      <w:r>
        <w:rPr>
          <w:rFonts w:hint="eastAsia" w:ascii="方正仿宋_GBK" w:hAnsi="方正仿宋_GBK" w:eastAsia="方正仿宋_GBK"/>
          <w:color w:val="000000"/>
          <w:kern w:val="2"/>
          <w:sz w:val="32"/>
          <w:lang w:val="zh-CN"/>
        </w:rPr>
        <w:t>城乡建设规划应当依据声环境功能区划要求，统筹城市建设时序和用地布局，预留新开发的居住、教学、办公、卫生医疗等用途建筑物与交通干线的防护距离，防止或减轻环境噪声污染。新（改扩）建高速公路、城市快速路、城市高架、轨道等交通项目，应合理规避0类和1类声功能区和噪声敏感建筑物集中区域，并依法依规落实噪声污染防护措施。</w:t>
      </w:r>
    </w:p>
    <w:p w14:paraId="0F35E69F">
      <w:pPr>
        <w:pStyle w:val="3"/>
        <w:keepNext/>
        <w:keepLines/>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eastAsia" w:ascii="方正楷体_GBK" w:hAnsi="方正楷体_GBK" w:eastAsia="方正楷体_GBK"/>
          <w:color w:val="auto"/>
          <w:kern w:val="2"/>
          <w:sz w:val="32"/>
          <w:lang w:val="zh-CN"/>
        </w:rPr>
      </w:pPr>
      <w:r>
        <w:rPr>
          <w:rFonts w:hint="eastAsia" w:ascii="方正楷体_GBK" w:hAnsi="方正楷体_GBK" w:eastAsia="方正楷体_GBK"/>
          <w:color w:val="auto"/>
          <w:kern w:val="2"/>
          <w:sz w:val="32"/>
          <w:lang w:val="zh-CN"/>
        </w:rPr>
        <w:t>（四）严格修改程序。</w:t>
      </w:r>
    </w:p>
    <w:p w14:paraId="2AB9C331">
      <w:pPr>
        <w:pageBreakBefore w:val="0"/>
        <w:widowControl w:val="0"/>
        <w:kinsoku/>
        <w:wordWrap/>
        <w:overflowPunct/>
        <w:topLinePunct w:val="0"/>
        <w:autoSpaceDE/>
        <w:autoSpaceDN/>
        <w:bidi w:val="0"/>
        <w:adjustRightInd/>
        <w:snapToGrid/>
        <w:spacing w:beforeLines="0" w:afterLines="0" w:line="560" w:lineRule="exact"/>
        <w:ind w:left="0" w:right="0" w:firstLine="640"/>
        <w:jc w:val="both"/>
        <w:textAlignment w:val="auto"/>
        <w:rPr>
          <w:rFonts w:hint="default" w:ascii="Times New Roman" w:hAnsi="Times New Roman" w:eastAsia="Times New Roman"/>
          <w:color w:val="000000"/>
          <w:kern w:val="2"/>
          <w:sz w:val="32"/>
          <w:lang w:val="en-US"/>
        </w:rPr>
      </w:pPr>
      <w:r>
        <w:rPr>
          <w:rFonts w:hint="eastAsia" w:ascii="方正仿宋_GBK" w:hAnsi="方正仿宋_GBK" w:eastAsia="方正仿宋_GBK"/>
          <w:color w:val="000000"/>
          <w:kern w:val="2"/>
          <w:sz w:val="32"/>
          <w:lang w:val="zh-CN"/>
        </w:rPr>
        <w:t>声环境功能区划的调整和修改，应当按照《重庆市环境保护条例》要求，履行修改申请、评估、审批和备案等程序。声环境功能区划原则上每</w:t>
      </w:r>
      <w:r>
        <w:rPr>
          <w:rFonts w:hint="default" w:ascii="Times New Roman" w:hAnsi="Times New Roman" w:eastAsia="Times New Roman"/>
          <w:color w:val="000000"/>
          <w:kern w:val="2"/>
          <w:sz w:val="32"/>
          <w:lang w:val="en-US"/>
        </w:rPr>
        <w:t>5</w:t>
      </w:r>
      <w:r>
        <w:rPr>
          <w:rFonts w:hint="eastAsia" w:ascii="方正仿宋_GBK" w:hAnsi="方正仿宋_GBK" w:eastAsia="方正仿宋_GBK"/>
          <w:color w:val="000000"/>
          <w:kern w:val="2"/>
          <w:sz w:val="32"/>
          <w:lang w:val="zh-CN"/>
        </w:rPr>
        <w:t>年调整一次；因城市建设和重大规划实施调整，可实施动态修编并按原程序报批。</w:t>
      </w:r>
    </w:p>
    <w:p w14:paraId="63E4531A">
      <w:pPr>
        <w:pStyle w:val="2"/>
        <w:keepNext/>
        <w:keepLines/>
        <w:pageBreakBefore w:val="0"/>
        <w:widowControl w:val="0"/>
        <w:kinsoku/>
        <w:wordWrap/>
        <w:overflowPunct/>
        <w:topLinePunct w:val="0"/>
        <w:autoSpaceDE/>
        <w:autoSpaceDN/>
        <w:bidi w:val="0"/>
        <w:adjustRightInd/>
        <w:snapToGrid/>
        <w:spacing w:before="0" w:beforeLines="0" w:after="0" w:afterLines="0" w:line="560" w:lineRule="exact"/>
        <w:ind w:left="0" w:right="0" w:firstLine="640"/>
        <w:jc w:val="both"/>
        <w:textAlignment w:val="auto"/>
        <w:rPr>
          <w:rFonts w:hint="eastAsia" w:ascii="方正黑体_GBK" w:hAnsi="方正黑体_GBK" w:eastAsia="方正黑体_GBK"/>
          <w:color w:val="auto"/>
          <w:kern w:val="44"/>
          <w:sz w:val="32"/>
          <w:lang w:val="zh-CN"/>
        </w:rPr>
      </w:pPr>
      <w:r>
        <w:rPr>
          <w:rFonts w:hint="eastAsia" w:ascii="方正黑体_GBK" w:hAnsi="方正黑体_GBK" w:eastAsia="方正黑体_GBK"/>
          <w:color w:val="auto"/>
          <w:kern w:val="44"/>
          <w:sz w:val="32"/>
          <w:lang w:val="zh-CN"/>
        </w:rPr>
        <w:t>六、荣昌城区声环境功能区划分其他说明</w:t>
      </w:r>
    </w:p>
    <w:p w14:paraId="1CBB5924">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1﹒乡村区域声环境功能区的规定：位于乡村的康复疗养区为0类声功能区；乡村村庄以及位于乡村的连片住宅区为1类声环境功能区；一般城镇及乡村集镇为2类声环境功能区；独立于乡村集镇、村庄的工业、仓储、物流企业集中区域或乡村地区的工业集聚区为3类声功能区。</w:t>
      </w:r>
    </w:p>
    <w:p w14:paraId="14CD0719">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2﹒声环境功能区边界附近建设项目要确保高标准功能区一侧的敏感点达标，环境保护主管部门应当加强低标准边界侧的噪声治理，确保高标准功能区的标准实施。</w:t>
      </w:r>
    </w:p>
    <w:p w14:paraId="3E42EBDC">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3﹒随着城市规划的逐步实施，区域功能与规划目标较大的区域，要以实际建设用地状况作为区划的主要依据，及时调整声功能区。</w:t>
      </w:r>
    </w:p>
    <w:p w14:paraId="28CA68F6">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4﹒本方案由荣昌区环境保护行政主管部门负责组织实施。</w:t>
      </w:r>
    </w:p>
    <w:p w14:paraId="76F19BAE">
      <w:pPr>
        <w:pageBreakBefore w:val="0"/>
        <w:widowControl w:val="0"/>
        <w:kinsoku/>
        <w:wordWrap/>
        <w:overflowPunct/>
        <w:topLinePunct w:val="0"/>
        <w:autoSpaceDE/>
        <w:autoSpaceDN/>
        <w:bidi w:val="0"/>
        <w:adjustRightInd/>
        <w:snapToGrid/>
        <w:spacing w:beforeLines="0" w:afterLines="0" w:line="560" w:lineRule="exact"/>
        <w:ind w:left="0" w:right="0" w:firstLine="616"/>
        <w:jc w:val="both"/>
        <w:textAlignment w:val="auto"/>
        <w:rPr>
          <w:rFonts w:hint="default" w:ascii="Times New Roman" w:hAnsi="Times New Roman" w:eastAsia="Times New Roman"/>
          <w:color w:val="auto"/>
          <w:spacing w:val="-6"/>
          <w:kern w:val="2"/>
          <w:sz w:val="32"/>
          <w:lang w:val="en-US"/>
        </w:rPr>
      </w:pPr>
      <w:r>
        <w:rPr>
          <w:rFonts w:hint="eastAsia" w:ascii="方正仿宋_GBK" w:hAnsi="方正仿宋_GBK" w:eastAsia="方正仿宋_GBK"/>
          <w:color w:val="auto"/>
          <w:spacing w:val="-6"/>
          <w:kern w:val="2"/>
          <w:sz w:val="32"/>
          <w:lang w:val="zh-CN"/>
        </w:rPr>
        <w:t>5﹒本方案未尽事宜，参照有关法律、法规和规章的相关条款执行。</w:t>
      </w:r>
    </w:p>
    <w:p w14:paraId="1CFBF0FE">
      <w:pPr>
        <w:keepNext w:val="0"/>
        <w:keepLines w:val="0"/>
        <w:pageBreakBefore w:val="0"/>
        <w:widowControl w:val="0"/>
        <w:kinsoku/>
        <w:wordWrap/>
        <w:overflowPunct/>
        <w:topLinePunct w:val="0"/>
        <w:autoSpaceDE/>
        <w:autoSpaceDN/>
        <w:bidi w:val="0"/>
        <w:adjustRightInd/>
        <w:snapToGrid/>
        <w:spacing w:beforeLines="0" w:afterLines="0" w:line="240" w:lineRule="auto"/>
        <w:textAlignment w:val="auto"/>
        <w:rPr>
          <w:rFonts w:hint="eastAsia" w:ascii="方正黑体_GBK" w:hAnsi="方正黑体_GBK" w:eastAsia="方正黑体_GBK"/>
          <w:color w:val="auto"/>
          <w:kern w:val="2"/>
          <w:sz w:val="32"/>
          <w:lang w:val="zh-CN"/>
        </w:rPr>
      </w:pPr>
      <w:r>
        <w:rPr>
          <w:rFonts w:hint="default" w:ascii="Cambria" w:hAnsi="Cambria" w:eastAsia="Cambria"/>
          <w:b/>
          <w:color w:val="auto"/>
          <w:spacing w:val="-6"/>
          <w:kern w:val="2"/>
          <w:sz w:val="32"/>
          <w:lang w:val="en-US"/>
        </w:rPr>
        <w:br w:type="page"/>
      </w:r>
      <w:r>
        <w:rPr>
          <w:rFonts w:hint="eastAsia" w:ascii="方正黑体_GBK" w:hAnsi="方正黑体_GBK" w:eastAsia="方正黑体_GBK"/>
          <w:color w:val="auto"/>
          <w:kern w:val="2"/>
          <w:sz w:val="32"/>
          <w:lang w:val="zh-CN"/>
        </w:rPr>
        <w:t>附录一  荣昌区声功能区划范围图</w:t>
      </w:r>
    </w:p>
    <w:p w14:paraId="1312ED65">
      <w:pPr>
        <w:keepNext w:val="0"/>
        <w:keepLines w:val="0"/>
        <w:pageBreakBefore w:val="0"/>
        <w:widowControl w:val="0"/>
        <w:kinsoku/>
        <w:wordWrap/>
        <w:overflowPunct/>
        <w:topLinePunct w:val="0"/>
        <w:autoSpaceDE/>
        <w:autoSpaceDN/>
        <w:bidi w:val="0"/>
        <w:adjustRightInd/>
        <w:snapToGrid/>
        <w:spacing w:beforeLines="0" w:afterLines="0" w:line="240" w:lineRule="auto"/>
        <w:jc w:val="center"/>
        <w:textAlignment w:val="auto"/>
        <w:rPr>
          <w:rFonts w:hint="default" w:ascii="方正仿宋_GBK" w:hAnsi="方正仿宋_GBK" w:eastAsia="方正仿宋_GBK" w:cs="方正仿宋_GBK"/>
          <w:kern w:val="0"/>
          <w:sz w:val="32"/>
          <w:szCs w:val="32"/>
          <w:shd w:val="clear" w:color="auto" w:fill="FFFFFF"/>
          <w:lang w:eastAsia="zh-CN" w:bidi="ar-SA"/>
        </w:rPr>
      </w:pPr>
      <w:r>
        <w:rPr>
          <w:rFonts w:hint="eastAsia" w:ascii="宋体" w:hAnsi="宋体" w:eastAsia="宋体"/>
          <w:color w:val="auto"/>
          <w:sz w:val="22"/>
          <w:lang w:val="zh-CN"/>
        </w:rPr>
        <w:drawing>
          <wp:inline distT="0" distB="0" distL="114300" distR="114300">
            <wp:extent cx="4751705" cy="6721475"/>
            <wp:effectExtent l="0" t="0" r="10795" b="317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tretch>
                      <a:fillRect/>
                    </a:stretch>
                  </pic:blipFill>
                  <pic:spPr>
                    <a:xfrm>
                      <a:off x="0" y="0"/>
                      <a:ext cx="4751705" cy="6721475"/>
                    </a:xfrm>
                    <a:prstGeom prst="rect">
                      <a:avLst/>
                    </a:prstGeom>
                    <a:noFill/>
                    <a:ln>
                      <a:noFill/>
                    </a:ln>
                  </pic:spPr>
                </pic:pic>
              </a:graphicData>
            </a:graphic>
          </wp:inline>
        </w:drawing>
      </w:r>
      <w:r>
        <w:rPr>
          <w:rFonts w:hint="eastAsia" w:ascii="方正仿宋_GBK" w:hAnsi="方正仿宋_GBK" w:eastAsia="方正仿宋_GBK" w:cs="方正仿宋_GBK"/>
          <w:kern w:val="0"/>
          <w:sz w:val="32"/>
          <w:szCs w:val="32"/>
          <w:shd w:val="clear" w:color="auto" w:fill="FFFFFF"/>
          <w:lang w:val="en-US" w:eastAsia="zh-CN" w:bidi="ar-SA"/>
        </w:rPr>
        <w:t xml:space="preserve">           </w:t>
      </w:r>
    </w:p>
    <w:p w14:paraId="4960BF1A">
      <w:pPr>
        <w:keepNext w:val="0"/>
        <w:keepLines w:val="0"/>
        <w:pageBreakBefore w:val="0"/>
        <w:tabs>
          <w:tab w:val="left" w:pos="3735"/>
        </w:tabs>
        <w:kinsoku/>
        <w:overflowPunct/>
        <w:topLinePunct w:val="0"/>
        <w:autoSpaceDE/>
        <w:autoSpaceDN/>
        <w:bidi w:val="0"/>
        <w:adjustRightInd/>
        <w:spacing w:line="600" w:lineRule="exact"/>
        <w:ind w:left="0" w:leftChars="0" w:right="0" w:rightChars="0"/>
        <w:jc w:val="left"/>
        <w:textAlignment w:val="auto"/>
        <w:rPr>
          <w:rFonts w:hint="eastAsia" w:ascii="Times New Roman" w:hAnsi="Times New Roman" w:eastAsia="方正仿宋_GBK" w:cstheme="minorBidi"/>
          <w:kern w:val="0"/>
          <w:sz w:val="32"/>
          <w:szCs w:val="32"/>
          <w:shd w:val="clear" w:color="auto" w:fill="FFFFFF"/>
          <w:lang w:eastAsia="zh-CN" w:bidi="ar-SA"/>
        </w:rPr>
        <w:sectPr>
          <w:headerReference r:id="rId3" w:type="default"/>
          <w:footerReference r:id="rId4" w:type="default"/>
          <w:pgSz w:w="11906" w:h="16838"/>
          <w:pgMar w:top="1962" w:right="1474" w:bottom="1848" w:left="1587" w:header="851" w:footer="992" w:gutter="0"/>
          <w:pgNumType w:fmt="numberInDash" w:start="1"/>
          <w:cols w:space="0" w:num="1"/>
          <w:rtlGutter w:val="0"/>
          <w:docGrid w:type="lines" w:linePitch="316" w:charSpace="0"/>
        </w:sectPr>
      </w:pPr>
    </w:p>
    <w:p w14:paraId="29613ACC">
      <w:pPr>
        <w:pStyle w:val="11"/>
        <w:spacing w:before="0" w:after="0" w:line="594" w:lineRule="exact"/>
        <w:jc w:val="left"/>
        <w:rPr>
          <w:rFonts w:hint="default" w:ascii="方正黑体_GBK" w:hAnsi="Times New Roman" w:eastAsia="方正黑体_GBK"/>
          <w:b w:val="0"/>
          <w:sz w:val="32"/>
          <w:lang w:val="en-US" w:eastAsia="zh-CN"/>
        </w:rPr>
      </w:pPr>
      <w:bookmarkStart w:id="0" w:name="_Toc503822790"/>
      <w:bookmarkStart w:id="1" w:name="_Toc517272525"/>
      <w:r>
        <w:rPr>
          <w:rFonts w:hint="eastAsia" w:ascii="方正黑体_GBK" w:hAnsi="Times New Roman" w:eastAsia="方正黑体_GBK"/>
          <w:b w:val="0"/>
          <w:sz w:val="32"/>
          <w:lang w:eastAsia="zh-CN"/>
        </w:rPr>
        <w:t>附录二</w:t>
      </w:r>
      <w:r>
        <w:rPr>
          <w:rFonts w:hint="eastAsia" w:ascii="方正黑体_GBK" w:hAnsi="Times New Roman" w:eastAsia="方正黑体_GBK"/>
          <w:b w:val="0"/>
          <w:sz w:val="32"/>
          <w:lang w:val="en-US" w:eastAsia="zh-CN"/>
        </w:rPr>
        <w:t xml:space="preserve">  荣昌区声功能区划图</w:t>
      </w:r>
    </w:p>
    <w:p w14:paraId="7C9CD5EE">
      <w:pPr>
        <w:pStyle w:val="11"/>
        <w:spacing w:before="0" w:after="0" w:line="594" w:lineRule="exact"/>
        <w:jc w:val="left"/>
        <w:rPr>
          <w:rFonts w:hint="eastAsia" w:ascii="方正黑体_GBK" w:hAnsi="Times New Roman" w:eastAsia="方正黑体_GBK"/>
          <w:b w:val="0"/>
          <w:sz w:val="32"/>
        </w:rPr>
      </w:pPr>
      <w:r>
        <w:rPr>
          <w:rFonts w:ascii="方正黑体_GBK" w:hAnsi="Times New Roman" w:eastAsia="方正黑体_GBK"/>
          <w:sz w:val="32"/>
        </w:rPr>
        <w:drawing>
          <wp:anchor distT="0" distB="0" distL="114300" distR="114300" simplePos="0" relativeHeight="251659264" behindDoc="0" locked="0" layoutInCell="1" allowOverlap="1">
            <wp:simplePos x="0" y="0"/>
            <wp:positionH relativeFrom="column">
              <wp:posOffset>649605</wp:posOffset>
            </wp:positionH>
            <wp:positionV relativeFrom="paragraph">
              <wp:posOffset>80645</wp:posOffset>
            </wp:positionV>
            <wp:extent cx="6804025" cy="4811395"/>
            <wp:effectExtent l="0" t="0" r="15875" b="8255"/>
            <wp:wrapNone/>
            <wp:docPr id="7" name="图片 3" descr="D:\周欢\声功能区划\声功能区划\声功能区划分成果\荣昌\荣昌-博达查看后\荣昌横向分图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D:\周欢\声功能区划\声功能区划\声功能区划分成果\荣昌\荣昌-博达查看后\荣昌横向分图619.jpg"/>
                    <pic:cNvPicPr>
                      <a:picLocks noChangeAspect="1"/>
                    </pic:cNvPicPr>
                  </pic:nvPicPr>
                  <pic:blipFill>
                    <a:blip r:embed="rId9"/>
                    <a:stretch>
                      <a:fillRect/>
                    </a:stretch>
                  </pic:blipFill>
                  <pic:spPr>
                    <a:xfrm>
                      <a:off x="0" y="0"/>
                      <a:ext cx="6804025" cy="4811395"/>
                    </a:xfrm>
                    <a:prstGeom prst="rect">
                      <a:avLst/>
                    </a:prstGeom>
                    <a:noFill/>
                    <a:ln>
                      <a:noFill/>
                    </a:ln>
                  </pic:spPr>
                </pic:pic>
              </a:graphicData>
            </a:graphic>
          </wp:anchor>
        </w:drawing>
      </w:r>
    </w:p>
    <w:p w14:paraId="6DBC4C96">
      <w:pPr>
        <w:pStyle w:val="11"/>
        <w:spacing w:before="0" w:after="0" w:line="594" w:lineRule="exact"/>
        <w:jc w:val="left"/>
        <w:rPr>
          <w:rFonts w:hint="eastAsia" w:ascii="方正黑体_GBK" w:hAnsi="Times New Roman" w:eastAsia="方正黑体_GBK"/>
          <w:b w:val="0"/>
          <w:sz w:val="32"/>
        </w:rPr>
      </w:pPr>
    </w:p>
    <w:p w14:paraId="69C44463">
      <w:pPr>
        <w:pStyle w:val="11"/>
        <w:spacing w:before="0" w:after="0" w:line="594" w:lineRule="exact"/>
        <w:jc w:val="left"/>
        <w:rPr>
          <w:rFonts w:hint="eastAsia" w:ascii="方正黑体_GBK" w:hAnsi="Times New Roman" w:eastAsia="方正黑体_GBK"/>
          <w:b w:val="0"/>
          <w:sz w:val="32"/>
        </w:rPr>
      </w:pPr>
    </w:p>
    <w:p w14:paraId="44F375CD">
      <w:pPr>
        <w:pStyle w:val="11"/>
        <w:spacing w:before="0" w:after="0" w:line="594" w:lineRule="exact"/>
        <w:jc w:val="left"/>
        <w:rPr>
          <w:rFonts w:hint="eastAsia" w:ascii="方正黑体_GBK" w:hAnsi="Times New Roman" w:eastAsia="方正黑体_GBK"/>
          <w:b w:val="0"/>
          <w:sz w:val="32"/>
        </w:rPr>
      </w:pPr>
    </w:p>
    <w:p w14:paraId="13416749">
      <w:pPr>
        <w:pStyle w:val="11"/>
        <w:spacing w:before="0" w:after="0" w:line="594" w:lineRule="exact"/>
        <w:jc w:val="left"/>
        <w:rPr>
          <w:rFonts w:hint="eastAsia" w:ascii="方正黑体_GBK" w:hAnsi="Times New Roman" w:eastAsia="方正黑体_GBK"/>
          <w:b w:val="0"/>
          <w:sz w:val="32"/>
        </w:rPr>
      </w:pPr>
    </w:p>
    <w:p w14:paraId="07F44A06">
      <w:pPr>
        <w:pStyle w:val="11"/>
        <w:spacing w:before="0" w:after="0" w:line="594" w:lineRule="exact"/>
        <w:jc w:val="left"/>
        <w:rPr>
          <w:rFonts w:hint="eastAsia" w:ascii="方正黑体_GBK" w:hAnsi="Times New Roman" w:eastAsia="方正黑体_GBK"/>
          <w:b w:val="0"/>
          <w:sz w:val="32"/>
        </w:rPr>
      </w:pPr>
    </w:p>
    <w:p w14:paraId="2823D1E3">
      <w:pPr>
        <w:pStyle w:val="11"/>
        <w:spacing w:before="0" w:after="0" w:line="594" w:lineRule="exact"/>
        <w:jc w:val="left"/>
        <w:rPr>
          <w:rFonts w:hint="eastAsia" w:ascii="方正黑体_GBK" w:hAnsi="Times New Roman" w:eastAsia="方正黑体_GBK"/>
          <w:b w:val="0"/>
          <w:sz w:val="32"/>
        </w:rPr>
      </w:pPr>
    </w:p>
    <w:p w14:paraId="5AD39DC2">
      <w:pPr>
        <w:pStyle w:val="11"/>
        <w:spacing w:before="0" w:after="0" w:line="594" w:lineRule="exact"/>
        <w:jc w:val="left"/>
        <w:rPr>
          <w:rFonts w:hint="eastAsia" w:ascii="方正黑体_GBK" w:hAnsi="Times New Roman" w:eastAsia="方正黑体_GBK"/>
          <w:b w:val="0"/>
          <w:sz w:val="32"/>
        </w:rPr>
      </w:pPr>
    </w:p>
    <w:p w14:paraId="3B79D0F5">
      <w:pPr>
        <w:pStyle w:val="11"/>
        <w:spacing w:before="0" w:after="0" w:line="594" w:lineRule="exact"/>
        <w:jc w:val="left"/>
        <w:rPr>
          <w:rFonts w:hint="eastAsia" w:ascii="方正黑体_GBK" w:hAnsi="Times New Roman" w:eastAsia="方正黑体_GBK"/>
          <w:b w:val="0"/>
          <w:sz w:val="32"/>
        </w:rPr>
      </w:pPr>
    </w:p>
    <w:p w14:paraId="03400F0D">
      <w:pPr>
        <w:pStyle w:val="11"/>
        <w:spacing w:before="0" w:after="0" w:line="594" w:lineRule="exact"/>
        <w:jc w:val="left"/>
        <w:rPr>
          <w:rFonts w:hint="eastAsia" w:ascii="方正黑体_GBK" w:hAnsi="Times New Roman" w:eastAsia="方正黑体_GBK"/>
          <w:b w:val="0"/>
          <w:sz w:val="32"/>
        </w:rPr>
      </w:pPr>
    </w:p>
    <w:p w14:paraId="65E9961C">
      <w:pPr>
        <w:pStyle w:val="11"/>
        <w:spacing w:before="0" w:after="0" w:line="594" w:lineRule="exact"/>
        <w:jc w:val="left"/>
        <w:rPr>
          <w:rFonts w:hint="eastAsia" w:ascii="方正黑体_GBK" w:hAnsi="Times New Roman" w:eastAsia="方正黑体_GBK"/>
          <w:b w:val="0"/>
          <w:sz w:val="32"/>
        </w:rPr>
      </w:pPr>
    </w:p>
    <w:p w14:paraId="1126618C">
      <w:pPr>
        <w:pStyle w:val="11"/>
        <w:spacing w:before="0" w:after="0" w:line="594" w:lineRule="exact"/>
        <w:jc w:val="left"/>
        <w:rPr>
          <w:rFonts w:hint="eastAsia" w:ascii="方正黑体_GBK" w:hAnsi="Times New Roman" w:eastAsia="方正黑体_GBK"/>
          <w:b w:val="0"/>
          <w:sz w:val="32"/>
        </w:rPr>
      </w:pPr>
    </w:p>
    <w:p w14:paraId="49B2AA03">
      <w:pPr>
        <w:pStyle w:val="11"/>
        <w:spacing w:before="0" w:after="0" w:line="594" w:lineRule="exact"/>
        <w:jc w:val="left"/>
        <w:rPr>
          <w:rFonts w:ascii="方正黑体_GBK" w:hAnsi="Times New Roman" w:eastAsia="方正黑体_GBK"/>
          <w:b w:val="0"/>
          <w:sz w:val="32"/>
        </w:rPr>
      </w:pPr>
      <w:r>
        <w:rPr>
          <w:rFonts w:hint="eastAsia" w:ascii="方正黑体_GBK" w:hAnsi="Times New Roman" w:eastAsia="方正黑体_GBK"/>
          <w:b w:val="0"/>
          <w:sz w:val="32"/>
        </w:rPr>
        <w:t>附录三  荣昌区区声功能区单元基础信息表</w:t>
      </w:r>
      <w:bookmarkEnd w:id="0"/>
      <w:bookmarkEnd w:id="1"/>
    </w:p>
    <w:tbl>
      <w:tblPr>
        <w:tblStyle w:val="12"/>
        <w:tblW w:w="13495" w:type="dxa"/>
        <w:jc w:val="center"/>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Layout w:type="fixed"/>
        <w:tblCellMar>
          <w:top w:w="0" w:type="dxa"/>
          <w:left w:w="28" w:type="dxa"/>
          <w:bottom w:w="0" w:type="dxa"/>
          <w:right w:w="28" w:type="dxa"/>
        </w:tblCellMar>
      </w:tblPr>
      <w:tblGrid>
        <w:gridCol w:w="1162"/>
        <w:gridCol w:w="728"/>
        <w:gridCol w:w="714"/>
        <w:gridCol w:w="1302"/>
        <w:gridCol w:w="3352"/>
        <w:gridCol w:w="908"/>
        <w:gridCol w:w="1976"/>
        <w:gridCol w:w="3353"/>
      </w:tblGrid>
      <w:tr w14:paraId="594EB2EA">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tblHeader/>
          <w:jc w:val="center"/>
        </w:trPr>
        <w:tc>
          <w:tcPr>
            <w:tcW w:w="1162" w:type="dxa"/>
            <w:noWrap w:val="0"/>
            <w:vAlign w:val="center"/>
          </w:tcPr>
          <w:p w14:paraId="3AB0985D">
            <w:pPr>
              <w:snapToGrid w:val="0"/>
              <w:jc w:val="center"/>
              <w:rPr>
                <w:rFonts w:hint="eastAsia" w:ascii="方正黑体_GBK" w:hAnsi="方正仿宋_GBK" w:eastAsia="方正黑体_GBK" w:cs="方正仿宋_GBK"/>
                <w:sz w:val="21"/>
                <w:szCs w:val="21"/>
              </w:rPr>
            </w:pPr>
            <w:r>
              <w:rPr>
                <w:rFonts w:hint="eastAsia" w:ascii="方正黑体_GBK" w:hAnsi="方正仿宋_GBK" w:eastAsia="方正黑体_GBK" w:cs="方正仿宋_GBK"/>
                <w:sz w:val="21"/>
                <w:szCs w:val="21"/>
              </w:rPr>
              <w:t>QHDYBM</w:t>
            </w:r>
          </w:p>
        </w:tc>
        <w:tc>
          <w:tcPr>
            <w:tcW w:w="728" w:type="dxa"/>
            <w:noWrap w:val="0"/>
            <w:vAlign w:val="center"/>
          </w:tcPr>
          <w:p w14:paraId="02F41160">
            <w:pPr>
              <w:snapToGrid w:val="0"/>
              <w:jc w:val="center"/>
              <w:rPr>
                <w:rFonts w:hint="eastAsia" w:ascii="方正黑体_GBK" w:hAnsi="方正仿宋_GBK" w:eastAsia="方正黑体_GBK" w:cs="方正仿宋_GBK"/>
                <w:sz w:val="21"/>
                <w:szCs w:val="21"/>
              </w:rPr>
            </w:pPr>
            <w:r>
              <w:rPr>
                <w:rFonts w:hint="eastAsia" w:ascii="方正黑体_GBK" w:hAnsi="方正仿宋_GBK" w:eastAsia="方正黑体_GBK" w:cs="方正仿宋_GBK"/>
                <w:sz w:val="21"/>
                <w:szCs w:val="21"/>
              </w:rPr>
              <w:t>SJ</w:t>
            </w:r>
          </w:p>
        </w:tc>
        <w:tc>
          <w:tcPr>
            <w:tcW w:w="714" w:type="dxa"/>
            <w:noWrap w:val="0"/>
            <w:vAlign w:val="center"/>
          </w:tcPr>
          <w:p w14:paraId="139883F8">
            <w:pPr>
              <w:snapToGrid w:val="0"/>
              <w:jc w:val="center"/>
              <w:rPr>
                <w:rFonts w:hint="eastAsia" w:ascii="方正黑体_GBK" w:hAnsi="方正仿宋_GBK" w:eastAsia="方正黑体_GBK" w:cs="方正仿宋_GBK"/>
                <w:sz w:val="21"/>
                <w:szCs w:val="21"/>
              </w:rPr>
            </w:pPr>
            <w:r>
              <w:rPr>
                <w:rFonts w:hint="eastAsia" w:ascii="方正黑体_GBK" w:hAnsi="方正仿宋_GBK" w:eastAsia="方正黑体_GBK" w:cs="方正仿宋_GBK"/>
                <w:sz w:val="21"/>
                <w:szCs w:val="21"/>
              </w:rPr>
              <w:t>QXJ</w:t>
            </w:r>
          </w:p>
        </w:tc>
        <w:tc>
          <w:tcPr>
            <w:tcW w:w="1302" w:type="dxa"/>
            <w:noWrap w:val="0"/>
            <w:vAlign w:val="center"/>
          </w:tcPr>
          <w:p w14:paraId="2087FF84">
            <w:pPr>
              <w:snapToGrid w:val="0"/>
              <w:jc w:val="center"/>
              <w:rPr>
                <w:rFonts w:hint="eastAsia" w:ascii="方正黑体_GBK" w:hAnsi="方正仿宋_GBK" w:eastAsia="方正黑体_GBK" w:cs="方正仿宋_GBK"/>
                <w:sz w:val="21"/>
                <w:szCs w:val="21"/>
              </w:rPr>
            </w:pPr>
            <w:r>
              <w:rPr>
                <w:rFonts w:hint="eastAsia" w:ascii="方正黑体_GBK" w:hAnsi="方正仿宋_GBK" w:eastAsia="方正黑体_GBK" w:cs="方正仿宋_GBK"/>
                <w:sz w:val="21"/>
                <w:szCs w:val="21"/>
              </w:rPr>
              <w:t>AREA_KM2_</w:t>
            </w:r>
          </w:p>
        </w:tc>
        <w:tc>
          <w:tcPr>
            <w:tcW w:w="3352" w:type="dxa"/>
            <w:noWrap w:val="0"/>
            <w:vAlign w:val="center"/>
          </w:tcPr>
          <w:p w14:paraId="3FC1DDBB">
            <w:pPr>
              <w:snapToGrid w:val="0"/>
              <w:jc w:val="center"/>
              <w:rPr>
                <w:rFonts w:hint="eastAsia" w:ascii="方正黑体_GBK" w:hAnsi="方正仿宋_GBK" w:eastAsia="方正黑体_GBK" w:cs="方正仿宋_GBK"/>
                <w:sz w:val="21"/>
                <w:szCs w:val="21"/>
              </w:rPr>
            </w:pPr>
            <w:r>
              <w:rPr>
                <w:rFonts w:hint="eastAsia" w:ascii="方正黑体_GBK" w:hAnsi="方正仿宋_GBK" w:eastAsia="方正黑体_GBK" w:cs="方正仿宋_GBK"/>
                <w:sz w:val="21"/>
                <w:szCs w:val="21"/>
              </w:rPr>
              <w:t>ZDYDLX</w:t>
            </w:r>
          </w:p>
        </w:tc>
        <w:tc>
          <w:tcPr>
            <w:tcW w:w="908" w:type="dxa"/>
            <w:noWrap w:val="0"/>
            <w:vAlign w:val="center"/>
          </w:tcPr>
          <w:p w14:paraId="39CCF082">
            <w:pPr>
              <w:snapToGrid w:val="0"/>
              <w:jc w:val="center"/>
              <w:rPr>
                <w:rFonts w:hint="eastAsia" w:ascii="方正黑体_GBK" w:hAnsi="方正仿宋_GBK" w:eastAsia="方正黑体_GBK" w:cs="方正仿宋_GBK"/>
                <w:sz w:val="21"/>
                <w:szCs w:val="21"/>
              </w:rPr>
            </w:pPr>
            <w:r>
              <w:rPr>
                <w:rFonts w:hint="eastAsia" w:ascii="方正黑体_GBK" w:hAnsi="方正仿宋_GBK" w:eastAsia="方正黑体_GBK" w:cs="方正仿宋_GBK"/>
                <w:sz w:val="21"/>
                <w:szCs w:val="21"/>
              </w:rPr>
              <w:t>SGNQLX</w:t>
            </w:r>
          </w:p>
        </w:tc>
        <w:tc>
          <w:tcPr>
            <w:tcW w:w="1976" w:type="dxa"/>
            <w:noWrap w:val="0"/>
            <w:vAlign w:val="center"/>
          </w:tcPr>
          <w:p w14:paraId="5710D9EE">
            <w:pPr>
              <w:snapToGrid w:val="0"/>
              <w:jc w:val="center"/>
              <w:rPr>
                <w:rFonts w:hint="eastAsia" w:ascii="方正黑体_GBK" w:hAnsi="方正仿宋_GBK" w:eastAsia="方正黑体_GBK" w:cs="方正仿宋_GBK"/>
                <w:sz w:val="21"/>
                <w:szCs w:val="21"/>
              </w:rPr>
            </w:pPr>
            <w:r>
              <w:rPr>
                <w:rFonts w:hint="eastAsia" w:ascii="方正黑体_GBK" w:hAnsi="方正仿宋_GBK" w:eastAsia="方正黑体_GBK" w:cs="方正仿宋_GBK"/>
                <w:sz w:val="21"/>
                <w:szCs w:val="21"/>
              </w:rPr>
              <w:t>DLWZ</w:t>
            </w:r>
          </w:p>
        </w:tc>
        <w:tc>
          <w:tcPr>
            <w:tcW w:w="3353" w:type="dxa"/>
            <w:noWrap w:val="0"/>
            <w:vAlign w:val="center"/>
          </w:tcPr>
          <w:p w14:paraId="5F8FB4F2">
            <w:pPr>
              <w:snapToGrid w:val="0"/>
              <w:jc w:val="center"/>
              <w:rPr>
                <w:rFonts w:hint="eastAsia" w:ascii="方正黑体_GBK" w:hAnsi="方正仿宋_GBK" w:eastAsia="方正黑体_GBK" w:cs="方正仿宋_GBK"/>
                <w:sz w:val="21"/>
                <w:szCs w:val="21"/>
              </w:rPr>
            </w:pPr>
            <w:r>
              <w:rPr>
                <w:rFonts w:hint="eastAsia" w:ascii="方正黑体_GBK" w:hAnsi="方正仿宋_GBK" w:eastAsia="方正黑体_GBK" w:cs="方正仿宋_GBK"/>
                <w:sz w:val="21"/>
                <w:szCs w:val="21"/>
              </w:rPr>
              <w:t>BZ</w:t>
            </w:r>
          </w:p>
        </w:tc>
      </w:tr>
      <w:tr w14:paraId="35812DE6">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62EA0A22">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5001531L01</w:t>
            </w:r>
          </w:p>
        </w:tc>
        <w:tc>
          <w:tcPr>
            <w:tcW w:w="728" w:type="dxa"/>
            <w:noWrap w:val="0"/>
            <w:vAlign w:val="center"/>
          </w:tcPr>
          <w:p w14:paraId="19ED1F1C">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1C47B206">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5C2682AE">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1.67</w:t>
            </w:r>
          </w:p>
        </w:tc>
        <w:tc>
          <w:tcPr>
            <w:tcW w:w="3352" w:type="dxa"/>
            <w:noWrap w:val="0"/>
            <w:vAlign w:val="center"/>
          </w:tcPr>
          <w:p w14:paraId="7699D768">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一类居住用地、公园绿地</w:t>
            </w:r>
          </w:p>
        </w:tc>
        <w:tc>
          <w:tcPr>
            <w:tcW w:w="908" w:type="dxa"/>
            <w:noWrap w:val="0"/>
            <w:vAlign w:val="center"/>
          </w:tcPr>
          <w:p w14:paraId="3D050B98">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1L</w:t>
            </w:r>
          </w:p>
        </w:tc>
        <w:tc>
          <w:tcPr>
            <w:tcW w:w="1976" w:type="dxa"/>
            <w:noWrap w:val="0"/>
            <w:vAlign w:val="center"/>
          </w:tcPr>
          <w:p w14:paraId="024BD673">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广顺街道—昌元街道—昌州街道</w:t>
            </w:r>
          </w:p>
        </w:tc>
        <w:tc>
          <w:tcPr>
            <w:tcW w:w="3353" w:type="dxa"/>
            <w:noWrap w:val="0"/>
            <w:vAlign w:val="center"/>
          </w:tcPr>
          <w:p w14:paraId="3F5F8676">
            <w:pPr>
              <w:snapToGrid w:val="0"/>
              <w:rPr>
                <w:rFonts w:hint="eastAsia" w:ascii="方正仿宋_GBK" w:hAnsi="方正仿宋_GBK" w:eastAsia="方正仿宋_GBK" w:cs="方正仿宋_GBK"/>
                <w:sz w:val="21"/>
                <w:szCs w:val="21"/>
              </w:rPr>
            </w:pPr>
          </w:p>
        </w:tc>
      </w:tr>
      <w:tr w14:paraId="4E3BCB73">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765E6B9F">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5001531L02</w:t>
            </w:r>
          </w:p>
        </w:tc>
        <w:tc>
          <w:tcPr>
            <w:tcW w:w="728" w:type="dxa"/>
            <w:noWrap w:val="0"/>
            <w:vAlign w:val="center"/>
          </w:tcPr>
          <w:p w14:paraId="3984185B">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25DCDAC4">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41AA4F73">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2.63</w:t>
            </w:r>
          </w:p>
        </w:tc>
        <w:tc>
          <w:tcPr>
            <w:tcW w:w="3352" w:type="dxa"/>
            <w:noWrap w:val="0"/>
            <w:vAlign w:val="center"/>
          </w:tcPr>
          <w:p w14:paraId="3AF59E55">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一类居住用地、公园绿地</w:t>
            </w:r>
          </w:p>
        </w:tc>
        <w:tc>
          <w:tcPr>
            <w:tcW w:w="908" w:type="dxa"/>
            <w:noWrap w:val="0"/>
            <w:vAlign w:val="center"/>
          </w:tcPr>
          <w:p w14:paraId="28B4D583">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1L</w:t>
            </w:r>
          </w:p>
        </w:tc>
        <w:tc>
          <w:tcPr>
            <w:tcW w:w="1976" w:type="dxa"/>
            <w:noWrap w:val="0"/>
            <w:vAlign w:val="center"/>
          </w:tcPr>
          <w:p w14:paraId="4286093F">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广顺街道—昌元街道—昌州街道</w:t>
            </w:r>
          </w:p>
        </w:tc>
        <w:tc>
          <w:tcPr>
            <w:tcW w:w="3353" w:type="dxa"/>
            <w:noWrap w:val="0"/>
            <w:vAlign w:val="center"/>
          </w:tcPr>
          <w:p w14:paraId="660D5FCA">
            <w:pPr>
              <w:snapToGrid w:val="0"/>
              <w:rPr>
                <w:rFonts w:hint="eastAsia" w:ascii="方正仿宋_GBK" w:hAnsi="方正仿宋_GBK" w:eastAsia="方正仿宋_GBK" w:cs="方正仿宋_GBK"/>
                <w:sz w:val="21"/>
                <w:szCs w:val="21"/>
              </w:rPr>
            </w:pPr>
          </w:p>
        </w:tc>
      </w:tr>
      <w:tr w14:paraId="673A0F7A">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0A4A9515">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5001531L03</w:t>
            </w:r>
          </w:p>
        </w:tc>
        <w:tc>
          <w:tcPr>
            <w:tcW w:w="728" w:type="dxa"/>
            <w:noWrap w:val="0"/>
            <w:vAlign w:val="center"/>
          </w:tcPr>
          <w:p w14:paraId="2563763A">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5D5BA15A">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19D76D40">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0.98</w:t>
            </w:r>
          </w:p>
        </w:tc>
        <w:tc>
          <w:tcPr>
            <w:tcW w:w="3352" w:type="dxa"/>
            <w:noWrap w:val="0"/>
            <w:vAlign w:val="center"/>
          </w:tcPr>
          <w:p w14:paraId="437810B8">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二类居住用地、教育科研用地</w:t>
            </w:r>
          </w:p>
        </w:tc>
        <w:tc>
          <w:tcPr>
            <w:tcW w:w="908" w:type="dxa"/>
            <w:noWrap w:val="0"/>
            <w:vAlign w:val="center"/>
          </w:tcPr>
          <w:p w14:paraId="4C7CBD3F">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1L</w:t>
            </w:r>
          </w:p>
        </w:tc>
        <w:tc>
          <w:tcPr>
            <w:tcW w:w="1976" w:type="dxa"/>
            <w:noWrap w:val="0"/>
            <w:vAlign w:val="center"/>
          </w:tcPr>
          <w:p w14:paraId="7BB17E40">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昌元街道—昌元街道—昌州街道</w:t>
            </w:r>
          </w:p>
        </w:tc>
        <w:tc>
          <w:tcPr>
            <w:tcW w:w="3353" w:type="dxa"/>
            <w:noWrap w:val="0"/>
            <w:vAlign w:val="center"/>
          </w:tcPr>
          <w:p w14:paraId="423C8D0B">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西南大学荣昌校区、荣昌中医院</w:t>
            </w:r>
          </w:p>
        </w:tc>
      </w:tr>
      <w:tr w14:paraId="0ACB9AA5">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6C744C66">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5001531L04</w:t>
            </w:r>
          </w:p>
        </w:tc>
        <w:tc>
          <w:tcPr>
            <w:tcW w:w="728" w:type="dxa"/>
            <w:noWrap w:val="0"/>
            <w:vAlign w:val="center"/>
          </w:tcPr>
          <w:p w14:paraId="565BF26C">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46ED07DA">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6FB5D2D9">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0.87</w:t>
            </w:r>
          </w:p>
        </w:tc>
        <w:tc>
          <w:tcPr>
            <w:tcW w:w="3352" w:type="dxa"/>
            <w:noWrap w:val="0"/>
            <w:vAlign w:val="center"/>
          </w:tcPr>
          <w:p w14:paraId="58A0E9E7">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二类居住用地、中小学用地、医疗卫生用地</w:t>
            </w:r>
          </w:p>
        </w:tc>
        <w:tc>
          <w:tcPr>
            <w:tcW w:w="908" w:type="dxa"/>
            <w:noWrap w:val="0"/>
            <w:vAlign w:val="center"/>
          </w:tcPr>
          <w:p w14:paraId="1A79FDC4">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1L</w:t>
            </w:r>
          </w:p>
        </w:tc>
        <w:tc>
          <w:tcPr>
            <w:tcW w:w="1976" w:type="dxa"/>
            <w:noWrap w:val="0"/>
            <w:vAlign w:val="center"/>
          </w:tcPr>
          <w:p w14:paraId="15339196">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昌元街道</w:t>
            </w:r>
          </w:p>
        </w:tc>
        <w:tc>
          <w:tcPr>
            <w:tcW w:w="3353" w:type="dxa"/>
            <w:noWrap w:val="0"/>
            <w:vAlign w:val="center"/>
          </w:tcPr>
          <w:p w14:paraId="3CE5D44B">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荣昌人民医院、妇幼保健院、荣昌中学、实验小学</w:t>
            </w:r>
          </w:p>
        </w:tc>
      </w:tr>
      <w:tr w14:paraId="6C49F4C5">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0998C712">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5001531L05</w:t>
            </w:r>
          </w:p>
        </w:tc>
        <w:tc>
          <w:tcPr>
            <w:tcW w:w="728" w:type="dxa"/>
            <w:noWrap w:val="0"/>
            <w:vAlign w:val="center"/>
          </w:tcPr>
          <w:p w14:paraId="75646363">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2A60DAFC">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79125115">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1.72</w:t>
            </w:r>
          </w:p>
        </w:tc>
        <w:tc>
          <w:tcPr>
            <w:tcW w:w="3352" w:type="dxa"/>
            <w:noWrap w:val="0"/>
            <w:vAlign w:val="center"/>
          </w:tcPr>
          <w:p w14:paraId="522C1E20">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二类居住用地、公园绿地</w:t>
            </w:r>
          </w:p>
        </w:tc>
        <w:tc>
          <w:tcPr>
            <w:tcW w:w="908" w:type="dxa"/>
            <w:noWrap w:val="0"/>
            <w:vAlign w:val="center"/>
          </w:tcPr>
          <w:p w14:paraId="5625534E">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1L</w:t>
            </w:r>
          </w:p>
        </w:tc>
        <w:tc>
          <w:tcPr>
            <w:tcW w:w="1976" w:type="dxa"/>
            <w:noWrap w:val="0"/>
            <w:vAlign w:val="center"/>
          </w:tcPr>
          <w:p w14:paraId="65E17BF8">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昌元街道—昌州街道</w:t>
            </w:r>
          </w:p>
        </w:tc>
        <w:tc>
          <w:tcPr>
            <w:tcW w:w="3353" w:type="dxa"/>
            <w:noWrap w:val="0"/>
            <w:vAlign w:val="center"/>
          </w:tcPr>
          <w:p w14:paraId="1CA13F7E">
            <w:pPr>
              <w:snapToGrid w:val="0"/>
              <w:rPr>
                <w:rFonts w:hint="eastAsia" w:ascii="方正仿宋_GBK" w:hAnsi="方正仿宋_GBK" w:eastAsia="方正仿宋_GBK" w:cs="方正仿宋_GBK"/>
                <w:sz w:val="21"/>
                <w:szCs w:val="21"/>
              </w:rPr>
            </w:pPr>
          </w:p>
        </w:tc>
      </w:tr>
      <w:tr w14:paraId="15DDEF72">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60A49E56">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5001531L06</w:t>
            </w:r>
          </w:p>
        </w:tc>
        <w:tc>
          <w:tcPr>
            <w:tcW w:w="728" w:type="dxa"/>
            <w:noWrap w:val="0"/>
            <w:vAlign w:val="center"/>
          </w:tcPr>
          <w:p w14:paraId="65871DE3">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5E0589A8">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06F738B8">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0.87</w:t>
            </w:r>
          </w:p>
        </w:tc>
        <w:tc>
          <w:tcPr>
            <w:tcW w:w="3352" w:type="dxa"/>
            <w:noWrap w:val="0"/>
            <w:vAlign w:val="center"/>
          </w:tcPr>
          <w:p w14:paraId="51E9BB6E">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二类居住用地、中小学用地</w:t>
            </w:r>
          </w:p>
        </w:tc>
        <w:tc>
          <w:tcPr>
            <w:tcW w:w="908" w:type="dxa"/>
            <w:noWrap w:val="0"/>
            <w:vAlign w:val="center"/>
          </w:tcPr>
          <w:p w14:paraId="74F0C959">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1L</w:t>
            </w:r>
          </w:p>
        </w:tc>
        <w:tc>
          <w:tcPr>
            <w:tcW w:w="1976" w:type="dxa"/>
            <w:noWrap w:val="0"/>
            <w:vAlign w:val="center"/>
          </w:tcPr>
          <w:p w14:paraId="7EAB736D">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昌元街道—昌州街道</w:t>
            </w:r>
          </w:p>
        </w:tc>
        <w:tc>
          <w:tcPr>
            <w:tcW w:w="3353" w:type="dxa"/>
            <w:noWrap w:val="0"/>
            <w:vAlign w:val="center"/>
          </w:tcPr>
          <w:p w14:paraId="6BD8B6A4">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规划</w:t>
            </w:r>
          </w:p>
        </w:tc>
      </w:tr>
      <w:tr w14:paraId="03660AE2">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2BE02B53">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5001531L07</w:t>
            </w:r>
          </w:p>
        </w:tc>
        <w:tc>
          <w:tcPr>
            <w:tcW w:w="728" w:type="dxa"/>
            <w:noWrap w:val="0"/>
            <w:vAlign w:val="center"/>
          </w:tcPr>
          <w:p w14:paraId="61A92516">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29932B84">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3E3E1D80">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0.71</w:t>
            </w:r>
          </w:p>
        </w:tc>
        <w:tc>
          <w:tcPr>
            <w:tcW w:w="3352" w:type="dxa"/>
            <w:noWrap w:val="0"/>
            <w:vAlign w:val="center"/>
          </w:tcPr>
          <w:p w14:paraId="1CD9FB7B">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二类居住用地、行政办公用地</w:t>
            </w:r>
          </w:p>
        </w:tc>
        <w:tc>
          <w:tcPr>
            <w:tcW w:w="908" w:type="dxa"/>
            <w:noWrap w:val="0"/>
            <w:vAlign w:val="center"/>
          </w:tcPr>
          <w:p w14:paraId="33D26C97">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1L</w:t>
            </w:r>
          </w:p>
        </w:tc>
        <w:tc>
          <w:tcPr>
            <w:tcW w:w="1976" w:type="dxa"/>
            <w:noWrap w:val="0"/>
            <w:vAlign w:val="center"/>
          </w:tcPr>
          <w:p w14:paraId="095830EB">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昌州街道</w:t>
            </w:r>
          </w:p>
        </w:tc>
        <w:tc>
          <w:tcPr>
            <w:tcW w:w="3353" w:type="dxa"/>
            <w:noWrap w:val="0"/>
            <w:vAlign w:val="center"/>
          </w:tcPr>
          <w:p w14:paraId="1A6D324A">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规划</w:t>
            </w:r>
          </w:p>
        </w:tc>
      </w:tr>
      <w:tr w14:paraId="271853FE">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286A0033">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5001531L08</w:t>
            </w:r>
          </w:p>
        </w:tc>
        <w:tc>
          <w:tcPr>
            <w:tcW w:w="728" w:type="dxa"/>
            <w:noWrap w:val="0"/>
            <w:vAlign w:val="center"/>
          </w:tcPr>
          <w:p w14:paraId="2322AD46">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14D5828A">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78D49935">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1.18</w:t>
            </w:r>
          </w:p>
        </w:tc>
        <w:tc>
          <w:tcPr>
            <w:tcW w:w="3352" w:type="dxa"/>
            <w:noWrap w:val="0"/>
            <w:vAlign w:val="center"/>
          </w:tcPr>
          <w:p w14:paraId="59308037">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w:t>
            </w:r>
          </w:p>
        </w:tc>
        <w:tc>
          <w:tcPr>
            <w:tcW w:w="908" w:type="dxa"/>
            <w:noWrap w:val="0"/>
            <w:vAlign w:val="center"/>
          </w:tcPr>
          <w:p w14:paraId="08B3A0F2">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1L</w:t>
            </w:r>
          </w:p>
        </w:tc>
        <w:tc>
          <w:tcPr>
            <w:tcW w:w="1976" w:type="dxa"/>
            <w:noWrap w:val="0"/>
            <w:vAlign w:val="center"/>
          </w:tcPr>
          <w:p w14:paraId="513E6AF4">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昌州街道</w:t>
            </w:r>
          </w:p>
        </w:tc>
        <w:tc>
          <w:tcPr>
            <w:tcW w:w="3353" w:type="dxa"/>
            <w:noWrap w:val="0"/>
            <w:vAlign w:val="center"/>
          </w:tcPr>
          <w:p w14:paraId="433FD29F">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规划</w:t>
            </w:r>
          </w:p>
        </w:tc>
      </w:tr>
      <w:tr w14:paraId="2DADDA79">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528273F5">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5001531L09</w:t>
            </w:r>
          </w:p>
        </w:tc>
        <w:tc>
          <w:tcPr>
            <w:tcW w:w="728" w:type="dxa"/>
            <w:noWrap w:val="0"/>
            <w:vAlign w:val="center"/>
          </w:tcPr>
          <w:p w14:paraId="4101AD90">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51B237B2">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4ABBDE15">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0.77</w:t>
            </w:r>
          </w:p>
        </w:tc>
        <w:tc>
          <w:tcPr>
            <w:tcW w:w="3352" w:type="dxa"/>
            <w:noWrap w:val="0"/>
            <w:vAlign w:val="center"/>
          </w:tcPr>
          <w:p w14:paraId="4E424597">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二类居住用地、生态绿地</w:t>
            </w:r>
          </w:p>
        </w:tc>
        <w:tc>
          <w:tcPr>
            <w:tcW w:w="908" w:type="dxa"/>
            <w:noWrap w:val="0"/>
            <w:vAlign w:val="center"/>
          </w:tcPr>
          <w:p w14:paraId="76949067">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1L</w:t>
            </w:r>
          </w:p>
        </w:tc>
        <w:tc>
          <w:tcPr>
            <w:tcW w:w="1976" w:type="dxa"/>
            <w:noWrap w:val="0"/>
            <w:vAlign w:val="center"/>
          </w:tcPr>
          <w:p w14:paraId="023CB97D">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昌州街道—峰高街道</w:t>
            </w:r>
          </w:p>
        </w:tc>
        <w:tc>
          <w:tcPr>
            <w:tcW w:w="3353" w:type="dxa"/>
            <w:noWrap w:val="0"/>
            <w:vAlign w:val="center"/>
          </w:tcPr>
          <w:p w14:paraId="4D969AF0">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渝西植物园</w:t>
            </w:r>
          </w:p>
        </w:tc>
      </w:tr>
      <w:tr w14:paraId="2F99B15B">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29DE5534">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5001531L10</w:t>
            </w:r>
          </w:p>
        </w:tc>
        <w:tc>
          <w:tcPr>
            <w:tcW w:w="728" w:type="dxa"/>
            <w:noWrap w:val="0"/>
            <w:vAlign w:val="center"/>
          </w:tcPr>
          <w:p w14:paraId="60FF0295">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1F64A1E2">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64413930">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0.96</w:t>
            </w:r>
          </w:p>
        </w:tc>
        <w:tc>
          <w:tcPr>
            <w:tcW w:w="3352" w:type="dxa"/>
            <w:noWrap w:val="0"/>
            <w:vAlign w:val="center"/>
          </w:tcPr>
          <w:p w14:paraId="20DB18F1">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二类居住用地、中小学用地</w:t>
            </w:r>
          </w:p>
        </w:tc>
        <w:tc>
          <w:tcPr>
            <w:tcW w:w="908" w:type="dxa"/>
            <w:noWrap w:val="0"/>
            <w:vAlign w:val="center"/>
          </w:tcPr>
          <w:p w14:paraId="742AADDB">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1L</w:t>
            </w:r>
          </w:p>
        </w:tc>
        <w:tc>
          <w:tcPr>
            <w:tcW w:w="1976" w:type="dxa"/>
            <w:noWrap w:val="0"/>
            <w:vAlign w:val="center"/>
          </w:tcPr>
          <w:p w14:paraId="053AFF89">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昌州街道—峰高街道</w:t>
            </w:r>
          </w:p>
        </w:tc>
        <w:tc>
          <w:tcPr>
            <w:tcW w:w="3353" w:type="dxa"/>
            <w:noWrap w:val="0"/>
            <w:vAlign w:val="center"/>
          </w:tcPr>
          <w:p w14:paraId="69B43742">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规划</w:t>
            </w:r>
          </w:p>
        </w:tc>
      </w:tr>
      <w:tr w14:paraId="6E584D2D">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22AF0931">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5001532L01</w:t>
            </w:r>
          </w:p>
        </w:tc>
        <w:tc>
          <w:tcPr>
            <w:tcW w:w="728" w:type="dxa"/>
            <w:noWrap w:val="0"/>
            <w:vAlign w:val="center"/>
          </w:tcPr>
          <w:p w14:paraId="5F0775D8">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1ECBA027">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756EAB30">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4.49</w:t>
            </w:r>
          </w:p>
        </w:tc>
        <w:tc>
          <w:tcPr>
            <w:tcW w:w="3352" w:type="dxa"/>
            <w:noWrap w:val="0"/>
            <w:vAlign w:val="center"/>
          </w:tcPr>
          <w:p w14:paraId="7D28C4BF">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居住用地、商业用地</w:t>
            </w:r>
          </w:p>
        </w:tc>
        <w:tc>
          <w:tcPr>
            <w:tcW w:w="908" w:type="dxa"/>
            <w:noWrap w:val="0"/>
            <w:vAlign w:val="center"/>
          </w:tcPr>
          <w:p w14:paraId="699DB377">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14:paraId="4E0F2C15">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安富街道</w:t>
            </w:r>
          </w:p>
        </w:tc>
        <w:tc>
          <w:tcPr>
            <w:tcW w:w="3353" w:type="dxa"/>
            <w:noWrap w:val="0"/>
            <w:vAlign w:val="center"/>
          </w:tcPr>
          <w:p w14:paraId="5CF07655">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安富街道集镇</w:t>
            </w:r>
          </w:p>
        </w:tc>
      </w:tr>
      <w:tr w14:paraId="36A6D14F">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495CE213">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5001532L02</w:t>
            </w:r>
          </w:p>
        </w:tc>
        <w:tc>
          <w:tcPr>
            <w:tcW w:w="728" w:type="dxa"/>
            <w:noWrap w:val="0"/>
            <w:vAlign w:val="center"/>
          </w:tcPr>
          <w:p w14:paraId="2FABA58D">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176CD775">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0035341D">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0.93</w:t>
            </w:r>
          </w:p>
        </w:tc>
        <w:tc>
          <w:tcPr>
            <w:tcW w:w="3352" w:type="dxa"/>
            <w:noWrap w:val="0"/>
            <w:vAlign w:val="center"/>
          </w:tcPr>
          <w:p w14:paraId="2CBC7B00">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居住用地、商业用地、中小学用地</w:t>
            </w:r>
          </w:p>
        </w:tc>
        <w:tc>
          <w:tcPr>
            <w:tcW w:w="908" w:type="dxa"/>
            <w:noWrap w:val="0"/>
            <w:vAlign w:val="center"/>
          </w:tcPr>
          <w:p w14:paraId="06B214D4">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14:paraId="26038AD9">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安富街道—广顺街道</w:t>
            </w:r>
          </w:p>
        </w:tc>
        <w:tc>
          <w:tcPr>
            <w:tcW w:w="3353" w:type="dxa"/>
            <w:noWrap w:val="0"/>
            <w:vAlign w:val="center"/>
          </w:tcPr>
          <w:p w14:paraId="48F64185">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广顺小学、永荣中学</w:t>
            </w:r>
          </w:p>
        </w:tc>
      </w:tr>
      <w:tr w14:paraId="066C4437">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0269A674">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5001532L03</w:t>
            </w:r>
          </w:p>
        </w:tc>
        <w:tc>
          <w:tcPr>
            <w:tcW w:w="728" w:type="dxa"/>
            <w:noWrap w:val="0"/>
            <w:vAlign w:val="center"/>
          </w:tcPr>
          <w:p w14:paraId="25130C51">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5E60F7E2">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5D316131">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1.67</w:t>
            </w:r>
          </w:p>
        </w:tc>
        <w:tc>
          <w:tcPr>
            <w:tcW w:w="3352" w:type="dxa"/>
            <w:noWrap w:val="0"/>
            <w:vAlign w:val="center"/>
          </w:tcPr>
          <w:p w14:paraId="0F617EAD">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居住用地、商业用地、工业用地</w:t>
            </w:r>
          </w:p>
        </w:tc>
        <w:tc>
          <w:tcPr>
            <w:tcW w:w="908" w:type="dxa"/>
            <w:noWrap w:val="0"/>
            <w:vAlign w:val="center"/>
          </w:tcPr>
          <w:p w14:paraId="49064E75">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14:paraId="2BC8359A">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昌元街道—昌州街道</w:t>
            </w:r>
          </w:p>
        </w:tc>
        <w:tc>
          <w:tcPr>
            <w:tcW w:w="3353" w:type="dxa"/>
            <w:noWrap w:val="0"/>
            <w:vAlign w:val="center"/>
          </w:tcPr>
          <w:p w14:paraId="0641F8A5">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大成中学、康宇广场、大润发超市</w:t>
            </w:r>
          </w:p>
        </w:tc>
      </w:tr>
      <w:tr w14:paraId="312108F5">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6F0CC1C3">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5001532L04</w:t>
            </w:r>
          </w:p>
        </w:tc>
        <w:tc>
          <w:tcPr>
            <w:tcW w:w="728" w:type="dxa"/>
            <w:noWrap w:val="0"/>
            <w:vAlign w:val="center"/>
          </w:tcPr>
          <w:p w14:paraId="1AE1003A">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4426A3E2">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015850E1">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0.89</w:t>
            </w:r>
          </w:p>
        </w:tc>
        <w:tc>
          <w:tcPr>
            <w:tcW w:w="3352" w:type="dxa"/>
            <w:noWrap w:val="0"/>
            <w:vAlign w:val="center"/>
          </w:tcPr>
          <w:p w14:paraId="6909ADD4">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居住用地、商业用地、工业用地</w:t>
            </w:r>
          </w:p>
        </w:tc>
        <w:tc>
          <w:tcPr>
            <w:tcW w:w="908" w:type="dxa"/>
            <w:noWrap w:val="0"/>
            <w:vAlign w:val="center"/>
          </w:tcPr>
          <w:p w14:paraId="52184A6F">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14:paraId="25CB6F7A">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昌州街道</w:t>
            </w:r>
          </w:p>
        </w:tc>
        <w:tc>
          <w:tcPr>
            <w:tcW w:w="3353" w:type="dxa"/>
            <w:noWrap w:val="0"/>
            <w:vAlign w:val="center"/>
          </w:tcPr>
          <w:p w14:paraId="378DC2C6">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仁和安置区、五洲国际</w:t>
            </w:r>
          </w:p>
        </w:tc>
      </w:tr>
      <w:tr w14:paraId="7C6F0CAE">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1C89AAA1">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5001532L05</w:t>
            </w:r>
          </w:p>
        </w:tc>
        <w:tc>
          <w:tcPr>
            <w:tcW w:w="728" w:type="dxa"/>
            <w:noWrap w:val="0"/>
            <w:vAlign w:val="center"/>
          </w:tcPr>
          <w:p w14:paraId="1F0EB29C">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24EA6350">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531B8845">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1.50</w:t>
            </w:r>
          </w:p>
        </w:tc>
        <w:tc>
          <w:tcPr>
            <w:tcW w:w="3352" w:type="dxa"/>
            <w:noWrap w:val="0"/>
            <w:vAlign w:val="center"/>
          </w:tcPr>
          <w:p w14:paraId="185BE71C">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二类居住用地、商业用地、中小学用地</w:t>
            </w:r>
          </w:p>
        </w:tc>
        <w:tc>
          <w:tcPr>
            <w:tcW w:w="908" w:type="dxa"/>
            <w:noWrap w:val="0"/>
            <w:vAlign w:val="center"/>
          </w:tcPr>
          <w:p w14:paraId="5B2F97E4">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14:paraId="549902B2">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昌元街道—昌州街道</w:t>
            </w:r>
          </w:p>
        </w:tc>
        <w:tc>
          <w:tcPr>
            <w:tcW w:w="3353" w:type="dxa"/>
            <w:noWrap w:val="0"/>
            <w:vAlign w:val="center"/>
          </w:tcPr>
          <w:p w14:paraId="6B5DAD5C">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玉伍初级中学</w:t>
            </w:r>
          </w:p>
        </w:tc>
      </w:tr>
      <w:tr w14:paraId="74A0922B">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279A7D85">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5001532L06</w:t>
            </w:r>
          </w:p>
        </w:tc>
        <w:tc>
          <w:tcPr>
            <w:tcW w:w="728" w:type="dxa"/>
            <w:noWrap w:val="0"/>
            <w:vAlign w:val="center"/>
          </w:tcPr>
          <w:p w14:paraId="4615F691">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19899068">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055D4222">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1.71</w:t>
            </w:r>
          </w:p>
        </w:tc>
        <w:tc>
          <w:tcPr>
            <w:tcW w:w="3352" w:type="dxa"/>
            <w:noWrap w:val="0"/>
            <w:vAlign w:val="center"/>
          </w:tcPr>
          <w:p w14:paraId="33906F50">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居住用地、商业用地</w:t>
            </w:r>
          </w:p>
        </w:tc>
        <w:tc>
          <w:tcPr>
            <w:tcW w:w="908" w:type="dxa"/>
            <w:noWrap w:val="0"/>
            <w:vAlign w:val="center"/>
          </w:tcPr>
          <w:p w14:paraId="59A284BA">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14:paraId="70B56CCF">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昌州街道</w:t>
            </w:r>
          </w:p>
        </w:tc>
        <w:tc>
          <w:tcPr>
            <w:tcW w:w="3353" w:type="dxa"/>
            <w:noWrap w:val="0"/>
            <w:vAlign w:val="center"/>
          </w:tcPr>
          <w:p w14:paraId="5AA02266">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规划</w:t>
            </w:r>
          </w:p>
        </w:tc>
      </w:tr>
      <w:tr w14:paraId="74132965">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14036E92">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5001532L07</w:t>
            </w:r>
          </w:p>
        </w:tc>
        <w:tc>
          <w:tcPr>
            <w:tcW w:w="728" w:type="dxa"/>
            <w:noWrap w:val="0"/>
            <w:vAlign w:val="center"/>
          </w:tcPr>
          <w:p w14:paraId="50437BFD">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04185661">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026336FA">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0.93</w:t>
            </w:r>
          </w:p>
        </w:tc>
        <w:tc>
          <w:tcPr>
            <w:tcW w:w="3352" w:type="dxa"/>
            <w:noWrap w:val="0"/>
            <w:vAlign w:val="center"/>
          </w:tcPr>
          <w:p w14:paraId="4FCCEF1F">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居住用地、商业用地、物流用地</w:t>
            </w:r>
          </w:p>
        </w:tc>
        <w:tc>
          <w:tcPr>
            <w:tcW w:w="908" w:type="dxa"/>
            <w:noWrap w:val="0"/>
            <w:vAlign w:val="center"/>
          </w:tcPr>
          <w:p w14:paraId="47C03C24">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14:paraId="6CA95EAD">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峰高街道—昌州街道</w:t>
            </w:r>
          </w:p>
        </w:tc>
        <w:tc>
          <w:tcPr>
            <w:tcW w:w="3353" w:type="dxa"/>
            <w:noWrap w:val="0"/>
            <w:vAlign w:val="center"/>
          </w:tcPr>
          <w:p w14:paraId="1A200A4F">
            <w:pPr>
              <w:snapToGrid w:val="0"/>
              <w:rPr>
                <w:rFonts w:hint="eastAsia" w:ascii="方正仿宋_GBK" w:hAnsi="方正仿宋_GBK" w:eastAsia="方正仿宋_GBK" w:cs="方正仿宋_GBK"/>
                <w:sz w:val="21"/>
                <w:szCs w:val="21"/>
              </w:rPr>
            </w:pPr>
          </w:p>
        </w:tc>
      </w:tr>
      <w:tr w14:paraId="2415D454">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10266D97">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5001532L08</w:t>
            </w:r>
          </w:p>
        </w:tc>
        <w:tc>
          <w:tcPr>
            <w:tcW w:w="728" w:type="dxa"/>
            <w:noWrap w:val="0"/>
            <w:vAlign w:val="center"/>
          </w:tcPr>
          <w:p w14:paraId="0AB69739">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53AE32FB">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00BCC5C4">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0.23</w:t>
            </w:r>
          </w:p>
        </w:tc>
        <w:tc>
          <w:tcPr>
            <w:tcW w:w="3352" w:type="dxa"/>
            <w:noWrap w:val="0"/>
            <w:vAlign w:val="center"/>
          </w:tcPr>
          <w:p w14:paraId="17E7E480">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二类居住用地、商业金融用地</w:t>
            </w:r>
          </w:p>
        </w:tc>
        <w:tc>
          <w:tcPr>
            <w:tcW w:w="908" w:type="dxa"/>
            <w:noWrap w:val="0"/>
            <w:vAlign w:val="center"/>
          </w:tcPr>
          <w:p w14:paraId="7C019F0A">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14:paraId="7F6EB080">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古昌镇</w:t>
            </w:r>
          </w:p>
        </w:tc>
        <w:tc>
          <w:tcPr>
            <w:tcW w:w="3353" w:type="dxa"/>
            <w:noWrap w:val="0"/>
            <w:vAlign w:val="center"/>
          </w:tcPr>
          <w:p w14:paraId="6ADED245">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古昌镇集市</w:t>
            </w:r>
          </w:p>
        </w:tc>
      </w:tr>
      <w:tr w14:paraId="3B225150">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1983CE8D">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5001532L09</w:t>
            </w:r>
          </w:p>
        </w:tc>
        <w:tc>
          <w:tcPr>
            <w:tcW w:w="728" w:type="dxa"/>
            <w:noWrap w:val="0"/>
            <w:vAlign w:val="center"/>
          </w:tcPr>
          <w:p w14:paraId="539154C1">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59937624">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75B8579B">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0.34</w:t>
            </w:r>
          </w:p>
        </w:tc>
        <w:tc>
          <w:tcPr>
            <w:tcW w:w="3352" w:type="dxa"/>
            <w:noWrap w:val="0"/>
            <w:vAlign w:val="center"/>
          </w:tcPr>
          <w:p w14:paraId="3110B8BD">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二类居住用地、商业金融用地</w:t>
            </w:r>
          </w:p>
        </w:tc>
        <w:tc>
          <w:tcPr>
            <w:tcW w:w="908" w:type="dxa"/>
            <w:noWrap w:val="0"/>
            <w:vAlign w:val="center"/>
          </w:tcPr>
          <w:p w14:paraId="4E4962C9">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14:paraId="1303F550">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荣隆镇</w:t>
            </w:r>
          </w:p>
        </w:tc>
        <w:tc>
          <w:tcPr>
            <w:tcW w:w="3353" w:type="dxa"/>
            <w:noWrap w:val="0"/>
            <w:vAlign w:val="center"/>
          </w:tcPr>
          <w:p w14:paraId="64816BA3">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荣隆镇集市</w:t>
            </w:r>
          </w:p>
        </w:tc>
      </w:tr>
      <w:tr w14:paraId="6D4E52DA">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1018FDC4">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5001532L10</w:t>
            </w:r>
          </w:p>
        </w:tc>
        <w:tc>
          <w:tcPr>
            <w:tcW w:w="728" w:type="dxa"/>
            <w:noWrap w:val="0"/>
            <w:vAlign w:val="center"/>
          </w:tcPr>
          <w:p w14:paraId="3A84298C">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215A10A8">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1397FBB6">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0.16</w:t>
            </w:r>
          </w:p>
        </w:tc>
        <w:tc>
          <w:tcPr>
            <w:tcW w:w="3352" w:type="dxa"/>
            <w:noWrap w:val="0"/>
            <w:vAlign w:val="center"/>
          </w:tcPr>
          <w:p w14:paraId="3C12CC84">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二类居住用地、商业金融用地</w:t>
            </w:r>
          </w:p>
        </w:tc>
        <w:tc>
          <w:tcPr>
            <w:tcW w:w="908" w:type="dxa"/>
            <w:noWrap w:val="0"/>
            <w:vAlign w:val="center"/>
          </w:tcPr>
          <w:p w14:paraId="060DDE4C">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14:paraId="7F017869">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铜鼓镇</w:t>
            </w:r>
          </w:p>
        </w:tc>
        <w:tc>
          <w:tcPr>
            <w:tcW w:w="3353" w:type="dxa"/>
            <w:noWrap w:val="0"/>
            <w:vAlign w:val="center"/>
          </w:tcPr>
          <w:p w14:paraId="4E311862">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铜鼓镇集市</w:t>
            </w:r>
          </w:p>
        </w:tc>
      </w:tr>
      <w:tr w14:paraId="5CAED74E">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7D5DA3B6">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5001532L11</w:t>
            </w:r>
          </w:p>
        </w:tc>
        <w:tc>
          <w:tcPr>
            <w:tcW w:w="728" w:type="dxa"/>
            <w:noWrap w:val="0"/>
            <w:vAlign w:val="center"/>
          </w:tcPr>
          <w:p w14:paraId="4B7B6DAE">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2923A1B6">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6E11100A">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2.07</w:t>
            </w:r>
          </w:p>
        </w:tc>
        <w:tc>
          <w:tcPr>
            <w:tcW w:w="3352" w:type="dxa"/>
            <w:noWrap w:val="0"/>
            <w:vAlign w:val="center"/>
          </w:tcPr>
          <w:p w14:paraId="6113A1EA">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二类居住用地、商业用地、工业用地</w:t>
            </w:r>
          </w:p>
        </w:tc>
        <w:tc>
          <w:tcPr>
            <w:tcW w:w="908" w:type="dxa"/>
            <w:noWrap w:val="0"/>
            <w:vAlign w:val="center"/>
          </w:tcPr>
          <w:p w14:paraId="649F182C">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14:paraId="6F8BD2D8">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仁义镇</w:t>
            </w:r>
          </w:p>
        </w:tc>
        <w:tc>
          <w:tcPr>
            <w:tcW w:w="3353" w:type="dxa"/>
            <w:noWrap w:val="0"/>
            <w:vAlign w:val="center"/>
          </w:tcPr>
          <w:p w14:paraId="64E3F81E">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仁义镇集市（含规划）</w:t>
            </w:r>
          </w:p>
        </w:tc>
      </w:tr>
      <w:tr w14:paraId="4FEB31BE">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146FFADD">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5001532L12</w:t>
            </w:r>
          </w:p>
        </w:tc>
        <w:tc>
          <w:tcPr>
            <w:tcW w:w="728" w:type="dxa"/>
            <w:noWrap w:val="0"/>
            <w:vAlign w:val="center"/>
          </w:tcPr>
          <w:p w14:paraId="36BE0072">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5325FD54">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4C9073A9">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2.92</w:t>
            </w:r>
          </w:p>
        </w:tc>
        <w:tc>
          <w:tcPr>
            <w:tcW w:w="3352" w:type="dxa"/>
            <w:noWrap w:val="0"/>
            <w:vAlign w:val="center"/>
          </w:tcPr>
          <w:p w14:paraId="58459E98">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二类居住用地、商业金融用地</w:t>
            </w:r>
          </w:p>
        </w:tc>
        <w:tc>
          <w:tcPr>
            <w:tcW w:w="908" w:type="dxa"/>
            <w:noWrap w:val="0"/>
            <w:vAlign w:val="center"/>
          </w:tcPr>
          <w:p w14:paraId="151CADA0">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14:paraId="55B14B9F">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吴家镇</w:t>
            </w:r>
          </w:p>
        </w:tc>
        <w:tc>
          <w:tcPr>
            <w:tcW w:w="3353" w:type="dxa"/>
            <w:noWrap w:val="0"/>
            <w:vAlign w:val="center"/>
          </w:tcPr>
          <w:p w14:paraId="62529489">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吴家镇集市</w:t>
            </w:r>
          </w:p>
        </w:tc>
      </w:tr>
      <w:tr w14:paraId="1E18D5A5">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57135960">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5001532L13</w:t>
            </w:r>
          </w:p>
        </w:tc>
        <w:tc>
          <w:tcPr>
            <w:tcW w:w="728" w:type="dxa"/>
            <w:noWrap w:val="0"/>
            <w:vAlign w:val="center"/>
          </w:tcPr>
          <w:p w14:paraId="0F64B998">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53A14F7E">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245BD180">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3.54</w:t>
            </w:r>
          </w:p>
        </w:tc>
        <w:tc>
          <w:tcPr>
            <w:tcW w:w="3352" w:type="dxa"/>
            <w:noWrap w:val="0"/>
            <w:vAlign w:val="center"/>
          </w:tcPr>
          <w:p w14:paraId="52E4BD92">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二类居住用地、工业用地、商业用地</w:t>
            </w:r>
          </w:p>
        </w:tc>
        <w:tc>
          <w:tcPr>
            <w:tcW w:w="908" w:type="dxa"/>
            <w:noWrap w:val="0"/>
            <w:vAlign w:val="center"/>
          </w:tcPr>
          <w:p w14:paraId="07977C0D">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14:paraId="7D38D672">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双河街道</w:t>
            </w:r>
          </w:p>
        </w:tc>
        <w:tc>
          <w:tcPr>
            <w:tcW w:w="3353" w:type="dxa"/>
            <w:noWrap w:val="0"/>
            <w:vAlign w:val="center"/>
          </w:tcPr>
          <w:p w14:paraId="39D01E44">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双河街道集市</w:t>
            </w:r>
          </w:p>
        </w:tc>
      </w:tr>
      <w:tr w14:paraId="091BD67B">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572F3E36">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5001532L14</w:t>
            </w:r>
          </w:p>
        </w:tc>
        <w:tc>
          <w:tcPr>
            <w:tcW w:w="728" w:type="dxa"/>
            <w:noWrap w:val="0"/>
            <w:vAlign w:val="center"/>
          </w:tcPr>
          <w:p w14:paraId="0E16DB5F">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63021672">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6D7EA23D">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2.31</w:t>
            </w:r>
          </w:p>
        </w:tc>
        <w:tc>
          <w:tcPr>
            <w:tcW w:w="3352" w:type="dxa"/>
            <w:noWrap w:val="0"/>
            <w:vAlign w:val="center"/>
          </w:tcPr>
          <w:p w14:paraId="3C504B37">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二类居住用地、工业用地、商业用地</w:t>
            </w:r>
          </w:p>
        </w:tc>
        <w:tc>
          <w:tcPr>
            <w:tcW w:w="908" w:type="dxa"/>
            <w:noWrap w:val="0"/>
            <w:vAlign w:val="center"/>
          </w:tcPr>
          <w:p w14:paraId="57609D2A">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14:paraId="1706B3A3">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盘龙镇</w:t>
            </w:r>
          </w:p>
        </w:tc>
        <w:tc>
          <w:tcPr>
            <w:tcW w:w="3353" w:type="dxa"/>
            <w:noWrap w:val="0"/>
            <w:vAlign w:val="center"/>
          </w:tcPr>
          <w:p w14:paraId="7D5EC486">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盘龙镇集市</w:t>
            </w:r>
          </w:p>
        </w:tc>
      </w:tr>
      <w:tr w14:paraId="10625E19">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5EF3BCD6">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5001532L15</w:t>
            </w:r>
          </w:p>
        </w:tc>
        <w:tc>
          <w:tcPr>
            <w:tcW w:w="728" w:type="dxa"/>
            <w:noWrap w:val="0"/>
            <w:vAlign w:val="center"/>
          </w:tcPr>
          <w:p w14:paraId="3E0D1522">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78109E38">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29DC45B4">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0.14</w:t>
            </w:r>
          </w:p>
        </w:tc>
        <w:tc>
          <w:tcPr>
            <w:tcW w:w="3352" w:type="dxa"/>
            <w:noWrap w:val="0"/>
            <w:vAlign w:val="center"/>
          </w:tcPr>
          <w:p w14:paraId="0933B488">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二类居住用地、商业金融用地</w:t>
            </w:r>
          </w:p>
        </w:tc>
        <w:tc>
          <w:tcPr>
            <w:tcW w:w="908" w:type="dxa"/>
            <w:noWrap w:val="0"/>
            <w:vAlign w:val="center"/>
          </w:tcPr>
          <w:p w14:paraId="10A31102">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14:paraId="3EB4DF21">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清流镇</w:t>
            </w:r>
          </w:p>
        </w:tc>
        <w:tc>
          <w:tcPr>
            <w:tcW w:w="3353" w:type="dxa"/>
            <w:noWrap w:val="0"/>
            <w:vAlign w:val="center"/>
          </w:tcPr>
          <w:p w14:paraId="7716AFEC">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清流镇集市</w:t>
            </w:r>
          </w:p>
        </w:tc>
      </w:tr>
      <w:tr w14:paraId="39ABEAEA">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7014E544">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5001532L16</w:t>
            </w:r>
          </w:p>
        </w:tc>
        <w:tc>
          <w:tcPr>
            <w:tcW w:w="728" w:type="dxa"/>
            <w:noWrap w:val="0"/>
            <w:vAlign w:val="center"/>
          </w:tcPr>
          <w:p w14:paraId="57D377FF">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2FC2892E">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2E8D1488">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0.07</w:t>
            </w:r>
          </w:p>
        </w:tc>
        <w:tc>
          <w:tcPr>
            <w:tcW w:w="3352" w:type="dxa"/>
            <w:noWrap w:val="0"/>
            <w:vAlign w:val="center"/>
          </w:tcPr>
          <w:p w14:paraId="68DABC56">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二类居住用地、商业金融用地</w:t>
            </w:r>
          </w:p>
        </w:tc>
        <w:tc>
          <w:tcPr>
            <w:tcW w:w="908" w:type="dxa"/>
            <w:noWrap w:val="0"/>
            <w:vAlign w:val="center"/>
          </w:tcPr>
          <w:p w14:paraId="1CA2752B">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14:paraId="319F37B1">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观胜镇</w:t>
            </w:r>
          </w:p>
        </w:tc>
        <w:tc>
          <w:tcPr>
            <w:tcW w:w="3353" w:type="dxa"/>
            <w:noWrap w:val="0"/>
            <w:vAlign w:val="center"/>
          </w:tcPr>
          <w:p w14:paraId="0FBB876C">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观胜镇集市</w:t>
            </w:r>
          </w:p>
        </w:tc>
      </w:tr>
      <w:tr w14:paraId="315A4317">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2072186B">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5001532L17</w:t>
            </w:r>
          </w:p>
        </w:tc>
        <w:tc>
          <w:tcPr>
            <w:tcW w:w="728" w:type="dxa"/>
            <w:noWrap w:val="0"/>
            <w:vAlign w:val="center"/>
          </w:tcPr>
          <w:p w14:paraId="2948C65B">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257AE292">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522AC50D">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0.14</w:t>
            </w:r>
          </w:p>
        </w:tc>
        <w:tc>
          <w:tcPr>
            <w:tcW w:w="3352" w:type="dxa"/>
            <w:noWrap w:val="0"/>
            <w:vAlign w:val="center"/>
          </w:tcPr>
          <w:p w14:paraId="558BB54E">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二类居住用地、商业金融用地</w:t>
            </w:r>
          </w:p>
        </w:tc>
        <w:tc>
          <w:tcPr>
            <w:tcW w:w="908" w:type="dxa"/>
            <w:noWrap w:val="0"/>
            <w:vAlign w:val="center"/>
          </w:tcPr>
          <w:p w14:paraId="2849B70E">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14:paraId="4095A2F2">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远觉镇</w:t>
            </w:r>
          </w:p>
        </w:tc>
        <w:tc>
          <w:tcPr>
            <w:tcW w:w="3353" w:type="dxa"/>
            <w:noWrap w:val="0"/>
            <w:vAlign w:val="center"/>
          </w:tcPr>
          <w:p w14:paraId="004F0CCB">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远觉镇集市</w:t>
            </w:r>
          </w:p>
        </w:tc>
      </w:tr>
      <w:tr w14:paraId="3F7A1BC7">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18A91A42">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5001532L18</w:t>
            </w:r>
          </w:p>
        </w:tc>
        <w:tc>
          <w:tcPr>
            <w:tcW w:w="728" w:type="dxa"/>
            <w:noWrap w:val="0"/>
            <w:vAlign w:val="center"/>
          </w:tcPr>
          <w:p w14:paraId="4A8EA52F">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12C543CC">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3A389358">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0.07</w:t>
            </w:r>
          </w:p>
        </w:tc>
        <w:tc>
          <w:tcPr>
            <w:tcW w:w="3352" w:type="dxa"/>
            <w:noWrap w:val="0"/>
            <w:vAlign w:val="center"/>
          </w:tcPr>
          <w:p w14:paraId="44D1DEFE">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二类居住用地、商业金融用地</w:t>
            </w:r>
          </w:p>
        </w:tc>
        <w:tc>
          <w:tcPr>
            <w:tcW w:w="908" w:type="dxa"/>
            <w:noWrap w:val="0"/>
            <w:vAlign w:val="center"/>
          </w:tcPr>
          <w:p w14:paraId="3B248AE8">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14:paraId="7447E745">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直升镇</w:t>
            </w:r>
          </w:p>
        </w:tc>
        <w:tc>
          <w:tcPr>
            <w:tcW w:w="3353" w:type="dxa"/>
            <w:noWrap w:val="0"/>
            <w:vAlign w:val="center"/>
          </w:tcPr>
          <w:p w14:paraId="4D614E22">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直升镇集市</w:t>
            </w:r>
          </w:p>
        </w:tc>
      </w:tr>
      <w:tr w14:paraId="11717372">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3FB3562C">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5001532L19</w:t>
            </w:r>
          </w:p>
        </w:tc>
        <w:tc>
          <w:tcPr>
            <w:tcW w:w="728" w:type="dxa"/>
            <w:noWrap w:val="0"/>
            <w:vAlign w:val="center"/>
          </w:tcPr>
          <w:p w14:paraId="7BC549C3">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5866AD07">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3431BDBD">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0.14</w:t>
            </w:r>
          </w:p>
        </w:tc>
        <w:tc>
          <w:tcPr>
            <w:tcW w:w="3352" w:type="dxa"/>
            <w:noWrap w:val="0"/>
            <w:vAlign w:val="center"/>
          </w:tcPr>
          <w:p w14:paraId="497BECEF">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二类居住用地、商业金融用地</w:t>
            </w:r>
          </w:p>
        </w:tc>
        <w:tc>
          <w:tcPr>
            <w:tcW w:w="908" w:type="dxa"/>
            <w:noWrap w:val="0"/>
            <w:vAlign w:val="center"/>
          </w:tcPr>
          <w:p w14:paraId="64DF3C7B">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14:paraId="7C6D8732">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清江镇</w:t>
            </w:r>
          </w:p>
        </w:tc>
        <w:tc>
          <w:tcPr>
            <w:tcW w:w="3353" w:type="dxa"/>
            <w:noWrap w:val="0"/>
            <w:vAlign w:val="center"/>
          </w:tcPr>
          <w:p w14:paraId="407E473B">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清江镇集市</w:t>
            </w:r>
          </w:p>
        </w:tc>
      </w:tr>
      <w:tr w14:paraId="6CE467A7">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2BB9E2F3">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5001532L20</w:t>
            </w:r>
          </w:p>
        </w:tc>
        <w:tc>
          <w:tcPr>
            <w:tcW w:w="728" w:type="dxa"/>
            <w:noWrap w:val="0"/>
            <w:vAlign w:val="center"/>
          </w:tcPr>
          <w:p w14:paraId="268DF93A">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20FC5737">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1EC3319D">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0.16</w:t>
            </w:r>
          </w:p>
        </w:tc>
        <w:tc>
          <w:tcPr>
            <w:tcW w:w="3352" w:type="dxa"/>
            <w:noWrap w:val="0"/>
            <w:vAlign w:val="center"/>
          </w:tcPr>
          <w:p w14:paraId="7A62FFF8">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二类居住用地、商业金融用地</w:t>
            </w:r>
          </w:p>
        </w:tc>
        <w:tc>
          <w:tcPr>
            <w:tcW w:w="908" w:type="dxa"/>
            <w:noWrap w:val="0"/>
            <w:vAlign w:val="center"/>
          </w:tcPr>
          <w:p w14:paraId="3382227B">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14:paraId="48ABB82F">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清升镇</w:t>
            </w:r>
          </w:p>
        </w:tc>
        <w:tc>
          <w:tcPr>
            <w:tcW w:w="3353" w:type="dxa"/>
            <w:noWrap w:val="0"/>
            <w:vAlign w:val="center"/>
          </w:tcPr>
          <w:p w14:paraId="6F8A880E">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清升镇集市</w:t>
            </w:r>
          </w:p>
        </w:tc>
      </w:tr>
      <w:tr w14:paraId="6B254603">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24495E49">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5001532L21</w:t>
            </w:r>
          </w:p>
        </w:tc>
        <w:tc>
          <w:tcPr>
            <w:tcW w:w="728" w:type="dxa"/>
            <w:noWrap w:val="0"/>
            <w:vAlign w:val="center"/>
          </w:tcPr>
          <w:p w14:paraId="7910767B">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53D7FFC5">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71FF9CF5">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0.39</w:t>
            </w:r>
          </w:p>
        </w:tc>
        <w:tc>
          <w:tcPr>
            <w:tcW w:w="3352" w:type="dxa"/>
            <w:noWrap w:val="0"/>
            <w:vAlign w:val="center"/>
          </w:tcPr>
          <w:p w14:paraId="5E4A9F2B">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二类居住用地、商业金融用地</w:t>
            </w:r>
          </w:p>
        </w:tc>
        <w:tc>
          <w:tcPr>
            <w:tcW w:w="908" w:type="dxa"/>
            <w:noWrap w:val="0"/>
            <w:vAlign w:val="center"/>
          </w:tcPr>
          <w:p w14:paraId="202C05AD">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14:paraId="48AAD748">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万灵镇</w:t>
            </w:r>
          </w:p>
        </w:tc>
        <w:tc>
          <w:tcPr>
            <w:tcW w:w="3353" w:type="dxa"/>
            <w:noWrap w:val="0"/>
            <w:vAlign w:val="center"/>
          </w:tcPr>
          <w:p w14:paraId="61040E59">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万灵镇集市</w:t>
            </w:r>
          </w:p>
        </w:tc>
      </w:tr>
      <w:tr w14:paraId="43A5DB55">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1242625A">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5001532L22</w:t>
            </w:r>
          </w:p>
        </w:tc>
        <w:tc>
          <w:tcPr>
            <w:tcW w:w="728" w:type="dxa"/>
            <w:noWrap w:val="0"/>
            <w:vAlign w:val="center"/>
          </w:tcPr>
          <w:p w14:paraId="4B24CFF7">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3D191FA2">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4CCD6B34">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0.11</w:t>
            </w:r>
          </w:p>
        </w:tc>
        <w:tc>
          <w:tcPr>
            <w:tcW w:w="3352" w:type="dxa"/>
            <w:noWrap w:val="0"/>
            <w:vAlign w:val="center"/>
          </w:tcPr>
          <w:p w14:paraId="6F4E0E4C">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二类居住用地、商业金融用地</w:t>
            </w:r>
          </w:p>
        </w:tc>
        <w:tc>
          <w:tcPr>
            <w:tcW w:w="908" w:type="dxa"/>
            <w:noWrap w:val="0"/>
            <w:vAlign w:val="center"/>
          </w:tcPr>
          <w:p w14:paraId="3CA44850">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14:paraId="772A3F24">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龙集镇</w:t>
            </w:r>
          </w:p>
        </w:tc>
        <w:tc>
          <w:tcPr>
            <w:tcW w:w="3353" w:type="dxa"/>
            <w:noWrap w:val="0"/>
            <w:vAlign w:val="center"/>
          </w:tcPr>
          <w:p w14:paraId="645AEF3D">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龙集镇集市</w:t>
            </w:r>
          </w:p>
        </w:tc>
      </w:tr>
      <w:tr w14:paraId="3EF8D4AE">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237016D1">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5001532L23</w:t>
            </w:r>
          </w:p>
        </w:tc>
        <w:tc>
          <w:tcPr>
            <w:tcW w:w="728" w:type="dxa"/>
            <w:noWrap w:val="0"/>
            <w:vAlign w:val="center"/>
          </w:tcPr>
          <w:p w14:paraId="50AC0BF4">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5FD497E8">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16DE7D36">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0.34</w:t>
            </w:r>
          </w:p>
        </w:tc>
        <w:tc>
          <w:tcPr>
            <w:tcW w:w="3352" w:type="dxa"/>
            <w:noWrap w:val="0"/>
            <w:vAlign w:val="center"/>
          </w:tcPr>
          <w:p w14:paraId="57652710">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二类居住用地、商业金融用地</w:t>
            </w:r>
          </w:p>
        </w:tc>
        <w:tc>
          <w:tcPr>
            <w:tcW w:w="908" w:type="dxa"/>
            <w:noWrap w:val="0"/>
            <w:vAlign w:val="center"/>
          </w:tcPr>
          <w:p w14:paraId="7DAC4A87">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2L</w:t>
            </w:r>
          </w:p>
        </w:tc>
        <w:tc>
          <w:tcPr>
            <w:tcW w:w="1976" w:type="dxa"/>
            <w:noWrap w:val="0"/>
            <w:vAlign w:val="center"/>
          </w:tcPr>
          <w:p w14:paraId="3FA24860">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河包镇</w:t>
            </w:r>
          </w:p>
        </w:tc>
        <w:tc>
          <w:tcPr>
            <w:tcW w:w="3353" w:type="dxa"/>
            <w:noWrap w:val="0"/>
            <w:vAlign w:val="center"/>
          </w:tcPr>
          <w:p w14:paraId="6FE0506A">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河包镇集市</w:t>
            </w:r>
          </w:p>
        </w:tc>
      </w:tr>
      <w:tr w14:paraId="6E44FAC2">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70D1C969">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5001533L01</w:t>
            </w:r>
          </w:p>
        </w:tc>
        <w:tc>
          <w:tcPr>
            <w:tcW w:w="728" w:type="dxa"/>
            <w:noWrap w:val="0"/>
            <w:vAlign w:val="center"/>
          </w:tcPr>
          <w:p w14:paraId="4AE0E4EC">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4CC73479">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21EAC9BA">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7.62</w:t>
            </w:r>
          </w:p>
        </w:tc>
        <w:tc>
          <w:tcPr>
            <w:tcW w:w="3352" w:type="dxa"/>
            <w:noWrap w:val="0"/>
            <w:vAlign w:val="center"/>
          </w:tcPr>
          <w:p w14:paraId="31585436">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工业用地</w:t>
            </w:r>
          </w:p>
        </w:tc>
        <w:tc>
          <w:tcPr>
            <w:tcW w:w="908" w:type="dxa"/>
            <w:noWrap w:val="0"/>
            <w:vAlign w:val="center"/>
          </w:tcPr>
          <w:p w14:paraId="5D21ACA1">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3L</w:t>
            </w:r>
          </w:p>
        </w:tc>
        <w:tc>
          <w:tcPr>
            <w:tcW w:w="1976" w:type="dxa"/>
            <w:noWrap w:val="0"/>
            <w:vAlign w:val="center"/>
          </w:tcPr>
          <w:p w14:paraId="663EDA18">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安富街道—广顺街道—清升镇</w:t>
            </w:r>
          </w:p>
        </w:tc>
        <w:tc>
          <w:tcPr>
            <w:tcW w:w="3353" w:type="dxa"/>
            <w:noWrap w:val="0"/>
            <w:vAlign w:val="center"/>
          </w:tcPr>
          <w:p w14:paraId="2D110350">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广富工业园区</w:t>
            </w:r>
          </w:p>
        </w:tc>
      </w:tr>
      <w:tr w14:paraId="6DAE7168">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21966C54">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5001533L02</w:t>
            </w:r>
          </w:p>
        </w:tc>
        <w:tc>
          <w:tcPr>
            <w:tcW w:w="728" w:type="dxa"/>
            <w:noWrap w:val="0"/>
            <w:vAlign w:val="center"/>
          </w:tcPr>
          <w:p w14:paraId="70E72BE9">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7ED16868">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033E094E">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2.67</w:t>
            </w:r>
          </w:p>
        </w:tc>
        <w:tc>
          <w:tcPr>
            <w:tcW w:w="3352" w:type="dxa"/>
            <w:noWrap w:val="0"/>
            <w:vAlign w:val="center"/>
          </w:tcPr>
          <w:p w14:paraId="6058E7AF">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物流仓储用地、工业用地</w:t>
            </w:r>
          </w:p>
        </w:tc>
        <w:tc>
          <w:tcPr>
            <w:tcW w:w="908" w:type="dxa"/>
            <w:noWrap w:val="0"/>
            <w:vAlign w:val="center"/>
          </w:tcPr>
          <w:p w14:paraId="667F015B">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3L</w:t>
            </w:r>
          </w:p>
        </w:tc>
        <w:tc>
          <w:tcPr>
            <w:tcW w:w="1976" w:type="dxa"/>
            <w:noWrap w:val="0"/>
            <w:vAlign w:val="center"/>
          </w:tcPr>
          <w:p w14:paraId="3BE39CA3">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昌元街道—昌州街道</w:t>
            </w:r>
          </w:p>
        </w:tc>
        <w:tc>
          <w:tcPr>
            <w:tcW w:w="3353" w:type="dxa"/>
            <w:noWrap w:val="0"/>
            <w:vAlign w:val="center"/>
          </w:tcPr>
          <w:p w14:paraId="0DC68D46">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荣昌高新区</w:t>
            </w:r>
          </w:p>
        </w:tc>
      </w:tr>
      <w:tr w14:paraId="6661DAD9">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4AFF1ABD">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5001533L03</w:t>
            </w:r>
          </w:p>
        </w:tc>
        <w:tc>
          <w:tcPr>
            <w:tcW w:w="728" w:type="dxa"/>
            <w:noWrap w:val="0"/>
            <w:vAlign w:val="center"/>
          </w:tcPr>
          <w:p w14:paraId="1A83FE9F">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6F87E349">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116F5870">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11.48</w:t>
            </w:r>
          </w:p>
        </w:tc>
        <w:tc>
          <w:tcPr>
            <w:tcW w:w="3352" w:type="dxa"/>
            <w:noWrap w:val="0"/>
            <w:vAlign w:val="center"/>
          </w:tcPr>
          <w:p w14:paraId="3BE53063">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二类工业用地</w:t>
            </w:r>
          </w:p>
        </w:tc>
        <w:tc>
          <w:tcPr>
            <w:tcW w:w="908" w:type="dxa"/>
            <w:noWrap w:val="0"/>
            <w:vAlign w:val="center"/>
          </w:tcPr>
          <w:p w14:paraId="26E569DA">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3L</w:t>
            </w:r>
          </w:p>
        </w:tc>
        <w:tc>
          <w:tcPr>
            <w:tcW w:w="1976" w:type="dxa"/>
            <w:noWrap w:val="0"/>
            <w:vAlign w:val="center"/>
          </w:tcPr>
          <w:p w14:paraId="0670CDD6">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昌州街道—直升镇</w:t>
            </w:r>
          </w:p>
        </w:tc>
        <w:tc>
          <w:tcPr>
            <w:tcW w:w="3353" w:type="dxa"/>
            <w:noWrap w:val="0"/>
            <w:vAlign w:val="center"/>
          </w:tcPr>
          <w:p w14:paraId="68ECA12F">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荣昌高新区</w:t>
            </w:r>
          </w:p>
        </w:tc>
      </w:tr>
      <w:tr w14:paraId="0DB5EC59">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62F94276">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5001533L04</w:t>
            </w:r>
          </w:p>
        </w:tc>
        <w:tc>
          <w:tcPr>
            <w:tcW w:w="728" w:type="dxa"/>
            <w:noWrap w:val="0"/>
            <w:vAlign w:val="center"/>
          </w:tcPr>
          <w:p w14:paraId="04AF4432">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612181E8">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41995294">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0.98</w:t>
            </w:r>
          </w:p>
        </w:tc>
        <w:tc>
          <w:tcPr>
            <w:tcW w:w="3352" w:type="dxa"/>
            <w:noWrap w:val="0"/>
            <w:vAlign w:val="center"/>
          </w:tcPr>
          <w:p w14:paraId="62B563BE">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二类工业用地</w:t>
            </w:r>
          </w:p>
        </w:tc>
        <w:tc>
          <w:tcPr>
            <w:tcW w:w="908" w:type="dxa"/>
            <w:noWrap w:val="0"/>
            <w:vAlign w:val="center"/>
          </w:tcPr>
          <w:p w14:paraId="4B6A393B">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3L</w:t>
            </w:r>
          </w:p>
        </w:tc>
        <w:tc>
          <w:tcPr>
            <w:tcW w:w="1976" w:type="dxa"/>
            <w:noWrap w:val="0"/>
            <w:vAlign w:val="center"/>
          </w:tcPr>
          <w:p w14:paraId="5A567F82">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昌州街道</w:t>
            </w:r>
          </w:p>
        </w:tc>
        <w:tc>
          <w:tcPr>
            <w:tcW w:w="3353" w:type="dxa"/>
            <w:noWrap w:val="0"/>
            <w:vAlign w:val="center"/>
          </w:tcPr>
          <w:p w14:paraId="2E254CF8">
            <w:pPr>
              <w:snapToGrid w:val="0"/>
              <w:rPr>
                <w:rFonts w:hint="eastAsia" w:ascii="方正仿宋_GBK" w:hAnsi="方正仿宋_GBK" w:eastAsia="方正仿宋_GBK" w:cs="方正仿宋_GBK"/>
                <w:sz w:val="21"/>
                <w:szCs w:val="21"/>
              </w:rPr>
            </w:pPr>
          </w:p>
        </w:tc>
      </w:tr>
      <w:tr w14:paraId="07945BB6">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39109589">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5001533L05</w:t>
            </w:r>
          </w:p>
        </w:tc>
        <w:tc>
          <w:tcPr>
            <w:tcW w:w="728" w:type="dxa"/>
            <w:noWrap w:val="0"/>
            <w:vAlign w:val="center"/>
          </w:tcPr>
          <w:p w14:paraId="29D2D412">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4C9592FF">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2859597F">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2.18</w:t>
            </w:r>
          </w:p>
        </w:tc>
        <w:tc>
          <w:tcPr>
            <w:tcW w:w="3352" w:type="dxa"/>
            <w:noWrap w:val="0"/>
            <w:vAlign w:val="center"/>
          </w:tcPr>
          <w:p w14:paraId="5ACBA5BE">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工业用地</w:t>
            </w:r>
          </w:p>
        </w:tc>
        <w:tc>
          <w:tcPr>
            <w:tcW w:w="908" w:type="dxa"/>
            <w:noWrap w:val="0"/>
            <w:vAlign w:val="center"/>
          </w:tcPr>
          <w:p w14:paraId="442FE9B7">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3L</w:t>
            </w:r>
          </w:p>
        </w:tc>
        <w:tc>
          <w:tcPr>
            <w:tcW w:w="1976" w:type="dxa"/>
            <w:noWrap w:val="0"/>
            <w:vAlign w:val="center"/>
          </w:tcPr>
          <w:p w14:paraId="07FA6813">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荣隆镇</w:t>
            </w:r>
          </w:p>
        </w:tc>
        <w:tc>
          <w:tcPr>
            <w:tcW w:w="3353" w:type="dxa"/>
            <w:noWrap w:val="0"/>
            <w:vAlign w:val="center"/>
          </w:tcPr>
          <w:p w14:paraId="4B0C778E">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荣隆工业园</w:t>
            </w:r>
          </w:p>
        </w:tc>
      </w:tr>
      <w:tr w14:paraId="3E52FFB3">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1DE8C9A9">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5001533L06</w:t>
            </w:r>
          </w:p>
        </w:tc>
        <w:tc>
          <w:tcPr>
            <w:tcW w:w="728" w:type="dxa"/>
            <w:noWrap w:val="0"/>
            <w:vAlign w:val="center"/>
          </w:tcPr>
          <w:p w14:paraId="43C3A7B4">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34F54DD4">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2D0E268D">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0.77</w:t>
            </w:r>
          </w:p>
        </w:tc>
        <w:tc>
          <w:tcPr>
            <w:tcW w:w="3352" w:type="dxa"/>
            <w:noWrap w:val="0"/>
            <w:vAlign w:val="center"/>
          </w:tcPr>
          <w:p w14:paraId="45A67B56">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工业用地、二类居住用地</w:t>
            </w:r>
          </w:p>
        </w:tc>
        <w:tc>
          <w:tcPr>
            <w:tcW w:w="908" w:type="dxa"/>
            <w:noWrap w:val="0"/>
            <w:vAlign w:val="center"/>
          </w:tcPr>
          <w:p w14:paraId="4E302F50">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3L</w:t>
            </w:r>
          </w:p>
        </w:tc>
        <w:tc>
          <w:tcPr>
            <w:tcW w:w="1976" w:type="dxa"/>
            <w:noWrap w:val="0"/>
            <w:vAlign w:val="center"/>
          </w:tcPr>
          <w:p w14:paraId="3C361206">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吴家镇</w:t>
            </w:r>
          </w:p>
        </w:tc>
        <w:tc>
          <w:tcPr>
            <w:tcW w:w="3353" w:type="dxa"/>
            <w:noWrap w:val="0"/>
            <w:vAlign w:val="center"/>
          </w:tcPr>
          <w:p w14:paraId="6E936974">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吴家镇规划工业用地区域</w:t>
            </w:r>
          </w:p>
        </w:tc>
      </w:tr>
      <w:tr w14:paraId="63B6891D">
        <w:tblPrEx>
          <w:tblBorders>
            <w:top w:val="single" w:color="auto" w:sz="4" w:space="0"/>
            <w:left w:val="single" w:color="auto" w:sz="4" w:space="0"/>
            <w:bottom w:val="single" w:color="auto" w:sz="4" w:space="0"/>
            <w:right w:val="single" w:color="auto" w:sz="4" w:space="0"/>
            <w:insideH w:val="single" w:color="808080" w:sz="4" w:space="0"/>
            <w:insideV w:val="single" w:color="808080" w:sz="4" w:space="0"/>
          </w:tblBorders>
          <w:tblCellMar>
            <w:top w:w="0" w:type="dxa"/>
            <w:left w:w="28" w:type="dxa"/>
            <w:bottom w:w="0" w:type="dxa"/>
            <w:right w:w="28" w:type="dxa"/>
          </w:tblCellMar>
        </w:tblPrEx>
        <w:trPr>
          <w:trHeight w:val="255" w:hRule="atLeast"/>
          <w:jc w:val="center"/>
        </w:trPr>
        <w:tc>
          <w:tcPr>
            <w:tcW w:w="1162" w:type="dxa"/>
            <w:noWrap w:val="0"/>
            <w:vAlign w:val="center"/>
          </w:tcPr>
          <w:p w14:paraId="5696687E">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5001533L07</w:t>
            </w:r>
          </w:p>
        </w:tc>
        <w:tc>
          <w:tcPr>
            <w:tcW w:w="728" w:type="dxa"/>
            <w:noWrap w:val="0"/>
            <w:vAlign w:val="center"/>
          </w:tcPr>
          <w:p w14:paraId="16B604E6">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重庆市</w:t>
            </w:r>
          </w:p>
        </w:tc>
        <w:tc>
          <w:tcPr>
            <w:tcW w:w="714" w:type="dxa"/>
            <w:noWrap w:val="0"/>
            <w:vAlign w:val="center"/>
          </w:tcPr>
          <w:p w14:paraId="5FD875C7">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荣昌区</w:t>
            </w:r>
          </w:p>
        </w:tc>
        <w:tc>
          <w:tcPr>
            <w:tcW w:w="1302" w:type="dxa"/>
            <w:noWrap w:val="0"/>
            <w:vAlign w:val="center"/>
          </w:tcPr>
          <w:p w14:paraId="34E84A78">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2.21</w:t>
            </w:r>
          </w:p>
        </w:tc>
        <w:tc>
          <w:tcPr>
            <w:tcW w:w="3352" w:type="dxa"/>
            <w:noWrap w:val="0"/>
            <w:vAlign w:val="center"/>
          </w:tcPr>
          <w:p w14:paraId="4A992183">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工业用地</w:t>
            </w:r>
          </w:p>
        </w:tc>
        <w:tc>
          <w:tcPr>
            <w:tcW w:w="908" w:type="dxa"/>
            <w:noWrap w:val="0"/>
            <w:vAlign w:val="center"/>
          </w:tcPr>
          <w:p w14:paraId="29430796">
            <w:pPr>
              <w:snapToGrid w:val="0"/>
              <w:jc w:val="center"/>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3L</w:t>
            </w:r>
          </w:p>
        </w:tc>
        <w:tc>
          <w:tcPr>
            <w:tcW w:w="1976" w:type="dxa"/>
            <w:noWrap w:val="0"/>
            <w:vAlign w:val="center"/>
          </w:tcPr>
          <w:p w14:paraId="545BDAE1">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双河街道</w:t>
            </w:r>
          </w:p>
        </w:tc>
        <w:tc>
          <w:tcPr>
            <w:tcW w:w="3353" w:type="dxa"/>
            <w:noWrap w:val="0"/>
            <w:vAlign w:val="center"/>
          </w:tcPr>
          <w:p w14:paraId="1A722C79">
            <w:pPr>
              <w:snapToGrid w:val="0"/>
              <w:rPr>
                <w:rFonts w:hint="eastAsia" w:ascii="方正仿宋_GBK" w:hAnsi="方正仿宋_GBK" w:eastAsia="方正仿宋_GBK" w:cs="方正仿宋_GBK"/>
                <w:sz w:val="21"/>
                <w:szCs w:val="21"/>
              </w:rPr>
            </w:pPr>
            <w:r>
              <w:rPr>
                <w:rFonts w:hint="eastAsia" w:ascii="方正仿宋_GBK" w:hAnsi="方正仿宋_GBK" w:eastAsia="方正仿宋_GBK" w:cs="方正仿宋_GBK"/>
                <w:sz w:val="21"/>
                <w:szCs w:val="21"/>
              </w:rPr>
              <w:t>双河街道国营益民机械厂、许家沟煤矿矿区</w:t>
            </w:r>
          </w:p>
        </w:tc>
      </w:tr>
    </w:tbl>
    <w:p w14:paraId="580ADF64">
      <w:pPr>
        <w:pStyle w:val="11"/>
        <w:spacing w:before="0" w:after="0" w:line="594" w:lineRule="exact"/>
        <w:jc w:val="left"/>
        <w:rPr>
          <w:rFonts w:ascii="方正黑体简体" w:hAnsi="Times New Roman" w:eastAsia="方正黑体简体"/>
          <w:b w:val="0"/>
        </w:rPr>
      </w:pPr>
    </w:p>
    <w:p w14:paraId="30FDA18E">
      <w:pPr>
        <w:keepNext w:val="0"/>
        <w:keepLines w:val="0"/>
        <w:pageBreakBefore w:val="0"/>
        <w:tabs>
          <w:tab w:val="left" w:pos="3735"/>
        </w:tabs>
        <w:kinsoku/>
        <w:overflowPunct/>
        <w:topLinePunct w:val="0"/>
        <w:bidi w:val="0"/>
        <w:spacing w:line="600" w:lineRule="atLeast"/>
        <w:ind w:left="0" w:leftChars="0" w:right="0" w:rightChars="0"/>
        <w:jc w:val="left"/>
        <w:textAlignment w:val="auto"/>
        <w:rPr>
          <w:rFonts w:hint="eastAsia" w:ascii="Times New Roman" w:hAnsi="Times New Roman" w:eastAsia="方正仿宋_GBK" w:cstheme="minorBidi"/>
          <w:kern w:val="0"/>
          <w:sz w:val="32"/>
          <w:szCs w:val="32"/>
          <w:shd w:val="clear" w:color="auto" w:fill="FFFFFF"/>
          <w:lang w:eastAsia="zh-CN" w:bidi="ar-SA"/>
        </w:rPr>
      </w:pPr>
    </w:p>
    <w:sectPr>
      <w:headerReference r:id="rId5" w:type="default"/>
      <w:footerReference r:id="rId6" w:type="default"/>
      <w:pgSz w:w="16838" w:h="11906" w:orient="landscape"/>
      <w:pgMar w:top="1962" w:right="1474" w:bottom="1848" w:left="1587" w:header="851" w:footer="992" w:gutter="0"/>
      <w:pgNumType w:fmt="numberInDash"/>
      <w:cols w:space="0" w:num="1"/>
      <w:rtlGutter w:val="0"/>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Times New Roman"/>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Verdana">
    <w:altName w:val="DejaVu Sans"/>
    <w:panose1 w:val="020B0604030504040204"/>
    <w:charset w:val="00"/>
    <w:family w:val="swiss"/>
    <w:pitch w:val="default"/>
    <w:sig w:usb0="00000000" w:usb1="00000000" w:usb2="00000010" w:usb3="00000000" w:csb0="2000019F" w:csb1="00000000"/>
  </w:font>
  <w:font w:name="DejaVu Sans">
    <w:panose1 w:val="020B0603030804020204"/>
    <w:charset w:val="00"/>
    <w:family w:val="auto"/>
    <w:pitch w:val="default"/>
    <w:sig w:usb0="E7006EFF" w:usb1="D200FDFF" w:usb2="0A246029" w:usb3="0400200C" w:csb0="600001FF" w:csb1="DFFF0000"/>
  </w:font>
  <w:font w:name="仿宋_GB2312">
    <w:altName w:val="方正仿宋_GBK"/>
    <w:panose1 w:val="02010609030101010101"/>
    <w:charset w:val="86"/>
    <w:family w:val="modern"/>
    <w:pitch w:val="default"/>
    <w:sig w:usb0="00000000" w:usb1="00000000" w:usb2="00000010" w:usb3="00000000" w:csb0="00040000" w:csb1="00000000"/>
  </w:font>
  <w:font w:name="方正仿宋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0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方正仿宋简体">
    <w:altName w:val="方正仿宋_GBK"/>
    <w:panose1 w:val="00000000000000000000"/>
    <w:charset w:val="86"/>
    <w:family w:val="script"/>
    <w:pitch w:val="default"/>
    <w:sig w:usb0="00000000" w:usb1="00000000" w:usb2="00000010" w:usb3="00000000" w:csb0="00040000" w:csb1="00000000"/>
  </w:font>
  <w:font w:name="方正楷体_GBK">
    <w:panose1 w:val="02000000000000000000"/>
    <w:charset w:val="86"/>
    <w:family w:val="script"/>
    <w:pitch w:val="default"/>
    <w:sig w:usb0="00000001" w:usb1="08000000" w:usb2="00000000" w:usb3="00000000" w:csb0="00040000" w:csb1="00000000"/>
  </w:font>
  <w:font w:name="方正楷体简体">
    <w:altName w:val="方正楷体_GBK"/>
    <w:panose1 w:val="02010601030101010101"/>
    <w:charset w:val="86"/>
    <w:family w:val="script"/>
    <w:pitch w:val="default"/>
    <w:sig w:usb0="00000000" w:usb1="00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方正黑体简体">
    <w:altName w:val="方正隶书_GBK"/>
    <w:panose1 w:val="03000509000000000000"/>
    <w:charset w:val="86"/>
    <w:family w:val="script"/>
    <w:pitch w:val="default"/>
    <w:sig w:usb0="00000000" w:usb1="00000000" w:usb2="00000010" w:usb3="00000000" w:csb0="00040000" w:csb1="00000000"/>
  </w:font>
  <w:font w:name="方正隶书_GBK">
    <w:panose1 w:val="02000000000000000000"/>
    <w:charset w:val="86"/>
    <w:family w:val="auto"/>
    <w:pitch w:val="default"/>
    <w:sig w:usb0="00000001" w:usb1="08000000" w:usb2="00000000" w:usb3="00000000" w:csb0="00040000" w:csb1="00000000"/>
  </w:font>
  <w:font w:name="微软雅黑">
    <w:altName w:val="方正黑体_GBK"/>
    <w:panose1 w:val="00000000000000000000"/>
    <w:charset w:val="00"/>
    <w:family w:val="auto"/>
    <w:pitch w:val="default"/>
    <w:sig w:usb0="00000000" w:usb1="00000000" w:usb2="00000000" w:usb3="00000000" w:csb0="00000000" w:csb1="00000000"/>
  </w:font>
  <w:font w:name="Tahoma">
    <w:altName w:val="noto sans thai"/>
    <w:panose1 w:val="00000000000000000000"/>
    <w:charset w:val="00"/>
    <w:family w:val="auto"/>
    <w:pitch w:val="default"/>
    <w:sig w:usb0="00000000" w:usb1="00000000" w:usb2="00000000" w:usb3="00000000" w:csb0="00000000" w:csb1="00000000"/>
  </w:font>
  <w:font w:name="noto sans thai">
    <w:panose1 w:val="020B0502040504020204"/>
    <w:charset w:val="00"/>
    <w:family w:val="auto"/>
    <w:pitch w:val="default"/>
    <w:sig w:usb0="81000063" w:usb1="00002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55F8D">
    <w:pPr>
      <w:pStyle w:val="7"/>
      <w:tabs>
        <w:tab w:val="left" w:pos="5238"/>
      </w:tabs>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7730A9">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2B7730A9">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ab/>
    </w:r>
    <w:r>
      <w:rPr>
        <w:rFonts w:hint="eastAsia" w:eastAsia="仿宋"/>
        <w:sz w:val="32"/>
        <w:szCs w:val="48"/>
        <w:lang w:val="en-US" w:eastAsia="zh-CN"/>
      </w:rPr>
      <w:tab/>
    </w:r>
    <w:r>
      <w:rPr>
        <w:rFonts w:hint="eastAsia" w:eastAsia="仿宋"/>
        <w:sz w:val="32"/>
        <w:szCs w:val="48"/>
        <w:lang w:val="en-US" w:eastAsia="zh-CN"/>
      </w:rPr>
      <w:t xml:space="preserve"> </w:t>
    </w:r>
  </w:p>
  <w:p w14:paraId="163026C1">
    <w:pPr>
      <w:pStyle w:val="7"/>
      <w:wordWrap w:val="0"/>
      <w:ind w:left="1067" w:leftChars="508" w:firstLine="10115" w:firstLineChars="3161"/>
      <w:jc w:val="right"/>
      <w:rPr>
        <w:rFonts w:hint="eastAsia" w:ascii="宋体" w:hAnsi="宋体" w:eastAsia="宋体" w:cs="宋体"/>
        <w:b/>
        <w:bCs/>
        <w:color w:val="005192"/>
        <w:sz w:val="28"/>
        <w:szCs w:val="44"/>
        <w:lang w:val="en-US" w:eastAsia="zh-CN"/>
      </w:rPr>
    </w:pPr>
    <w:r>
      <w:rPr>
        <w:color w:val="FAFAFA"/>
        <w:sz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85pt;height:0.15pt;width:442.25pt;z-index:251661312;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zp6XR1AAA&#10;AAYBAAAPAAAAAAAAAAEAIAAAACIAAABkcnMvZG93bnJldi54bWxQSwECFAAUAAAACACHTuJA8DYt&#10;KekBAAC1AwAADgAAAAAAAAABACAAAAAjAQAAZHJzL2Uyb0RvYy54bWxQSwUGAAAAAAYABgBZAQAA&#10;fgUAAAAA&#10;">
              <v:fill on="f" focussize="0,0"/>
              <v:stroke weight="1.75pt" color="#005192 [3204]" miterlimit="8" joinstyle="miter"/>
              <v:imagedata o:title=""/>
              <o:lock v:ext="edit" aspectratio="f"/>
            </v:line>
          </w:pict>
        </mc:Fallback>
      </mc:AlternateContent>
    </w:r>
    <w:r>
      <w:rPr>
        <w:rFonts w:hint="eastAsia"/>
        <w:color w:val="FAFAFA"/>
        <w:sz w:val="32"/>
        <w:lang w:val="en-US" w:eastAsia="zh-CN"/>
      </w:rPr>
      <w:t xml:space="preserve"> </w:t>
    </w:r>
    <w:r>
      <w:rPr>
        <w:rFonts w:hint="eastAsia" w:ascii="宋体" w:hAnsi="宋体" w:eastAsia="宋体" w:cs="宋体"/>
        <w:b/>
        <w:bCs/>
        <w:color w:val="005192"/>
        <w:sz w:val="28"/>
        <w:szCs w:val="44"/>
        <w:lang w:val="en-US" w:eastAsia="zh-CN"/>
      </w:rPr>
      <w:t xml:space="preserve">重庆市荣昌区人民政府办公室发布     </w:t>
    </w:r>
  </w:p>
  <w:p w14:paraId="23D96725">
    <w:pPr>
      <w:pStyle w:val="7"/>
      <w:wordWrap w:val="0"/>
      <w:ind w:left="4788" w:leftChars="2280" w:firstLine="5622" w:firstLineChars="2000"/>
      <w:jc w:val="right"/>
      <w:rPr>
        <w:rFonts w:hint="eastAsia" w:ascii="宋体" w:hAnsi="宋体" w:eastAsia="宋体" w:cs="宋体"/>
        <w:b/>
        <w:bCs/>
        <w:color w:val="005192"/>
        <w:sz w:val="28"/>
        <w:szCs w:val="44"/>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5AF40">
    <w:pPr>
      <w:pStyle w:val="7"/>
      <w:ind w:left="4788" w:leftChars="2280" w:firstLine="6400" w:firstLineChars="2000"/>
      <w:rPr>
        <w:sz w:val="32"/>
      </w:rPr>
    </w:pPr>
    <w:r>
      <w:rPr>
        <w:sz w:val="32"/>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CDBABA">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15CDBABA">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14:paraId="477B0DEE">
    <w:pPr>
      <w:pStyle w:val="7"/>
      <w:ind w:left="4788" w:leftChars="2280" w:firstLine="6400" w:firstLineChars="2000"/>
      <w:rPr>
        <w:sz w:val="32"/>
      </w:rPr>
    </w:pPr>
    <w:r>
      <w:rPr>
        <w:color w:val="FAFAFA"/>
        <w:sz w:val="32"/>
      </w:rPr>
      <mc:AlternateContent>
        <mc:Choice Requires="wps">
          <w:drawing>
            <wp:anchor distT="0" distB="0" distL="114300" distR="114300" simplePos="0" relativeHeight="251664384" behindDoc="0" locked="0" layoutInCell="1" allowOverlap="1">
              <wp:simplePos x="0" y="0"/>
              <wp:positionH relativeFrom="column">
                <wp:posOffset>-19050</wp:posOffset>
              </wp:positionH>
              <wp:positionV relativeFrom="paragraph">
                <wp:posOffset>140335</wp:posOffset>
              </wp:positionV>
              <wp:extent cx="8288020" cy="0"/>
              <wp:effectExtent l="0" t="0" r="0" b="0"/>
              <wp:wrapNone/>
              <wp:docPr id="11" name="直接连接符 11"/>
              <wp:cNvGraphicFramePr/>
              <a:graphic xmlns:a="http://schemas.openxmlformats.org/drawingml/2006/main">
                <a:graphicData uri="http://schemas.microsoft.com/office/word/2010/wordprocessingShape">
                  <wps:wsp>
                    <wps:cNvCnPr/>
                    <wps:spPr>
                      <a:xfrm>
                        <a:off x="0" y="0"/>
                        <a:ext cx="8288020"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5pt;margin-top:11.05pt;height:0pt;width:652.6pt;z-index:251664384;mso-width-relative:page;mso-height-relative:page;" filled="f" stroked="t" coordsize="21600,21600" o:gfxdata="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3Jgx31AAAAAkB&#10;AAAPAAAAAAAAAAEAIAAAACIAAABkcnMvZG93bnJldi54bWxQSwECFAAUAAAACACHTuJA9RTDf+YB&#10;AAC0AwAADgAAAAAAAAABACAAAAAjAQAAZHJzL2Uyb0RvYy54bWxQSwUGAAAAAAYABgBZAQAAewUA&#10;AAAA&#10;">
              <v:fill on="f" focussize="0,0"/>
              <v:stroke weight="1.75pt" color="#005192 [3204]" miterlimit="8" joinstyle="miter"/>
              <v:imagedata o:title=""/>
              <o:lock v:ext="edit" aspectratio="f"/>
            </v:line>
          </w:pict>
        </mc:Fallback>
      </mc:AlternateContent>
    </w:r>
  </w:p>
  <w:p w14:paraId="49F1AC78">
    <w:pPr>
      <w:pStyle w:val="7"/>
      <w:wordWrap w:val="0"/>
      <w:jc w:val="right"/>
      <w:rPr>
        <w:rFonts w:hint="eastAsia" w:ascii="宋体" w:hAnsi="宋体" w:eastAsia="宋体" w:cs="宋体"/>
        <w:b/>
        <w:bCs/>
        <w:color w:val="005192"/>
        <w:sz w:val="28"/>
        <w:szCs w:val="44"/>
        <w:lang w:val="en-US" w:eastAsia="zh-CN"/>
      </w:rPr>
    </w:pPr>
    <w:r>
      <w:rPr>
        <w:rFonts w:hint="eastAsia" w:ascii="宋体" w:hAnsi="宋体" w:eastAsia="宋体" w:cs="宋体"/>
        <w:b/>
        <w:bCs/>
        <w:color w:val="005192"/>
        <w:sz w:val="28"/>
        <w:szCs w:val="44"/>
        <w:lang w:val="en-US" w:eastAsia="zh-CN"/>
      </w:rPr>
      <w:t xml:space="preserve">      重庆市荣昌区人民政府办公室发布</w:t>
    </w:r>
    <w:r>
      <w:rPr>
        <w:rFonts w:hint="default" w:ascii="宋体" w:hAnsi="宋体" w:eastAsia="宋体" w:cs="宋体"/>
        <w:b/>
        <w:bCs/>
        <w:color w:val="005192"/>
        <w:sz w:val="28"/>
        <w:szCs w:val="44"/>
        <w:lang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0D799">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themeColor="text1"/>
        <w:sz w:val="32"/>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690245</wp:posOffset>
              </wp:positionV>
              <wp:extent cx="5620385" cy="0"/>
              <wp:effectExtent l="0" t="12700" r="18415" b="15875"/>
              <wp:wrapNone/>
              <wp:docPr id="4"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4.35pt;height:0pt;width:442.55pt;z-index:251660288;mso-width-relative:page;mso-height-relative:page;" filled="f" stroked="t" coordsize="21600,21600" o:gfxdata="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3EeSs1AAAAAgBAAAPAAAAAAAAAAEAIAAAACIAAABkcnMvZG93bnJldi54bWxQSwECFAAUAAAA&#10;CACHTuJABe67HvIBAAC9AwAADgAAAAAAAAABACAAAAAjAQAAZHJzL2Uyb0RvYy54bWxQSwUGAAAA&#10;AAYABgBZAQAAhwUAAAAA&#10;">
              <v:fill on="f" focussize="0,0"/>
              <v:stroke weight="1.75pt" color="#005192 [3204]" miterlimit="8" joinstyle="miter"/>
              <v:imagedata o:title=""/>
              <o:lock v:ext="edit" aspectratio="f"/>
            </v:line>
          </w:pict>
        </mc:Fallback>
      </mc:AlternateContent>
    </w:r>
  </w:p>
  <w:p w14:paraId="7F5CADAC">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1430" b="1143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重庆市荣昌区人民政府行政</w:t>
    </w:r>
    <w:r>
      <w:rPr>
        <w:rFonts w:hint="eastAsia" w:ascii="宋体" w:hAnsi="宋体" w:eastAsia="宋体" w:cs="宋体"/>
        <w:b/>
        <w:bCs/>
        <w:color w:val="005192"/>
        <w:sz w:val="32"/>
        <w:szCs w:val="32"/>
        <w:lang w:val="en-US" w:eastAsia="zh-Hans"/>
      </w:rPr>
      <w:t>规范性文件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412D1">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-2540</wp:posOffset>
              </wp:positionH>
              <wp:positionV relativeFrom="paragraph">
                <wp:posOffset>462280</wp:posOffset>
              </wp:positionV>
              <wp:extent cx="8269605" cy="0"/>
              <wp:effectExtent l="0" t="0" r="0" b="0"/>
              <wp:wrapNone/>
              <wp:docPr id="2" name="直接连接符 2"/>
              <wp:cNvGraphicFramePr/>
              <a:graphic xmlns:a="http://schemas.openxmlformats.org/drawingml/2006/main">
                <a:graphicData uri="http://schemas.microsoft.com/office/word/2010/wordprocessingShape">
                  <wps:wsp>
                    <wps:cNvCnPr/>
                    <wps:spPr>
                      <a:xfrm>
                        <a:off x="4133850" y="864870"/>
                        <a:ext cx="826960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2pt;margin-top:36.4pt;height:0pt;width:651.15pt;z-index:251663360;mso-width-relative:page;mso-height-relative:page;" filled="f" stroked="t" coordsize="21600,21600" o:gfxdata="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L5YoHVAAAACAEAAA8AAAAAAAAAAQAgAAAAIgAAAGRycy9kb3ducmV2LnhtbFBLAQIUABQA&#10;AAAIAIdO4kDjsBHs8wEAAL0DAAAOAAAAAAAAAAEAIAAAACQBAABkcnMvZTJvRG9jLnhtbFBLBQYA&#10;AAAABgAGAFkBAACJBQAAAAA=&#10;">
              <v:fill on="f" focussize="0,0"/>
              <v:stroke weight="1.75pt" color="#005192 [3204]" miterlimit="8" joinstyle="miter"/>
              <v:imagedata o:title=""/>
              <o:lock v:ext="edit" aspectratio="f"/>
            </v:line>
          </w:pict>
        </mc:Fallback>
      </mc:AlternateContent>
    </w:r>
    <w:r>
      <w:rPr>
        <w:rFonts w:hint="eastAsia" w:ascii="宋体" w:hAnsi="宋体" w:eastAsia="宋体" w:cs="宋体"/>
        <w:b/>
        <w:bCs/>
        <w:color w:val="005192"/>
        <w:sz w:val="32"/>
      </w:rPr>
      <w:drawing>
        <wp:inline distT="0" distB="0" distL="114300" distR="114300">
          <wp:extent cx="308610" cy="308610"/>
          <wp:effectExtent l="0" t="0" r="21590" b="21590"/>
          <wp:docPr id="3" name="图片 3"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eastAsia="zh-CN"/>
      </w:rPr>
      <w:t>重庆市荣昌区人民政府行政</w:t>
    </w:r>
    <w:r>
      <w:rPr>
        <w:rFonts w:hint="eastAsia" w:ascii="宋体" w:hAnsi="宋体" w:eastAsia="宋体" w:cs="宋体"/>
        <w:b/>
        <w:bCs/>
        <w:color w:val="005192"/>
        <w:sz w:val="32"/>
        <w:szCs w:val="32"/>
        <w:lang w:val="en-US" w:eastAsia="zh-Hans"/>
      </w:rPr>
      <w:t>规范性文件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04A8A2"/>
    <w:multiLevelType w:val="singleLevel"/>
    <w:tmpl w:val="D404A8A2"/>
    <w:lvl w:ilvl="0" w:tentative="0">
      <w:start w:val="1"/>
      <w:numFmt w:val="chineseCounting"/>
      <w:suff w:val="nothing"/>
      <w:lvlText w:val="%1、"/>
      <w:lvlJc w:val="left"/>
      <w:pPr>
        <w:ind w:left="-1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8"/>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9E71BD"/>
    <w:rsid w:val="01E93D58"/>
    <w:rsid w:val="04B679C3"/>
    <w:rsid w:val="05F07036"/>
    <w:rsid w:val="06E00104"/>
    <w:rsid w:val="080F63D8"/>
    <w:rsid w:val="09341458"/>
    <w:rsid w:val="098254C2"/>
    <w:rsid w:val="0A766EDE"/>
    <w:rsid w:val="0AD64BE8"/>
    <w:rsid w:val="0B0912D7"/>
    <w:rsid w:val="0E025194"/>
    <w:rsid w:val="0EEF0855"/>
    <w:rsid w:val="11DB7C71"/>
    <w:rsid w:val="152D2DCA"/>
    <w:rsid w:val="187168EA"/>
    <w:rsid w:val="196673CA"/>
    <w:rsid w:val="1CF734C9"/>
    <w:rsid w:val="1DEC284C"/>
    <w:rsid w:val="1E6523AC"/>
    <w:rsid w:val="22440422"/>
    <w:rsid w:val="22BB4BBB"/>
    <w:rsid w:val="25EB1AF4"/>
    <w:rsid w:val="2DD05FE1"/>
    <w:rsid w:val="2DEB379E"/>
    <w:rsid w:val="2EAE3447"/>
    <w:rsid w:val="31A15F24"/>
    <w:rsid w:val="36FB1DF0"/>
    <w:rsid w:val="395347B5"/>
    <w:rsid w:val="39A232A0"/>
    <w:rsid w:val="39E745AA"/>
    <w:rsid w:val="3B5A6BBB"/>
    <w:rsid w:val="3CA154E3"/>
    <w:rsid w:val="3EDA13A6"/>
    <w:rsid w:val="3FF56C14"/>
    <w:rsid w:val="417B75E9"/>
    <w:rsid w:val="42430A63"/>
    <w:rsid w:val="42EB2991"/>
    <w:rsid w:val="42F058B7"/>
    <w:rsid w:val="436109F6"/>
    <w:rsid w:val="441A38D4"/>
    <w:rsid w:val="4504239D"/>
    <w:rsid w:val="46FF2E2B"/>
    <w:rsid w:val="4BC77339"/>
    <w:rsid w:val="4C9236C5"/>
    <w:rsid w:val="4E250A85"/>
    <w:rsid w:val="4FFD4925"/>
    <w:rsid w:val="505C172E"/>
    <w:rsid w:val="506405EA"/>
    <w:rsid w:val="52F46F0B"/>
    <w:rsid w:val="532B6A10"/>
    <w:rsid w:val="539E4E99"/>
    <w:rsid w:val="53D8014D"/>
    <w:rsid w:val="550C209A"/>
    <w:rsid w:val="555D79E7"/>
    <w:rsid w:val="55E064E0"/>
    <w:rsid w:val="572C6D10"/>
    <w:rsid w:val="5DC34279"/>
    <w:rsid w:val="5FCD688E"/>
    <w:rsid w:val="5FF9BDAA"/>
    <w:rsid w:val="608816D1"/>
    <w:rsid w:val="60EF4E7F"/>
    <w:rsid w:val="63776272"/>
    <w:rsid w:val="648B0A32"/>
    <w:rsid w:val="658F6764"/>
    <w:rsid w:val="665233C1"/>
    <w:rsid w:val="69AC0D42"/>
    <w:rsid w:val="6AD9688B"/>
    <w:rsid w:val="6B68303F"/>
    <w:rsid w:val="6D0E3F22"/>
    <w:rsid w:val="6FD1018C"/>
    <w:rsid w:val="744E4660"/>
    <w:rsid w:val="753355A2"/>
    <w:rsid w:val="759F1C61"/>
    <w:rsid w:val="769F2DE8"/>
    <w:rsid w:val="76FDEB7C"/>
    <w:rsid w:val="79C65162"/>
    <w:rsid w:val="79EE7E31"/>
    <w:rsid w:val="7C9011D9"/>
    <w:rsid w:val="7DC651C5"/>
    <w:rsid w:val="7FCC2834"/>
    <w:rsid w:val="92DD1CEF"/>
    <w:rsid w:val="BD9D1569"/>
    <w:rsid w:val="EBDDA9D0"/>
    <w:rsid w:val="EF772305"/>
    <w:rsid w:val="F05B4F69"/>
    <w:rsid w:val="F6EBCFC4"/>
    <w:rsid w:val="F7F902F6"/>
    <w:rsid w:val="F9372A78"/>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0" w:semiHidden="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rFonts w:eastAsia="方正小标宋_GBK"/>
      <w:bCs/>
      <w:kern w:val="44"/>
      <w:sz w:val="44"/>
      <w:szCs w:val="44"/>
    </w:rPr>
  </w:style>
  <w:style w:type="paragraph" w:styleId="3">
    <w:name w:val="heading 2"/>
    <w:basedOn w:val="1"/>
    <w:next w:val="1"/>
    <w:qFormat/>
    <w:uiPriority w:val="0"/>
    <w:pPr>
      <w:keepNext/>
      <w:keepLines/>
      <w:ind w:firstLine="200" w:firstLineChars="200"/>
      <w:outlineLvl w:val="1"/>
    </w:pPr>
    <w:rPr>
      <w:rFonts w:ascii="Arial" w:hAnsi="Arial" w:eastAsia="方正黑体_GBK"/>
      <w:bCs/>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3">
    <w:name w:val="Default Paragraph Font"/>
    <w:link w:val="14"/>
    <w:semiHidden/>
    <w:qFormat/>
    <w:uiPriority w:val="0"/>
    <w:rPr>
      <w:rFonts w:ascii="Verdana" w:hAnsi="Verdana" w:eastAsia="仿宋_GB2312"/>
      <w:sz w:val="24"/>
      <w:szCs w:val="20"/>
      <w:lang w:eastAsia="en-US"/>
    </w:rPr>
  </w:style>
  <w:style w:type="table" w:default="1" w:styleId="12">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unhideWhenUsed/>
    <w:qFormat/>
    <w:uiPriority w:val="0"/>
    <w:pPr>
      <w:tabs>
        <w:tab w:val="right" w:leader="dot" w:pos="8494"/>
      </w:tabs>
      <w:spacing w:line="400" w:lineRule="exact"/>
    </w:pPr>
    <w:rPr>
      <w:rFonts w:ascii="方正黑体_GBK" w:hAnsi="Calibri" w:eastAsia="方正黑体_GBK"/>
      <w:sz w:val="21"/>
      <w:szCs w:val="32"/>
    </w:rPr>
  </w:style>
  <w:style w:type="paragraph" w:styleId="9">
    <w:name w:val="toc 2"/>
    <w:basedOn w:val="1"/>
    <w:next w:val="1"/>
    <w:unhideWhenUsed/>
    <w:qFormat/>
    <w:uiPriority w:val="0"/>
    <w:pPr>
      <w:ind w:left="420" w:leftChars="200"/>
    </w:pPr>
    <w:rPr>
      <w:rFonts w:ascii="Calibri" w:hAnsi="Calibri" w:eastAsia="宋体"/>
      <w:sz w:val="21"/>
      <w:szCs w:val="22"/>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1">
    <w:name w:val="Title"/>
    <w:basedOn w:val="1"/>
    <w:next w:val="1"/>
    <w:qFormat/>
    <w:uiPriority w:val="0"/>
    <w:pPr>
      <w:spacing w:before="240" w:after="60"/>
      <w:jc w:val="center"/>
      <w:outlineLvl w:val="0"/>
    </w:pPr>
    <w:rPr>
      <w:rFonts w:ascii="Cambria" w:hAnsi="Cambria" w:eastAsia="宋体"/>
      <w:b/>
      <w:bCs/>
      <w:sz w:val="21"/>
      <w:szCs w:val="32"/>
    </w:rPr>
  </w:style>
  <w:style w:type="paragraph" w:customStyle="1" w:styleId="14">
    <w:name w:val="Char Char Char Char Char Char Char"/>
    <w:basedOn w:val="1"/>
    <w:link w:val="13"/>
    <w:qFormat/>
    <w:uiPriority w:val="0"/>
    <w:pPr>
      <w:spacing w:after="160" w:line="240" w:lineRule="exact"/>
    </w:pPr>
    <w:rPr>
      <w:rFonts w:ascii="Verdana" w:hAnsi="Verdana" w:eastAsia="仿宋_GB2312"/>
      <w:sz w:val="24"/>
      <w:szCs w:val="20"/>
      <w:lang w:eastAsia="en-US"/>
    </w:rPr>
  </w:style>
  <w:style w:type="character" w:styleId="15">
    <w:name w:val="Strong"/>
    <w:basedOn w:val="13"/>
    <w:qFormat/>
    <w:uiPriority w:val="0"/>
    <w:rPr>
      <w:b/>
      <w:bCs/>
    </w:rPr>
  </w:style>
  <w:style w:type="character" w:styleId="16">
    <w:name w:val="page number"/>
    <w:basedOn w:val="13"/>
    <w:qFormat/>
    <w:uiPriority w:val="0"/>
  </w:style>
  <w:style w:type="character" w:styleId="17">
    <w:name w:val="Hyperlink"/>
    <w:basedOn w:val="13"/>
    <w:unhideWhenUsed/>
    <w:qFormat/>
    <w:uiPriority w:val="0"/>
    <w:rPr>
      <w:rFonts w:ascii="Verdana" w:hAnsi="Verdana" w:eastAsia="仿宋_GB2312"/>
      <w:color w:val="0000FF"/>
      <w:sz w:val="24"/>
      <w:szCs w:val="20"/>
      <w:u w:val="single"/>
      <w:lang w:eastAsia="en-US"/>
    </w:rPr>
  </w:style>
  <w:style w:type="paragraph" w:customStyle="1" w:styleId="18">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wmf"/><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7882</Words>
  <Characters>9123</Characters>
  <Lines>1</Lines>
  <Paragraphs>1</Paragraphs>
  <TotalTime>9</TotalTime>
  <ScaleCrop>false</ScaleCrop>
  <LinksUpToDate>false</LinksUpToDate>
  <CharactersWithSpaces>9194</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2021-09-12T10:41:00Z</dcterms:created>
  <dc:creator>t</dc:creator>
  <cp:lastModifiedBy>acer02</cp:lastModifiedBy>
  <cp:lastPrinted>2022-06-08T00:09:00Z</cp:lastPrinted>
  <dcterms:modified xsi:type="dcterms:W3CDTF">2025-10-11T09:34:48Z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59D5374B436690FF8FB3E968FB7009ED_43</vt:lpwstr>
  </property>
</Properties>
</file>