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289" w:beforeLines="50"/>
        <w:ind w:left="0" w:leftChars="0" w:firstLine="0" w:firstLineChars="0"/>
        <w:jc w:val="center"/>
        <w:rPr>
          <w:rStyle w:val="25"/>
          <w:rFonts w:hint="eastAsia" w:ascii="宋体" w:hAnsi="宋体"/>
          <w:lang w:eastAsia="zh-CN"/>
        </w:rPr>
      </w:pPr>
      <w:r>
        <w:rPr>
          <w:rFonts w:hint="eastAsia" w:ascii="宋体" w:hAnsi="宋体"/>
        </w:rPr>
        <w:pict>
          <v:shape id="_x0000_s1028" o:spid="_x0000_s1028" o:spt="202" type="#_x0000_t202" style="position:absolute;left:0pt;margin-left:0pt;margin-top:86.15pt;height:69.75pt;width:439.35pt;mso-position-vertical-relative:page;z-index:251659264;mso-width-relative:page;mso-height-relative:page;" stroked="f" coordsize="21600,21600">
            <v:path/>
            <v:fill focussize="0,0"/>
            <v:stroke on="f"/>
            <v:imagedata o:title=""/>
            <o:lock v:ext="edit"/>
            <v:textbox inset="1.5mm,0.3mm,1.5mm,0.3mm">
              <w:txbxContent>
                <w:p>
                  <w:pPr>
                    <w:snapToGrid w:val="0"/>
                    <w:spacing w:line="1380" w:lineRule="exact"/>
                    <w:ind w:left="0" w:leftChars="0" w:firstLine="0" w:firstLineChars="0"/>
                    <w:jc w:val="distribute"/>
                    <w:rPr>
                      <w:color w:val="FF0000"/>
                      <w:szCs w:val="110"/>
                    </w:rPr>
                  </w:pPr>
                  <w:r>
                    <w:rPr>
                      <w:rFonts w:hint="eastAsia" w:eastAsia="方正小标宋_GBK"/>
                      <w:b/>
                      <w:color w:val="FF0000"/>
                      <w:w w:val="54"/>
                      <w:sz w:val="122"/>
                      <w:szCs w:val="122"/>
                    </w:rPr>
                    <w:t>重庆市荣昌区人民政府</w:t>
                  </w:r>
                </w:p>
              </w:txbxContent>
            </v:textbox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60"/>
        <w:jc w:val="right"/>
        <w:textAlignment w:val="auto"/>
        <w:rPr>
          <w:rFonts w:hint="eastAsia" w:ascii="宋体" w:hAnsi="宋体" w:eastAsia="方正仿宋_GBK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eastAsia" w:ascii="宋体" w:hAnsi="宋体"/>
          <w:b/>
          <w:bCs/>
          <w:szCs w:val="32"/>
        </w:rPr>
      </w:pPr>
      <w:r>
        <w:rPr>
          <w:rFonts w:hint="eastAsia" w:ascii="宋体" w:hAnsi="宋体" w:eastAsia="方正仿宋_GBK"/>
          <w:sz w:val="32"/>
        </w:rPr>
        <w:t>荣昌府</w:t>
      </w:r>
      <w:r>
        <w:rPr>
          <w:rFonts w:hint="eastAsia" w:ascii="宋体" w:hAnsi="宋体"/>
          <w:sz w:val="32"/>
          <w:lang w:eastAsia="zh-CN"/>
        </w:rPr>
        <w:t>函</w:t>
      </w:r>
      <w:r>
        <w:rPr>
          <w:rFonts w:hint="eastAsia" w:ascii="宋体" w:hAnsi="宋体" w:eastAsia="方正仿宋_GBK"/>
          <w:sz w:val="32"/>
        </w:rPr>
        <w:t>〔202</w:t>
      </w:r>
      <w:r>
        <w:rPr>
          <w:rFonts w:hint="eastAsia" w:ascii="宋体" w:hAnsi="宋体" w:eastAsia="方正仿宋_GBK"/>
          <w:sz w:val="32"/>
          <w:lang w:val="en-US" w:eastAsia="zh-CN"/>
        </w:rPr>
        <w:t>2</w:t>
      </w:r>
      <w:r>
        <w:rPr>
          <w:rFonts w:hint="eastAsia" w:ascii="宋体" w:hAnsi="宋体" w:eastAsia="方正仿宋_GBK"/>
          <w:sz w:val="32"/>
        </w:rPr>
        <w:t>〕</w:t>
      </w:r>
      <w:r>
        <w:rPr>
          <w:rFonts w:hint="eastAsia" w:ascii="宋体" w:hAnsi="宋体"/>
          <w:sz w:val="32"/>
          <w:lang w:val="en-US" w:eastAsia="zh-CN"/>
        </w:rPr>
        <w:t>205</w:t>
      </w:r>
      <w:r>
        <w:rPr>
          <w:rFonts w:hint="eastAsia" w:ascii="宋体" w:hAnsi="宋体" w:eastAsia="方正仿宋_GBK"/>
          <w:sz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宋体" w:hAnsi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宋体" w:hAnsi="宋体"/>
        </w:rPr>
      </w:pPr>
      <w:r>
        <w:rPr>
          <w:rFonts w:hint="eastAsia" w:ascii="宋体" w:hAnsi="宋体"/>
        </w:rPr>
        <w:pict>
          <v:line id="_x0000_s1029" o:spid="_x0000_s1029" o:spt="20" style="position:absolute;left:0pt;margin-left:-19.85pt;margin-top:165.4pt;height:0pt;width:481.9pt;mso-position-horizontal-relative:margin;mso-position-vertical-relative:page;z-index:251660288;mso-width-relative:page;mso-height-relative:page;" filled="f" stroked="t" coordsize="21600,21600">
            <v:path arrowok="t"/>
            <v:fill on="f" focussize="0,0"/>
            <v:stroke weight="6pt" color="#FF0000" linestyle="thickThin"/>
            <v:imagedata o:title=""/>
            <o:lock v:ext="edit"/>
          </v:lin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20" w:lineRule="atLeast"/>
        <w:ind w:left="0" w:leftChars="0" w:firstLine="0" w:firstLineChars="0"/>
        <w:jc w:val="center"/>
        <w:textAlignment w:val="auto"/>
        <w:rPr>
          <w:rFonts w:hint="eastAsia" w:ascii="宋体" w:hAnsi="宋体" w:eastAsia="方正小标宋_GBK" w:cs="方正小标宋_GBK"/>
          <w:sz w:val="44"/>
          <w:szCs w:val="44"/>
          <w:lang w:eastAsia="zh-CN"/>
        </w:rPr>
      </w:pPr>
      <w:r>
        <w:rPr>
          <w:rFonts w:hint="eastAsia" w:ascii="宋体" w:hAnsi="宋体" w:eastAsia="方正小标宋_GBK" w:cs="方正小标宋_GBK"/>
          <w:sz w:val="44"/>
          <w:szCs w:val="44"/>
          <w:lang w:eastAsia="zh-CN"/>
        </w:rPr>
        <w:t>重庆市荣昌区人民政府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20" w:lineRule="atLeast"/>
        <w:ind w:left="0" w:leftChars="0" w:firstLine="0" w:firstLineChars="0"/>
        <w:jc w:val="center"/>
        <w:textAlignment w:val="auto"/>
        <w:rPr>
          <w:rFonts w:hint="eastAsia" w:ascii="宋体" w:hAnsi="宋体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宋体" w:hAnsi="宋体" w:eastAsia="方正小标宋_GBK" w:cs="方正小标宋_GBK"/>
          <w:sz w:val="44"/>
          <w:szCs w:val="44"/>
          <w:lang w:eastAsia="zh-CN"/>
        </w:rPr>
        <w:t>关于报送</w:t>
      </w:r>
      <w:r>
        <w:rPr>
          <w:rFonts w:hint="eastAsia" w:ascii="宋体" w:hAnsi="宋体" w:eastAsia="方正小标宋_GBK" w:cs="方正小标宋_GBK"/>
          <w:sz w:val="44"/>
          <w:szCs w:val="44"/>
          <w:lang w:val="en-US" w:eastAsia="zh-CN"/>
        </w:rPr>
        <w:t>2023—2025年</w:t>
      </w:r>
      <w:r>
        <w:rPr>
          <w:rFonts w:hint="eastAsia" w:ascii="宋体" w:hAnsi="宋体"/>
        </w:rPr>
        <w:pict>
          <v:line id="_x0000_s1031" o:spid="_x0000_s1031" o:spt="20" style="position:absolute;left:0pt;margin-left:57pt;margin-top:783.4pt;height:0pt;width:481.9pt;mso-position-horizontal-relative:page;mso-position-vertical-relative:page;z-index:251662336;mso-width-relative:page;mso-height-relative:page;" filled="f" stroked="t" coordsize="21600,21600">
            <v:path arrowok="t"/>
            <v:fill on="f" focussize="0,0"/>
            <v:stroke weight="5.75pt" color="#FF0000" linestyle="thinThick"/>
            <v:imagedata o:title=""/>
            <o:lock v:ext="edit"/>
          </v:line>
        </w:pict>
      </w:r>
      <w:r>
        <w:rPr>
          <w:rFonts w:hint="eastAsia" w:ascii="宋体" w:hAnsi="宋体" w:eastAsia="方正小标宋_GBK" w:cs="方正小标宋_GBK"/>
          <w:sz w:val="44"/>
          <w:szCs w:val="44"/>
          <w:lang w:val="en-US" w:eastAsia="zh-CN"/>
        </w:rPr>
        <w:t>市级文化产业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20" w:lineRule="atLeast"/>
        <w:ind w:left="0" w:leftChars="0" w:firstLine="0" w:firstLineChars="0"/>
        <w:jc w:val="center"/>
        <w:textAlignment w:val="auto"/>
        <w:rPr>
          <w:rFonts w:hint="eastAsia" w:ascii="宋体" w:hAnsi="宋体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宋体" w:hAnsi="宋体" w:eastAsia="方正小标宋_GBK" w:cs="方正小标宋_GBK"/>
          <w:sz w:val="44"/>
          <w:szCs w:val="44"/>
          <w:lang w:val="en-US" w:eastAsia="zh-CN"/>
        </w:rPr>
        <w:t>和旅游产业重点项目的函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left"/>
        <w:textAlignment w:val="auto"/>
        <w:rPr>
          <w:rFonts w:hint="eastAsia" w:ascii="宋体" w:hAnsi="宋体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left"/>
        <w:textAlignment w:val="auto"/>
        <w:rPr>
          <w:rFonts w:hint="eastAsia" w:ascii="宋体" w:hAnsi="宋体" w:eastAsia="方正仿宋_GBK" w:cs="方正仿宋_GBK"/>
          <w:lang w:val="en-US" w:eastAsia="zh-CN"/>
        </w:rPr>
      </w:pPr>
      <w:r>
        <w:rPr>
          <w:rFonts w:hint="eastAsia" w:ascii="宋体" w:hAnsi="宋体" w:eastAsia="方正仿宋_GBK" w:cs="方正仿宋_GBK"/>
          <w:lang w:val="en-US" w:eastAsia="zh-CN"/>
        </w:rPr>
        <w:t>市</w:t>
      </w:r>
      <w:r>
        <w:rPr>
          <w:rFonts w:hint="eastAsia" w:ascii="宋体" w:hAnsi="宋体" w:cs="方正仿宋_GBK"/>
          <w:lang w:val="en-US" w:eastAsia="zh-CN"/>
        </w:rPr>
        <w:t>旅游经济发展领导小组办公室</w:t>
      </w:r>
      <w:r>
        <w:rPr>
          <w:rFonts w:hint="eastAsia" w:ascii="宋体" w:hAnsi="宋体" w:eastAsia="方正仿宋_GBK" w:cs="方正仿宋_GBK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宋体" w:hAnsi="宋体" w:cs="方正仿宋_GBK"/>
          <w:lang w:val="en-US" w:eastAsia="zh-CN"/>
        </w:rPr>
      </w:pPr>
      <w:r>
        <w:rPr>
          <w:rFonts w:hint="eastAsia" w:ascii="宋体" w:hAnsi="宋体" w:eastAsia="方正仿宋_GBK" w:cs="方正仿宋_GBK"/>
          <w:lang w:val="en-US" w:eastAsia="zh-CN"/>
        </w:rPr>
        <w:t>《关于报送2023</w:t>
      </w:r>
      <w:r>
        <w:rPr>
          <w:rFonts w:hint="eastAsia" w:cs="方正仿宋_GBK"/>
          <w:lang w:val="en-US" w:eastAsia="zh-CN"/>
        </w:rPr>
        <w:t>—</w:t>
      </w:r>
      <w:r>
        <w:rPr>
          <w:rFonts w:hint="eastAsia" w:ascii="宋体" w:hAnsi="宋体" w:eastAsia="方正仿宋_GBK" w:cs="方正仿宋_GBK"/>
          <w:lang w:val="en-US" w:eastAsia="zh-CN"/>
        </w:rPr>
        <w:t>2025年市级文化产业和旅游产业重点项目的通知》（渝旅经办〔2022〕18号）</w:t>
      </w:r>
      <w:r>
        <w:rPr>
          <w:rFonts w:hint="eastAsia" w:ascii="宋体" w:hAnsi="宋体" w:cs="方正仿宋_GBK"/>
          <w:lang w:val="en-US" w:eastAsia="zh-CN"/>
        </w:rPr>
        <w:t>已收悉，我区高度重视此次重点项目报送工作。根据文件要求，我区结合文化旅游实际情况，推荐报送瓷窑里遗址公园、安陶小镇创建国家AAAA级旅游景区、中国·西部陶瓷之都（荣昌陶）展示交易中心、重庆体育产业园、中国廉城共5个项目纳入2023-2025年市级文化产业和旅游产业重点项目，其中，瓷窑里遗址公园项目、安陶小镇创建国家AAAA级旅游景区项目和中国·西部陶瓷之都（荣昌陶）展示交易中心项目为重点推荐项目，特此函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left"/>
        <w:textAlignment w:val="auto"/>
        <w:rPr>
          <w:rFonts w:hint="eastAsia" w:ascii="宋体" w:hAnsi="宋体" w:cs="方正仿宋_GBK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left"/>
        <w:textAlignment w:val="auto"/>
        <w:rPr>
          <w:rFonts w:hint="eastAsia" w:ascii="宋体" w:hAnsi="宋体" w:cs="方正仿宋_GBK"/>
          <w:lang w:val="en-US" w:eastAsia="zh-CN"/>
        </w:rPr>
      </w:pPr>
      <w:r>
        <w:rPr>
          <w:rFonts w:hint="eastAsia" w:ascii="宋体" w:hAnsi="宋体" w:cs="方正仿宋_GBK"/>
          <w:lang w:val="en-US" w:eastAsia="zh-CN"/>
        </w:rPr>
        <w:t>附件：1</w:t>
      </w:r>
      <w:r>
        <w:rPr>
          <w:rFonts w:hint="eastAsia" w:ascii="宋体" w:hAnsi="宋体" w:eastAsia="宋体" w:cs="宋体"/>
          <w:lang w:val="en-US" w:eastAsia="zh-CN"/>
        </w:rPr>
        <w:t>．</w:t>
      </w:r>
      <w:r>
        <w:rPr>
          <w:rFonts w:hint="eastAsia" w:ascii="宋体" w:hAnsi="宋体" w:cs="方正仿宋_GBK"/>
          <w:lang w:val="en-US" w:eastAsia="zh-CN"/>
        </w:rPr>
        <w:t>2023</w:t>
      </w:r>
      <w:r>
        <w:rPr>
          <w:rFonts w:hint="eastAsia" w:cs="方正仿宋_GBK"/>
          <w:lang w:val="en-US" w:eastAsia="zh-CN"/>
        </w:rPr>
        <w:t>—</w:t>
      </w:r>
      <w:r>
        <w:rPr>
          <w:rFonts w:hint="eastAsia" w:ascii="宋体" w:hAnsi="宋体" w:cs="方正仿宋_GBK"/>
          <w:lang w:val="en-US" w:eastAsia="zh-CN"/>
        </w:rPr>
        <w:t>2025年市级文化产业和旅游产业重点项目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2000" w:firstLineChars="625"/>
        <w:jc w:val="left"/>
        <w:textAlignment w:val="auto"/>
        <w:rPr>
          <w:rFonts w:hint="eastAsia" w:ascii="宋体" w:hAnsi="宋体" w:eastAsia="方正黑体_GBK"/>
          <w:szCs w:val="32"/>
        </w:rPr>
      </w:pPr>
      <w:r>
        <w:rPr>
          <w:rFonts w:hint="eastAsia" w:ascii="宋体" w:hAnsi="宋体" w:cs="方正仿宋_GBK"/>
          <w:lang w:val="en-US" w:eastAsia="zh-CN"/>
        </w:rPr>
        <w:t>推荐汇总表</w:t>
      </w:r>
    </w:p>
    <w:p>
      <w:pPr>
        <w:tabs>
          <w:tab w:val="left" w:pos="4800"/>
        </w:tabs>
        <w:rPr>
          <w:rFonts w:hint="eastAsia" w:ascii="宋体" w:hAnsi="宋体" w:eastAsia="方正黑体_GBK"/>
          <w:szCs w:val="32"/>
        </w:rPr>
        <w:sectPr>
          <w:headerReference r:id="rId5" w:type="default"/>
          <w:headerReference r:id="rId6" w:type="even"/>
          <w:footerReference r:id="rId7" w:type="even"/>
          <w:pgSz w:w="11906" w:h="16838"/>
          <w:pgMar w:top="2098" w:right="1531" w:bottom="1304" w:left="1531" w:header="851" w:footer="113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579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left"/>
        <w:textAlignment w:val="auto"/>
        <w:rPr>
          <w:rFonts w:hint="default" w:ascii="宋体" w:hAnsi="宋体" w:cs="方正仿宋_GBK"/>
          <w:lang w:val="en-US" w:eastAsia="zh-CN"/>
        </w:rPr>
      </w:pPr>
      <w:r>
        <w:rPr>
          <w:rFonts w:hint="eastAsia" w:ascii="宋体" w:hAnsi="宋体" w:cs="方正仿宋_GBK"/>
          <w:lang w:val="en-US" w:eastAsia="zh-CN"/>
        </w:rPr>
        <w:t xml:space="preserve">      2</w:t>
      </w:r>
      <w:r>
        <w:rPr>
          <w:rFonts w:hint="eastAsia" w:ascii="宋体" w:hAnsi="宋体" w:eastAsia="宋体" w:cs="宋体"/>
          <w:lang w:val="en-US" w:eastAsia="zh-CN"/>
        </w:rPr>
        <w:t>．</w:t>
      </w:r>
      <w:r>
        <w:rPr>
          <w:rFonts w:hint="eastAsia" w:ascii="宋体" w:hAnsi="宋体" w:cs="方正仿宋_GBK"/>
          <w:lang w:val="en-US" w:eastAsia="zh-CN"/>
        </w:rPr>
        <w:t>市级文化产业和旅游产业重点项目联络人员名单</w:t>
      </w:r>
    </w:p>
    <w:p>
      <w:pPr>
        <w:keepNext w:val="0"/>
        <w:keepLines w:val="0"/>
        <w:pageBreakBefore w:val="0"/>
        <w:widowControl w:val="0"/>
        <w:tabs>
          <w:tab w:val="left" w:pos="48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宋体" w:hAnsi="宋体" w:eastAsia="方正黑体_GBK"/>
          <w:szCs w:val="32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tabs>
          <w:tab w:val="left" w:pos="48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宋体" w:hAnsi="宋体" w:eastAsia="方正黑体_GBK"/>
          <w:szCs w:val="32"/>
        </w:rPr>
      </w:pPr>
    </w:p>
    <w:p>
      <w:pPr>
        <w:wordWrap w:val="0"/>
        <w:spacing w:line="560" w:lineRule="exact"/>
        <w:ind w:firstLine="960" w:firstLineChars="300"/>
        <w:jc w:val="right"/>
        <w:rPr>
          <w:rFonts w:hint="eastAsia" w:ascii="宋体" w:hAnsi="宋体" w:eastAsia="方正仿宋_GBK" w:cs="仿宋"/>
          <w:szCs w:val="32"/>
          <w:lang w:val="en-US" w:eastAsia="zh-CN"/>
        </w:rPr>
      </w:pPr>
      <w:r>
        <w:rPr>
          <w:rFonts w:hint="eastAsia" w:ascii="宋体" w:hAnsi="宋体" w:eastAsia="仿宋" w:cs="仿宋"/>
          <w:szCs w:val="32"/>
        </w:rPr>
        <w:t xml:space="preserve">   </w:t>
      </w:r>
      <w:r>
        <w:rPr>
          <w:rFonts w:hint="eastAsia" w:ascii="宋体" w:hAnsi="宋体" w:eastAsia="方正仿宋_GBK" w:cs="仿宋"/>
          <w:szCs w:val="32"/>
        </w:rPr>
        <w:t xml:space="preserve">             重庆市荣昌区人民政府办公室  </w:t>
      </w:r>
      <w:r>
        <w:rPr>
          <w:rFonts w:hint="eastAsia" w:ascii="宋体" w:hAnsi="宋体" w:cs="仿宋"/>
          <w:szCs w:val="32"/>
          <w:lang w:val="en-US" w:eastAsia="zh-CN"/>
        </w:rPr>
        <w:t xml:space="preserve"> </w:t>
      </w:r>
    </w:p>
    <w:p>
      <w:pPr>
        <w:wordWrap w:val="0"/>
        <w:spacing w:line="560" w:lineRule="exact"/>
        <w:jc w:val="right"/>
        <w:rPr>
          <w:rFonts w:hint="eastAsia" w:ascii="宋体" w:hAnsi="宋体" w:eastAsia="方正仿宋_GBK" w:cs="仿宋"/>
          <w:szCs w:val="32"/>
        </w:rPr>
      </w:pPr>
      <w:r>
        <w:rPr>
          <w:rFonts w:hint="eastAsia" w:ascii="宋体" w:hAnsi="宋体" w:eastAsia="方正仿宋_GBK"/>
          <w:szCs w:val="32"/>
        </w:rPr>
        <w:t xml:space="preserve">  </w:t>
      </w:r>
      <w:r>
        <w:rPr>
          <w:rFonts w:hint="eastAsia" w:ascii="宋体" w:hAnsi="宋体" w:eastAsia="方正仿宋_GBK"/>
          <w:szCs w:val="32"/>
          <w:lang w:eastAsia="zh-CN"/>
        </w:rPr>
        <w:t>2022</w:t>
      </w:r>
      <w:r>
        <w:rPr>
          <w:rFonts w:hint="eastAsia" w:ascii="宋体" w:hAnsi="宋体" w:eastAsia="方正仿宋_GBK" w:cs="仿宋"/>
          <w:szCs w:val="32"/>
        </w:rPr>
        <w:t>年</w:t>
      </w:r>
      <w:r>
        <w:rPr>
          <w:rFonts w:hint="eastAsia" w:ascii="宋体" w:hAnsi="宋体" w:cs="仿宋"/>
          <w:szCs w:val="32"/>
          <w:lang w:val="en-US" w:eastAsia="zh-CN"/>
        </w:rPr>
        <w:t>11</w:t>
      </w:r>
      <w:r>
        <w:rPr>
          <w:rFonts w:hint="eastAsia" w:ascii="宋体" w:hAnsi="宋体" w:eastAsia="方正仿宋_GBK" w:cs="仿宋"/>
          <w:szCs w:val="32"/>
        </w:rPr>
        <w:t>月</w:t>
      </w:r>
      <w:r>
        <w:rPr>
          <w:rFonts w:hint="eastAsia" w:ascii="宋体" w:hAnsi="宋体" w:cs="仿宋"/>
          <w:szCs w:val="32"/>
          <w:lang w:val="en-US" w:eastAsia="zh-CN"/>
        </w:rPr>
        <w:t>11</w:t>
      </w:r>
      <w:r>
        <w:rPr>
          <w:rFonts w:hint="eastAsia" w:ascii="宋体" w:hAnsi="宋体" w:eastAsia="方正仿宋_GBK" w:cs="仿宋"/>
          <w:szCs w:val="32"/>
        </w:rPr>
        <w:t xml:space="preserve">日        </w:t>
      </w:r>
    </w:p>
    <w:p>
      <w:pPr>
        <w:tabs>
          <w:tab w:val="left" w:pos="4800"/>
        </w:tabs>
        <w:rPr>
          <w:rFonts w:hint="eastAsia" w:ascii="宋体" w:hAnsi="宋体" w:eastAsia="方正仿宋_GBK" w:cs="方正仿宋_GBK"/>
          <w:color w:val="000000"/>
          <w:kern w:val="0"/>
          <w:szCs w:val="32"/>
          <w:shd w:val="clear" w:color="auto" w:fill="FFFFFF"/>
          <w:lang w:bidi="ar"/>
        </w:rPr>
        <w:sectPr>
          <w:headerReference r:id="rId8" w:type="default"/>
          <w:footerReference r:id="rId9" w:type="default"/>
          <w:footerReference r:id="rId10" w:type="even"/>
          <w:pgSz w:w="11906" w:h="16838"/>
          <w:pgMar w:top="2098" w:right="1531" w:bottom="1984" w:left="1531" w:header="851" w:footer="147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720" w:num="1"/>
          <w:rtlGutter w:val="0"/>
          <w:docGrid w:type="lines" w:linePitch="579" w:charSpace="0"/>
        </w:sectPr>
      </w:pPr>
    </w:p>
    <w:p>
      <w:pPr>
        <w:ind w:left="0" w:leftChars="0" w:firstLine="0" w:firstLineChars="0"/>
        <w:rPr>
          <w:rFonts w:hint="eastAsia" w:ascii="宋体" w:hAnsi="宋体" w:eastAsia="方正黑体_GBK" w:cs="方正黑体_GBK"/>
          <w:lang w:val="en-US" w:eastAsia="zh-CN"/>
        </w:rPr>
      </w:pPr>
      <w:r>
        <w:rPr>
          <w:rFonts w:hint="eastAsia" w:ascii="宋体" w:hAnsi="宋体" w:eastAsia="方正黑体_GBK" w:cs="方正黑体_GBK"/>
          <w:lang w:eastAsia="zh-CN"/>
        </w:rPr>
        <w:t>附件</w:t>
      </w:r>
      <w:r>
        <w:rPr>
          <w:rFonts w:hint="eastAsia" w:ascii="宋体" w:hAnsi="宋体" w:eastAsia="方正黑体_GBK" w:cs="方正黑体_GBK"/>
          <w:lang w:val="en-US" w:eastAsia="zh-CN"/>
        </w:rPr>
        <w:t>1</w:t>
      </w:r>
    </w:p>
    <w:p>
      <w:pPr>
        <w:ind w:left="0" w:leftChars="0" w:firstLine="0" w:firstLineChars="0"/>
        <w:jc w:val="center"/>
        <w:rPr>
          <w:rFonts w:hint="eastAsia" w:ascii="宋体" w:hAnsi="宋体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宋体" w:hAnsi="宋体" w:eastAsia="方正小标宋_GBK" w:cs="方正小标宋_GBK"/>
          <w:sz w:val="36"/>
          <w:szCs w:val="36"/>
          <w:lang w:val="en-US" w:eastAsia="zh-CN"/>
        </w:rPr>
        <w:t>2023</w:t>
      </w:r>
      <w:r>
        <w:rPr>
          <w:rFonts w:hint="eastAsia" w:eastAsia="方正小标宋_GBK" w:cs="方正小标宋_GBK"/>
          <w:sz w:val="36"/>
          <w:szCs w:val="36"/>
          <w:lang w:val="en-US" w:eastAsia="zh-CN"/>
        </w:rPr>
        <w:t>—</w:t>
      </w:r>
      <w:r>
        <w:rPr>
          <w:rFonts w:hint="eastAsia" w:ascii="宋体" w:hAnsi="宋体" w:eastAsia="方正小标宋_GBK" w:cs="方正小标宋_GBK"/>
          <w:sz w:val="36"/>
          <w:szCs w:val="36"/>
          <w:lang w:val="en-US" w:eastAsia="zh-CN"/>
        </w:rPr>
        <w:t>2025年市级文化产业和旅游产业重点项目推荐汇总表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92" w:beforeLines="50"/>
        <w:ind w:left="0" w:leftChars="0" w:right="0" w:rightChars="0" w:firstLine="0" w:firstLineChars="0"/>
        <w:jc w:val="center"/>
        <w:textAlignment w:val="auto"/>
        <w:rPr>
          <w:rFonts w:hint="eastAsia" w:ascii="宋体" w:hAnsi="宋体" w:eastAsia="方正仿宋_GBK" w:cs="方正仿宋_GBK"/>
          <w:sz w:val="28"/>
          <w:szCs w:val="28"/>
          <w:lang w:val="en-US" w:eastAsia="zh-CN"/>
        </w:rPr>
      </w:pPr>
      <w:r>
        <w:rPr>
          <w:rFonts w:hint="eastAsia" w:ascii="宋体" w:hAnsi="宋体" w:eastAsia="方正仿宋_GBK" w:cs="方正仿宋_GBK"/>
          <w:sz w:val="28"/>
          <w:szCs w:val="28"/>
          <w:lang w:val="en-US" w:eastAsia="zh-CN"/>
        </w:rPr>
        <w:t>填报单位：重庆市荣昌区文化和旅游发展委员会  联系人：蒋坤兰</w:t>
      </w:r>
      <w:r>
        <w:rPr>
          <w:rFonts w:hint="eastAsia" w:ascii="宋体" w:hAnsi="宋体" w:cs="方正仿宋_GBK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方正仿宋_GBK" w:cs="方正仿宋_GBK"/>
          <w:sz w:val="28"/>
          <w:szCs w:val="28"/>
          <w:lang w:val="en-US" w:eastAsia="zh-CN"/>
        </w:rPr>
        <w:t>联系方式：19122735721；61471969</w:t>
      </w:r>
    </w:p>
    <w:tbl>
      <w:tblPr>
        <w:tblStyle w:val="16"/>
        <w:tblW w:w="1279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dotted" w:color="000000" w:sz="4" w:space="0"/>
          <w:insideV w:val="dotted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1"/>
        <w:gridCol w:w="598"/>
        <w:gridCol w:w="983"/>
        <w:gridCol w:w="733"/>
        <w:gridCol w:w="834"/>
        <w:gridCol w:w="550"/>
        <w:gridCol w:w="5233"/>
        <w:gridCol w:w="817"/>
        <w:gridCol w:w="683"/>
        <w:gridCol w:w="983"/>
        <w:gridCol w:w="9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tted" w:color="000000" w:sz="4" w:space="0"/>
            <w:insideV w:val="dotted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41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方正黑体_GBK" w:cs="方正黑体_GBK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黑体_GBK" w:cs="方正黑体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方正黑体_GBK" w:cs="方正黑体_GBK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黑体_GBK" w:cs="方正黑体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项目所在区县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方正黑体_GBK" w:cs="方正黑体_GBK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黑体_GBK" w:cs="方正黑体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方正黑体_GBK" w:cs="方正黑体_GBK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黑体_GBK" w:cs="方正黑体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投资企业名称</w:t>
            </w:r>
          </w:p>
        </w:tc>
        <w:tc>
          <w:tcPr>
            <w:tcW w:w="83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方正黑体_GBK" w:cs="方正黑体_GBK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黑体_GBK" w:cs="方正黑体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项目建设起止时间</w:t>
            </w:r>
          </w:p>
        </w:tc>
        <w:tc>
          <w:tcPr>
            <w:tcW w:w="5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方正黑体_GBK" w:cs="方正黑体_GBK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黑体_GBK" w:cs="方正黑体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所处建设阶段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方正黑体_GBK" w:cs="方正黑体_GBK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黑体_GBK" w:cs="方正黑体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主要建设内容及规模</w:t>
            </w: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方正黑体_GBK" w:cs="方正黑体_GBK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黑体_GBK" w:cs="方正黑体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项目总投资（亿元）</w:t>
            </w:r>
          </w:p>
        </w:tc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方正黑体_GBK" w:cs="方正黑体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黑体_GBK" w:cs="方正黑体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方正黑体_GBK" w:cs="方正黑体_GBK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黑体_GBK" w:cs="方正黑体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类别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方正黑体_GBK" w:cs="方正黑体_GBK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黑体_GBK" w:cs="方正黑体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是否愿意纳入联合招商项目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方正黑体_GBK" w:cs="方正黑体_GBK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黑体_GBK" w:cs="方正黑体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备注（★为重点推荐项目）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tted" w:color="000000" w:sz="4" w:space="0"/>
            <w:insideV w:val="dotted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0" w:hRule="atLeast"/>
        </w:trPr>
        <w:tc>
          <w:tcPr>
            <w:tcW w:w="41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荣昌</w:t>
            </w:r>
            <w:r>
              <w:rPr>
                <w:rStyle w:val="26"/>
                <w:rFonts w:hint="eastAsia" w:ascii="宋体" w:hAnsi="宋体" w:eastAsia="方正仿宋_GBK" w:cs="方正仿宋_GBK"/>
                <w:color w:val="auto"/>
                <w:sz w:val="21"/>
                <w:szCs w:val="21"/>
                <w:lang w:val="en-US" w:eastAsia="zh-CN" w:bidi="ar"/>
              </w:rPr>
              <w:t>区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瓷窑里遗址公园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万灵山公司</w:t>
            </w:r>
          </w:p>
        </w:tc>
        <w:tc>
          <w:tcPr>
            <w:tcW w:w="83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</w:t>
            </w:r>
            <w:r>
              <w:rPr>
                <w:rFonts w:hint="eastAsia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  <w:r>
              <w:rPr>
                <w:rFonts w:hint="eastAsia" w:ascii="宋体" w:hAnsi="宋体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2035</w:t>
            </w:r>
          </w:p>
        </w:tc>
        <w:tc>
          <w:tcPr>
            <w:tcW w:w="5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策划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新建</w:t>
            </w:r>
            <w:r>
              <w:rPr>
                <w:rStyle w:val="26"/>
                <w:rFonts w:hint="eastAsia" w:ascii="宋体" w:hAnsi="宋体" w:eastAsia="方正仿宋_GBK" w:cs="方正仿宋_GBK"/>
                <w:color w:val="auto"/>
                <w:sz w:val="21"/>
                <w:szCs w:val="21"/>
                <w:lang w:val="en-US" w:eastAsia="zh-CN" w:bidi="ar"/>
              </w:rPr>
              <w:t>约300亩，保护性开发宋代昌州窑遗址2平方公里（挖掘荣昌陶历史起源、古窑技术、制陶工艺与流程等特色文化，多维度立体还原与展示荣昌陶的兴起与发展、特色工艺等）。开发遗址1－2处，新建博物馆2万平方米，建设景区道路2－4条，并配套延伸产业。</w:t>
            </w: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城镇文化和旅游综合体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★</w:t>
            </w:r>
            <w:r>
              <w:rPr>
                <w:rFonts w:hint="eastAsia" w:ascii="宋体" w:hAnsi="宋体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tted" w:color="000000" w:sz="4" w:space="0"/>
            <w:insideV w:val="dotted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8" w:hRule="atLeast"/>
        </w:trPr>
        <w:tc>
          <w:tcPr>
            <w:tcW w:w="41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荣昌区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安陶小镇</w:t>
            </w:r>
            <w:r>
              <w:rPr>
                <w:rFonts w:hint="eastAsia" w:ascii="宋体" w:hAnsi="宋体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创建</w:t>
            </w:r>
            <w:r>
              <w:rPr>
                <w:rFonts w:hint="eastAsia" w:ascii="宋体" w:hAnsi="宋体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国家AAAA级旅游景区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万灵山公司</w:t>
            </w:r>
          </w:p>
        </w:tc>
        <w:tc>
          <w:tcPr>
            <w:tcW w:w="83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</w:t>
            </w:r>
            <w:r>
              <w:rPr>
                <w:rFonts w:hint="eastAsia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—</w:t>
            </w:r>
            <w:r>
              <w:rPr>
                <w:rFonts w:hint="eastAsia" w:ascii="宋体" w:hAnsi="宋体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2025</w:t>
            </w:r>
          </w:p>
        </w:tc>
        <w:tc>
          <w:tcPr>
            <w:tcW w:w="5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策划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按照国家标准实施景区内部道路（特色景观步道）、陶文化主题体验馆、特色民宿（客栈）、陶文化特色综合休闲区、景区景点提升打造、智慧旅游体系等相关配套设施建设</w:t>
            </w:r>
            <w:r>
              <w:rPr>
                <w:rFonts w:hint="eastAsia" w:ascii="宋体" w:hAnsi="宋体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0.2</w:t>
            </w:r>
          </w:p>
        </w:tc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旅游景区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tted" w:color="000000" w:sz="4" w:space="0"/>
            <w:insideV w:val="dotted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3" w:hRule="atLeast"/>
        </w:trPr>
        <w:tc>
          <w:tcPr>
            <w:tcW w:w="41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荣昌区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中国·西部陶瓷之都（荣昌陶）展示交易中心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万灵山公司</w:t>
            </w:r>
          </w:p>
        </w:tc>
        <w:tc>
          <w:tcPr>
            <w:tcW w:w="83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</w:t>
            </w:r>
            <w:r>
              <w:rPr>
                <w:rFonts w:hint="eastAsia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—</w:t>
            </w:r>
            <w:r>
              <w:rPr>
                <w:rFonts w:hint="eastAsia" w:ascii="宋体" w:hAnsi="宋体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</w:t>
            </w:r>
          </w:p>
        </w:tc>
        <w:tc>
          <w:tcPr>
            <w:tcW w:w="5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策划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该项目位于荣昌区安富街道，占地50亩，主要为陶博物馆建设，新建面积1.2万平方米</w:t>
            </w:r>
            <w:r>
              <w:rPr>
                <w:rFonts w:hint="eastAsia" w:ascii="宋体" w:hAnsi="宋体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2.5</w:t>
            </w:r>
          </w:p>
        </w:tc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旅游景区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 w:hRule="atLeast"/>
        </w:trPr>
        <w:tc>
          <w:tcPr>
            <w:tcW w:w="41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方正仿宋_GBK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方正仿宋_GBK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荣昌</w:t>
            </w:r>
            <w:r>
              <w:rPr>
                <w:rStyle w:val="26"/>
                <w:rFonts w:hint="eastAsia" w:ascii="宋体" w:hAnsi="宋体" w:eastAsia="方正仿宋_GBK" w:cs="方正仿宋_GBK"/>
                <w:color w:val="auto"/>
                <w:sz w:val="21"/>
                <w:szCs w:val="21"/>
                <w:lang w:val="en-US" w:eastAsia="zh-CN" w:bidi="ar"/>
              </w:rPr>
              <w:t>区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重庆体育产业园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中伟鞋业</w:t>
            </w:r>
            <w:r>
              <w:rPr>
                <w:rStyle w:val="26"/>
                <w:rFonts w:hint="eastAsia" w:ascii="宋体" w:hAnsi="宋体" w:eastAsia="方正仿宋_GBK" w:cs="方正仿宋_GBK"/>
                <w:color w:val="auto"/>
                <w:sz w:val="21"/>
                <w:szCs w:val="21"/>
                <w:lang w:val="en-US" w:eastAsia="zh-CN" w:bidi="ar"/>
              </w:rPr>
              <w:t>、中乔体育</w:t>
            </w:r>
          </w:p>
        </w:tc>
        <w:tc>
          <w:tcPr>
            <w:tcW w:w="83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</w:t>
            </w:r>
            <w:r>
              <w:rPr>
                <w:rStyle w:val="26"/>
                <w:rFonts w:hint="eastAsia" w:cs="方正仿宋_GBK"/>
                <w:color w:val="auto"/>
                <w:sz w:val="21"/>
                <w:szCs w:val="21"/>
                <w:lang w:val="en-US" w:eastAsia="zh-CN" w:bidi="ar"/>
              </w:rPr>
              <w:t>—</w:t>
            </w:r>
            <w:r>
              <w:rPr>
                <w:rStyle w:val="26"/>
                <w:rFonts w:hint="eastAsia" w:ascii="宋体" w:hAnsi="宋体" w:eastAsia="方正仿宋_GBK" w:cs="方正仿宋_GBK"/>
                <w:color w:val="auto"/>
                <w:sz w:val="21"/>
                <w:szCs w:val="21"/>
                <w:lang w:val="en-US" w:eastAsia="zh-CN" w:bidi="ar"/>
              </w:rPr>
              <w:t>2026</w:t>
            </w:r>
          </w:p>
        </w:tc>
        <w:tc>
          <w:tcPr>
            <w:tcW w:w="5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策划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规划1000亩地，建设重庆体育产业园，重点培育体育智能、体育器材、体育服装、体育食品和高新材料等“大体育”产业，推动体育产业专业化、集约化、链条化发展。</w:t>
            </w: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产业园区</w:t>
            </w:r>
            <w:r>
              <w:rPr>
                <w:rFonts w:hint="eastAsia" w:ascii="宋体" w:hAnsi="宋体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（基地）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方正仿宋_GBK"/>
                <w:i w:val="0"/>
                <w:color w:val="auto"/>
                <w:sz w:val="21"/>
                <w:szCs w:val="21"/>
                <w:u w:val="none"/>
                <w:lang w:eastAsia="zh-CN"/>
              </w:rPr>
              <w:t>是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1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方正仿宋_GBK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荣昌区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中国廉城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招商</w:t>
            </w:r>
          </w:p>
        </w:tc>
        <w:tc>
          <w:tcPr>
            <w:tcW w:w="83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</w:t>
            </w:r>
            <w:r>
              <w:rPr>
                <w:rFonts w:hint="eastAsia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—</w:t>
            </w:r>
            <w:r>
              <w:rPr>
                <w:rFonts w:hint="eastAsia" w:ascii="宋体" w:hAnsi="宋体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2025</w:t>
            </w:r>
          </w:p>
        </w:tc>
        <w:tc>
          <w:tcPr>
            <w:tcW w:w="5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招商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项目建设廉政广场2000平方米；建设历代百官廉像园5000平方米；建设廉政党风主题馆10000平方米；建设“清风习语”景观构筑30个；建设廉政民宿2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~</w:t>
            </w:r>
            <w:r>
              <w:rPr>
                <w:rFonts w:hint="eastAsia" w:ascii="宋体" w:hAnsi="宋体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个（约50间房）；建设廉政演艺剧院5000平方米；建设廉政文创馆1000平方米；项目注重打造新时代共产党员廉正文化教育基地项目，结合党风培训、旅游休闲、研学教育三大功能，从为民、立德、修身、笃行、仁孝、家风、斩恶、信念八个方面，弘扬</w:t>
            </w:r>
            <w:r>
              <w:rPr>
                <w:rFonts w:hint="eastAsia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习近平</w:t>
            </w:r>
            <w:r>
              <w:rPr>
                <w:rFonts w:hint="eastAsia" w:ascii="宋体" w:hAnsi="宋体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新时代中国特色社会主义思想和中国传统文化。</w:t>
            </w: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城镇文化和旅游综合体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left="0" w:leftChars="0" w:firstLine="480" w:firstLineChars="200"/>
        <w:textAlignment w:val="auto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填表说明：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left="0" w:leftChars="0" w:firstLine="480" w:firstLineChars="200"/>
        <w:textAlignment w:val="auto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．</w:t>
      </w:r>
      <w:r>
        <w:rPr>
          <w:rFonts w:hint="eastAsia" w:ascii="宋体" w:hAnsi="宋体"/>
          <w:sz w:val="24"/>
          <w:szCs w:val="24"/>
          <w:lang w:val="en-US" w:eastAsia="zh-CN"/>
        </w:rPr>
        <w:t>所处建设阶段选填：策划、招商、计划开工、在建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ind w:leftChars="0" w:firstLine="480" w:firstLineChars="200"/>
        <w:textAlignment w:val="auto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．</w:t>
      </w:r>
      <w:r>
        <w:rPr>
          <w:rFonts w:hint="eastAsia" w:ascii="宋体" w:hAnsi="宋体"/>
          <w:sz w:val="24"/>
          <w:szCs w:val="24"/>
          <w:lang w:val="en-US" w:eastAsia="zh-CN"/>
        </w:rPr>
        <w:t>所属类别为旅游景区、旅游度假区、游乐园（主题乐园）、乡村文旅、城镇文化和旅游综合体（含文创街区）、产业园区（基地）、数字文化、酒店民宿等8类。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宋体" w:hAnsi="宋体"/>
          <w:sz w:val="24"/>
          <w:szCs w:val="24"/>
        </w:rPr>
      </w:pPr>
    </w:p>
    <w:p>
      <w:pPr>
        <w:bidi w:val="0"/>
        <w:rPr>
          <w:rFonts w:ascii="宋体" w:hAnsi="宋体"/>
        </w:rPr>
      </w:pPr>
    </w:p>
    <w:p>
      <w:pPr>
        <w:bidi w:val="0"/>
        <w:rPr>
          <w:rFonts w:ascii="宋体" w:hAnsi="宋体"/>
        </w:rPr>
      </w:pPr>
      <w:bookmarkStart w:id="0" w:name="_GoBack"/>
      <w:bookmarkEnd w:id="0"/>
    </w:p>
    <w:p>
      <w:pPr>
        <w:bidi w:val="0"/>
        <w:rPr>
          <w:rFonts w:ascii="宋体" w:hAnsi="宋体"/>
        </w:rPr>
      </w:pPr>
    </w:p>
    <w:p>
      <w:pPr>
        <w:bidi w:val="0"/>
        <w:jc w:val="left"/>
        <w:rPr>
          <w:rFonts w:ascii="宋体" w:hAnsi="宋体"/>
        </w:rPr>
        <w:sectPr>
          <w:headerReference r:id="rId11" w:type="default"/>
          <w:footerReference r:id="rId13" w:type="default"/>
          <w:headerReference r:id="rId12" w:type="even"/>
          <w:footerReference r:id="rId14" w:type="even"/>
          <w:pgSz w:w="16838" w:h="11906" w:orient="landscape"/>
          <w:pgMar w:top="1531" w:right="2098" w:bottom="1531" w:left="1984" w:header="851" w:footer="113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" w:linePitch="579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宋体" w:hAnsi="宋体" w:eastAsia="方正黑体_GBK" w:cs="方正黑体_GBK"/>
          <w:lang w:val="en-US" w:eastAsia="zh-CN"/>
        </w:rPr>
      </w:pPr>
      <w:r>
        <w:rPr>
          <w:rFonts w:hint="eastAsia" w:ascii="宋体" w:hAnsi="宋体" w:eastAsia="方正黑体_GBK" w:cs="方正黑体_GBK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宋体" w:hAnsi="宋体" w:eastAsia="方正小标宋_GBK" w:cs="方正小标宋_GBK"/>
          <w:sz w:val="36"/>
          <w:szCs w:val="36"/>
          <w:lang w:val="en-US" w:eastAsia="zh-CN"/>
        </w:rPr>
        <w:t>市级文化产业和旅游产业重点项目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宋体" w:hAnsi="宋体" w:eastAsia="方正小标宋_GBK" w:cs="方正小标宋_GBK"/>
          <w:sz w:val="36"/>
          <w:szCs w:val="36"/>
          <w:lang w:val="en-US" w:eastAsia="zh-CN"/>
        </w:rPr>
        <w:t>联络人员名单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宋体" w:hAnsi="宋体"/>
          <w:sz w:val="24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/>
          <w:sz w:val="24"/>
          <w:szCs w:val="21"/>
          <w:lang w:val="en-US" w:eastAsia="zh-CN"/>
        </w:rPr>
      </w:pPr>
      <w:r>
        <w:rPr>
          <w:rFonts w:hint="eastAsia" w:ascii="宋体" w:hAnsi="宋体"/>
          <w:sz w:val="24"/>
          <w:szCs w:val="21"/>
          <w:lang w:val="en-US" w:eastAsia="zh-CN"/>
        </w:rPr>
        <w:t>填报单位：重庆市荣昌区文化和旅游发展委员会</w:t>
      </w:r>
    </w:p>
    <w:tbl>
      <w:tblPr>
        <w:tblStyle w:val="17"/>
        <w:tblW w:w="88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23" w:type="dxa"/>
          <w:bottom w:w="0" w:type="dxa"/>
          <w:right w:w="23" w:type="dxa"/>
        </w:tblCellMar>
      </w:tblPr>
      <w:tblGrid>
        <w:gridCol w:w="1227"/>
        <w:gridCol w:w="2641"/>
        <w:gridCol w:w="1725"/>
        <w:gridCol w:w="1785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475" w:hRule="atLeast"/>
        </w:trPr>
        <w:tc>
          <w:tcPr>
            <w:tcW w:w="122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方正黑体_GBK" w:cs="方正黑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黑体_GBK" w:cs="方正黑体_GBK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64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方正黑体_GBK" w:cs="方正黑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黑体_GBK" w:cs="方正黑体_GBK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17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方正黑体_GBK" w:cs="方正黑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黑体_GBK" w:cs="方正黑体_GBK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178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方正黑体_GBK" w:cs="方正黑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黑体_GBK" w:cs="方正黑体_GBK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方正黑体_GBK" w:cs="方正黑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黑体_GBK" w:cs="方正黑体_GBK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55" w:hRule="atLeast"/>
        </w:trPr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宋体" w:hAnsi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  <w:t>陶晓锋</w:t>
            </w:r>
          </w:p>
        </w:tc>
        <w:tc>
          <w:tcPr>
            <w:tcW w:w="26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宋体" w:hAnsi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  <w:t>重庆市荣昌区人民政府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宋体" w:hAnsi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  <w:t>副区长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宋体" w:hAnsi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宋体" w:hAnsi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  <w:t>分管领导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宋体" w:hAnsi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  <w:t>黎明鑫</w:t>
            </w:r>
          </w:p>
        </w:tc>
        <w:tc>
          <w:tcPr>
            <w:tcW w:w="26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宋体" w:hAnsi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  <w:t>重庆市荣昌区旅游景区管理委员会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宋体" w:hAnsi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  <w:t>副主任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宋体" w:hAnsi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  <w:t>13908350636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宋体" w:hAnsi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  <w:t>部门负责人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宋体" w:hAnsi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  <w:t>蒋坤兰</w:t>
            </w:r>
          </w:p>
        </w:tc>
        <w:tc>
          <w:tcPr>
            <w:tcW w:w="26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宋体" w:hAnsi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  <w:t>重庆市荣昌区旅游景区管理委员会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宋体" w:hAnsi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  <w:t>工作人员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宋体" w:hAnsi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  <w:t>19122735721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宋体" w:hAnsi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  <w:t>联络员</w:t>
            </w:r>
          </w:p>
        </w:tc>
      </w:tr>
    </w:tbl>
    <w:p>
      <w:pPr>
        <w:pStyle w:val="2"/>
        <w:ind w:left="0" w:leftChars="0" w:firstLine="0" w:firstLineChars="0"/>
        <w:rPr>
          <w:rFonts w:ascii="宋体" w:hAnsi="宋体"/>
        </w:rPr>
      </w:pPr>
      <w:r>
        <w:rPr>
          <w:rFonts w:hint="eastAsia" w:ascii="宋体" w:hAnsi="宋体"/>
          <w:sz w:val="24"/>
          <w:szCs w:val="21"/>
          <w:lang w:val="en-US" w:eastAsia="zh-CN"/>
        </w:rPr>
        <w:t>填表人员：蒋坤兰                联系电话：</w:t>
      </w:r>
      <w:r>
        <w:rPr>
          <w:rFonts w:hint="eastAsia" w:ascii="宋体" w:hAnsi="宋体"/>
          <w:sz w:val="22"/>
          <w:szCs w:val="20"/>
          <w:vertAlign w:val="baseline"/>
          <w:lang w:val="en-US" w:eastAsia="zh-CN"/>
        </w:rPr>
        <w:t>19122735721</w:t>
      </w:r>
    </w:p>
    <w:p>
      <w:pPr>
        <w:bidi w:val="0"/>
        <w:rPr>
          <w:rFonts w:ascii="宋体" w:hAnsi="宋体"/>
        </w:rPr>
      </w:pPr>
    </w:p>
    <w:p>
      <w:pPr>
        <w:pStyle w:val="2"/>
        <w:rPr>
          <w:rFonts w:ascii="宋体" w:hAnsi="宋体"/>
        </w:rPr>
      </w:pPr>
    </w:p>
    <w:sectPr>
      <w:headerReference r:id="rId15" w:type="default"/>
      <w:footerReference r:id="rId17" w:type="default"/>
      <w:headerReference r:id="rId16" w:type="even"/>
      <w:footerReference r:id="rId18" w:type="even"/>
      <w:pgSz w:w="11906" w:h="16838"/>
      <w:pgMar w:top="2098" w:right="1531" w:bottom="1984" w:left="1531" w:header="851" w:footer="147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57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2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504020202030204"/>
    <w:charset w:val="00"/>
    <w:family w:val="swiss"/>
    <w:pitch w:val="default"/>
    <w:sig w:usb0="00000000" w:usb1="00000000" w:usb2="00000000" w:usb3="00000000" w:csb0="00000093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w:pict>
        <v:shape id="_x0000_s2066" o:spid="_x0000_s206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9"/>
                </w:pPr>
                <w:r>
                  <w:t xml:space="preserve">—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w:pict>
        <v:shape id="_x0000_s2060" o:spid="_x0000_s2060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9"/>
                  <w:wordWrap w:val="0"/>
                  <w:jc w:val="right"/>
                  <w:rPr>
                    <w:rFonts w:hint="default" w:eastAsia="方正仿宋_GBK"/>
                    <w:sz w:val="28"/>
                    <w:szCs w:val="28"/>
                    <w:lang w:val="en-US" w:eastAsia="zh-CN"/>
                  </w:rPr>
                </w:pPr>
                <w:r>
                  <w:rPr>
                    <w:sz w:val="28"/>
                    <w:szCs w:val="28"/>
                  </w:rPr>
                  <w:t xml:space="preserve">— </w:t>
                </w: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1</w:t>
                </w:r>
                <w:r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sz w:val="28"/>
                    <w:szCs w:val="28"/>
                  </w:rPr>
                  <w:t xml:space="preserve"> —</w:t>
                </w:r>
                <w:r>
                  <w:rPr>
                    <w:rFonts w:hint="eastAsia"/>
                    <w:sz w:val="28"/>
                    <w:szCs w:val="28"/>
                    <w:lang w:val="en-US" w:eastAsia="zh-CN"/>
                  </w:rPr>
                  <w:t xml:space="preserve">  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w:pict>
        <v:shape id="_x0000_s2061" o:spid="_x0000_s2061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9"/>
                  <w:ind w:left="0" w:leftChars="0" w:firstLine="280" w:firstLineChars="10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— </w:t>
                </w: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2</w:t>
                </w:r>
                <w:r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w:pict>
        <v:shape id="_x0000_s2053" o:spid="_x0000_s2053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9"/>
                  <w:wordWrap w:val="0"/>
                  <w:ind w:left="0" w:leftChars="0" w:firstLine="280" w:firstLineChars="100"/>
                  <w:jc w:val="both"/>
                  <w:rPr>
                    <w:rFonts w:hint="default" w:ascii="宋体" w:hAnsi="宋体" w:eastAsia="宋体" w:cs="宋体"/>
                    <w:sz w:val="28"/>
                    <w:szCs w:val="28"/>
                    <w:lang w:val="en-US" w:eastAsia="zh-CN"/>
                  </w:rPr>
                </w:pPr>
                <w:r>
                  <w:rPr>
                    <w:rFonts w:hint="default" w:eastAsia="宋体" w:cs="宋体"/>
                    <w:sz w:val="28"/>
                    <w:szCs w:val="28"/>
                    <w:lang w:val="en-US" w:eastAsia="zh-CN"/>
                  </w:rPr>
                  <w:t xml:space="preserve">— </w:t>
                </w:r>
                <w:r>
                  <w:rPr>
                    <w:rFonts w:hint="default" w:eastAsia="宋体" w:cs="宋体"/>
                    <w:sz w:val="28"/>
                    <w:szCs w:val="28"/>
                    <w:lang w:val="en-US" w:eastAsia="zh-CN"/>
                  </w:rPr>
                  <w:fldChar w:fldCharType="begin"/>
                </w:r>
                <w:r>
                  <w:rPr>
                    <w:rFonts w:hint="default" w:eastAsia="宋体" w:cs="宋体"/>
                    <w:sz w:val="28"/>
                    <w:szCs w:val="28"/>
                    <w:lang w:val="en-US" w:eastAsia="zh-CN"/>
                  </w:rPr>
                  <w:instrText xml:space="preserve"> PAGE  \* MERGEFORMAT </w:instrText>
                </w:r>
                <w:r>
                  <w:rPr>
                    <w:rFonts w:hint="default" w:eastAsia="宋体" w:cs="宋体"/>
                    <w:sz w:val="28"/>
                    <w:szCs w:val="28"/>
                    <w:lang w:val="en-US" w:eastAsia="zh-CN"/>
                  </w:rPr>
                  <w:fldChar w:fldCharType="separate"/>
                </w:r>
                <w:r>
                  <w:rPr>
                    <w:rFonts w:hint="default" w:eastAsia="宋体" w:cs="宋体"/>
                    <w:sz w:val="28"/>
                    <w:szCs w:val="28"/>
                    <w:lang w:val="en-US" w:eastAsia="zh-CN"/>
                  </w:rPr>
                  <w:t>1</w:t>
                </w:r>
                <w:r>
                  <w:rPr>
                    <w:rFonts w:hint="default" w:eastAsia="宋体" w:cs="宋体"/>
                    <w:sz w:val="28"/>
                    <w:szCs w:val="28"/>
                    <w:lang w:val="en-US" w:eastAsia="zh-CN"/>
                  </w:rPr>
                  <w:fldChar w:fldCharType="end"/>
                </w:r>
                <w:r>
                  <w:rPr>
                    <w:rFonts w:hint="default" w:eastAsia="宋体" w:cs="宋体"/>
                    <w:sz w:val="28"/>
                    <w:szCs w:val="28"/>
                    <w:lang w:val="en-US" w:eastAsia="zh-CN"/>
                  </w:rPr>
                  <w:t xml:space="preserve"> —</w:t>
                </w:r>
              </w:p>
            </w:txbxContent>
          </v:textbox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w:pict>
        <v:shape id="_x0000_s2054" o:spid="_x0000_s2054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9"/>
                  <w:ind w:left="0" w:leftChars="0" w:firstLine="280" w:firstLineChars="100"/>
                  <w:rPr>
                    <w:rFonts w:hint="eastAsia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eastAsia="宋体" w:cs="宋体"/>
                    <w:sz w:val="28"/>
                    <w:szCs w:val="28"/>
                  </w:rPr>
                  <w:t>6</w:t>
                </w:r>
                <w:r>
                  <w:rPr>
                    <w:rFonts w:hint="eastAsia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8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8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290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jdiNGZhZjViODVlMzA0MmVlM2NlNzAxZTc2ZWI0ZjMifQ=="/>
  </w:docVars>
  <w:rsids>
    <w:rsidRoot w:val="0CEC1DFB"/>
    <w:rsid w:val="0C2A1F78"/>
    <w:rsid w:val="0CEC1DFB"/>
    <w:rsid w:val="0D356A69"/>
    <w:rsid w:val="1CAD1FED"/>
    <w:rsid w:val="20124765"/>
    <w:rsid w:val="2A1E357C"/>
    <w:rsid w:val="2AA9208E"/>
    <w:rsid w:val="30894B9A"/>
    <w:rsid w:val="39BF24A1"/>
    <w:rsid w:val="3DD558CE"/>
    <w:rsid w:val="516E6543"/>
    <w:rsid w:val="58BF1585"/>
    <w:rsid w:val="66631B4E"/>
    <w:rsid w:val="68104F00"/>
    <w:rsid w:val="69050F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880" w:firstLineChars="200"/>
      <w:jc w:val="both"/>
    </w:pPr>
    <w:rPr>
      <w:rFonts w:ascii="宋体" w:hAnsi="宋体" w:eastAsia="方正仿宋_GBK" w:cs="Times New Roman"/>
      <w:kern w:val="2"/>
      <w:sz w:val="32"/>
      <w:szCs w:val="33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 w:val="0"/>
      <w:keepLines/>
      <w:snapToGrid w:val="0"/>
      <w:spacing w:beforeLines="0" w:beforeAutospacing="0" w:afterLines="0" w:afterAutospacing="0" w:line="720" w:lineRule="atLeast"/>
      <w:ind w:firstLine="0" w:firstLineChars="0"/>
      <w:jc w:val="center"/>
      <w:outlineLvl w:val="0"/>
    </w:pPr>
    <w:rPr>
      <w:rFonts w:eastAsia="方正小标宋_GBK"/>
      <w:kern w:val="44"/>
      <w:sz w:val="44"/>
    </w:rPr>
  </w:style>
  <w:style w:type="paragraph" w:styleId="5">
    <w:name w:val="heading 2"/>
    <w:basedOn w:val="1"/>
    <w:next w:val="1"/>
    <w:unhideWhenUsed/>
    <w:qFormat/>
    <w:uiPriority w:val="0"/>
    <w:pPr>
      <w:keepNext w:val="0"/>
      <w:keepLines w:val="0"/>
      <w:spacing w:beforeLines="0" w:beforeAutospacing="0" w:afterLines="0" w:afterAutospacing="0" w:line="240" w:lineRule="auto"/>
      <w:outlineLvl w:val="1"/>
    </w:pPr>
    <w:rPr>
      <w:rFonts w:ascii="宋体" w:hAnsi="宋体" w:eastAsia="方正黑体_GBK"/>
    </w:rPr>
  </w:style>
  <w:style w:type="paragraph" w:styleId="6">
    <w:name w:val="heading 3"/>
    <w:basedOn w:val="1"/>
    <w:next w:val="1"/>
    <w:link w:val="25"/>
    <w:unhideWhenUsed/>
    <w:qFormat/>
    <w:uiPriority w:val="0"/>
    <w:pPr>
      <w:keepNext w:val="0"/>
      <w:keepLines w:val="0"/>
      <w:spacing w:beforeLines="0" w:beforeAutospacing="0" w:afterLines="0" w:afterAutospacing="0" w:line="240" w:lineRule="auto"/>
      <w:outlineLvl w:val="2"/>
    </w:pPr>
    <w:rPr>
      <w:rFonts w:eastAsia="方正楷体_GBK"/>
    </w:rPr>
  </w:style>
  <w:style w:type="paragraph" w:styleId="7">
    <w:name w:val="heading 4"/>
    <w:basedOn w:val="8"/>
    <w:next w:val="1"/>
    <w:unhideWhenUsed/>
    <w:qFormat/>
    <w:uiPriority w:val="0"/>
    <w:pPr>
      <w:keepNext/>
      <w:keepLines/>
      <w:spacing w:beforeLines="0" w:beforeAutospacing="0" w:afterLines="0" w:afterAutospacing="0" w:line="240" w:lineRule="auto"/>
      <w:ind w:left="1600" w:leftChars="200" w:hanging="960" w:hangingChars="300"/>
      <w:outlineLvl w:val="3"/>
    </w:pPr>
    <w:rPr>
      <w:rFonts w:ascii="宋体" w:hAnsi="宋体"/>
    </w:rPr>
  </w:style>
  <w:style w:type="character" w:default="1" w:styleId="18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Calibri" w:hAnsi="Calibri"/>
      <w:kern w:val="0"/>
    </w:rPr>
  </w:style>
  <w:style w:type="paragraph" w:customStyle="1" w:styleId="3">
    <w:name w:val="默认"/>
    <w:qFormat/>
    <w:uiPriority w:val="0"/>
    <w:rPr>
      <w:rFonts w:ascii="Helvetica" w:hAnsi="Helvetica" w:eastAsia="宋体" w:cs="Helvetica"/>
      <w:color w:val="000000"/>
      <w:sz w:val="22"/>
      <w:szCs w:val="22"/>
      <w:lang w:val="en-US" w:eastAsia="zh-CN" w:bidi="ar-SA"/>
    </w:rPr>
  </w:style>
  <w:style w:type="paragraph" w:styleId="8">
    <w:name w:val="Body Text First Indent"/>
    <w:basedOn w:val="2"/>
    <w:qFormat/>
    <w:uiPriority w:val="0"/>
    <w:pPr>
      <w:ind w:firstLine="420" w:firstLineChars="100"/>
    </w:pPr>
  </w:style>
  <w:style w:type="paragraph" w:styleId="9">
    <w:name w:val="footer"/>
    <w:basedOn w:val="1"/>
    <w:next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11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2">
    <w:name w:val="toc 1"/>
    <w:basedOn w:val="1"/>
    <w:next w:val="1"/>
    <w:qFormat/>
    <w:uiPriority w:val="0"/>
  </w:style>
  <w:style w:type="paragraph" w:styleId="13">
    <w:name w:val="toc 2"/>
    <w:basedOn w:val="1"/>
    <w:next w:val="1"/>
    <w:qFormat/>
    <w:uiPriority w:val="0"/>
    <w:pPr>
      <w:ind w:left="420" w:leftChars="200"/>
    </w:pPr>
  </w:style>
  <w:style w:type="paragraph" w:styleId="14">
    <w:name w:val="Message Header"/>
    <w:basedOn w:val="1"/>
    <w:next w:val="2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/>
      <w:sz w:val="24"/>
    </w:rPr>
  </w:style>
  <w:style w:type="paragraph" w:styleId="15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table" w:styleId="17">
    <w:name w:val="Table Grid"/>
    <w:basedOn w:val="1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9">
    <w:name w:val="索引 51"/>
    <w:basedOn w:val="1"/>
    <w:next w:val="1"/>
    <w:qFormat/>
    <w:uiPriority w:val="0"/>
    <w:pPr>
      <w:ind w:left="1680"/>
    </w:pPr>
  </w:style>
  <w:style w:type="paragraph" w:customStyle="1" w:styleId="20">
    <w:name w:val="目录1"/>
    <w:basedOn w:val="15"/>
    <w:next w:val="1"/>
    <w:qFormat/>
    <w:uiPriority w:val="0"/>
    <w:pPr>
      <w:snapToGrid w:val="0"/>
      <w:spacing w:line="720" w:lineRule="atLeast"/>
      <w:ind w:firstLine="0" w:firstLineChars="0"/>
    </w:pPr>
    <w:rPr>
      <w:rFonts w:hint="eastAsia" w:ascii="宋体" w:hAnsi="宋体" w:eastAsia="方正小标宋_GBK"/>
      <w:b w:val="0"/>
      <w:sz w:val="44"/>
    </w:rPr>
  </w:style>
  <w:style w:type="paragraph" w:customStyle="1" w:styleId="21">
    <w:name w:val="目录2"/>
    <w:basedOn w:val="4"/>
    <w:next w:val="1"/>
    <w:qFormat/>
    <w:uiPriority w:val="0"/>
    <w:pPr>
      <w:keepLines w:val="0"/>
      <w:snapToGrid/>
      <w:spacing w:line="240" w:lineRule="auto"/>
      <w:ind w:firstLine="640" w:firstLineChars="200"/>
      <w:jc w:val="both"/>
    </w:pPr>
    <w:rPr>
      <w:rFonts w:eastAsia="方正黑体_GBK"/>
      <w:sz w:val="32"/>
    </w:rPr>
  </w:style>
  <w:style w:type="paragraph" w:customStyle="1" w:styleId="22">
    <w:name w:val="目录3"/>
    <w:basedOn w:val="5"/>
    <w:next w:val="1"/>
    <w:link w:val="23"/>
    <w:qFormat/>
    <w:uiPriority w:val="0"/>
    <w:rPr>
      <w:rFonts w:hint="eastAsia" w:eastAsia="方正楷体_GBK"/>
    </w:rPr>
  </w:style>
  <w:style w:type="character" w:customStyle="1" w:styleId="23">
    <w:name w:val="目录3 Char"/>
    <w:link w:val="22"/>
    <w:qFormat/>
    <w:uiPriority w:val="0"/>
    <w:rPr>
      <w:rFonts w:hint="eastAsia" w:eastAsia="方正楷体_GBK"/>
    </w:rPr>
  </w:style>
  <w:style w:type="paragraph" w:customStyle="1" w:styleId="24">
    <w:name w:val="TableOfAuthoring"/>
    <w:basedOn w:val="1"/>
    <w:next w:val="1"/>
    <w:qFormat/>
    <w:uiPriority w:val="0"/>
    <w:pPr>
      <w:spacing w:line="560" w:lineRule="exact"/>
      <w:ind w:left="420" w:leftChars="200" w:firstLine="200" w:firstLineChars="200"/>
    </w:pPr>
    <w:rPr>
      <w:rFonts w:ascii="宋体" w:hAnsi="宋体" w:eastAsia="方正仿宋_GBK"/>
    </w:rPr>
  </w:style>
  <w:style w:type="character" w:customStyle="1" w:styleId="25">
    <w:name w:val="标题 3 Char"/>
    <w:link w:val="6"/>
    <w:qFormat/>
    <w:uiPriority w:val="0"/>
    <w:rPr>
      <w:rFonts w:eastAsia="方正楷体_GBK"/>
    </w:rPr>
  </w:style>
  <w:style w:type="character" w:customStyle="1" w:styleId="26">
    <w:name w:val="font31"/>
    <w:basedOn w:val="18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header" Target="header3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theme" Target="theme/theme1.xml"/><Relationship Id="rId18" Type="http://schemas.openxmlformats.org/officeDocument/2006/relationships/footer" Target="footer7.xml"/><Relationship Id="rId17" Type="http://schemas.openxmlformats.org/officeDocument/2006/relationships/footer" Target="footer6.xml"/><Relationship Id="rId16" Type="http://schemas.openxmlformats.org/officeDocument/2006/relationships/header" Target="header7.xml"/><Relationship Id="rId15" Type="http://schemas.openxmlformats.org/officeDocument/2006/relationships/header" Target="header6.xml"/><Relationship Id="rId14" Type="http://schemas.openxmlformats.org/officeDocument/2006/relationships/footer" Target="footer5.xml"/><Relationship Id="rId13" Type="http://schemas.openxmlformats.org/officeDocument/2006/relationships/footer" Target="footer4.xml"/><Relationship Id="rId12" Type="http://schemas.openxmlformats.org/officeDocument/2006/relationships/header" Target="header5.xml"/><Relationship Id="rId11" Type="http://schemas.openxmlformats.org/officeDocument/2006/relationships/header" Target="header4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wps\zh_CN\&#22522;&#30784;&#27169;&#26495;&#27178;&#31446;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66" textRotate="1"/>
    <customShpInfo spid="_x0000_s2060" textRotate="1"/>
    <customShpInfo spid="_x0000_s2061" textRotate="1"/>
    <customShpInfo spid="_x0000_s2053" textRotate="1"/>
    <customShpInfo spid="_x0000_s2054" textRotate="1"/>
    <customShpInfo spid="_x0000_s1028"/>
    <customShpInfo spid="_x0000_s1029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基础模板横竖.wpt</Template>
  <Pages>5</Pages>
  <Words>1424</Words>
  <Characters>1589</Characters>
  <Lines>0</Lines>
  <Paragraphs>0</Paragraphs>
  <TotalTime>25</TotalTime>
  <ScaleCrop>false</ScaleCrop>
  <LinksUpToDate>false</LinksUpToDate>
  <CharactersWithSpaces>1644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2022-11-11T09:14:00Z</dcterms:created>
  <dc:creator>雪的城</dc:creator>
  <cp:lastModifiedBy>Administrator</cp:lastModifiedBy>
  <dcterms:modified xsi:type="dcterms:W3CDTF">2022-12-15T03:45:06Z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EF4FC4C5BA48474F9E82FB2EFB01FED3</vt:lpwstr>
  </property>
</Properties>
</file>