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bookmarkStart w:id="0" w:name="_GoBack"/>
      <w:bookmarkEnd w:id="0"/>
    </w:p>
    <w:p>
      <w:pPr>
        <w:rPr>
          <w:rFonts w:hint="eastAsia" w:ascii="宋体" w:hAnsi="宋体"/>
        </w:rPr>
      </w:pPr>
    </w:p>
    <w:p>
      <w:pPr>
        <w:rPr>
          <w:rFonts w:hint="eastAsia" w:ascii="宋体" w:hAnsi="宋体"/>
        </w:rPr>
      </w:pPr>
    </w:p>
    <w:p>
      <w:pPr>
        <w:keepNext w:val="0"/>
        <w:keepLines w:val="0"/>
        <w:pageBreakBefore w:val="0"/>
        <w:widowControl w:val="0"/>
        <w:kinsoku/>
        <w:wordWrap/>
        <w:overflowPunct/>
        <w:topLinePunct w:val="0"/>
        <w:autoSpaceDE/>
        <w:autoSpaceDN/>
        <w:bidi w:val="0"/>
        <w:adjustRightInd/>
        <w:snapToGrid w:val="0"/>
        <w:spacing w:line="1320" w:lineRule="exact"/>
        <w:ind w:left="160" w:leftChars="50" w:right="160" w:rightChars="50" w:firstLine="0" w:firstLineChars="0"/>
        <w:jc w:val="distribute"/>
        <w:textAlignment w:val="auto"/>
        <w:rPr>
          <w:rFonts w:hint="eastAsia" w:ascii="宋体" w:hAnsi="宋体" w:eastAsia="方正小标宋_GBK"/>
          <w:b/>
          <w:color w:val="FF0000"/>
          <w:spacing w:val="-6"/>
          <w:w w:val="57"/>
          <w:sz w:val="122"/>
          <w:szCs w:val="122"/>
          <w:lang w:eastAsia="zh-CN"/>
        </w:rPr>
      </w:pPr>
      <w:r>
        <w:rPr>
          <w:rFonts w:hint="eastAsia" w:ascii="宋体" w:hAnsi="宋体" w:eastAsia="方正小标宋_GBK"/>
          <w:b/>
          <w:color w:val="FF0000"/>
          <w:spacing w:val="-6"/>
          <w:w w:val="57"/>
          <w:sz w:val="122"/>
          <w:szCs w:val="122"/>
        </w:rPr>
        <w:t>重庆市荣昌区人民政府</w:t>
      </w:r>
      <w:r>
        <w:rPr>
          <w:rFonts w:hint="eastAsia" w:ascii="宋体" w:hAnsi="宋体" w:eastAsia="方正小标宋_GBK"/>
          <w:b/>
          <w:color w:val="FF0000"/>
          <w:spacing w:val="-6"/>
          <w:w w:val="57"/>
          <w:sz w:val="122"/>
          <w:szCs w:val="122"/>
          <w:lang w:eastAsia="zh-CN"/>
        </w:rPr>
        <w:t>文件</w:t>
      </w:r>
    </w:p>
    <w:p>
      <w:pPr>
        <w:bidi w:val="0"/>
        <w:rPr>
          <w:rFonts w:hint="eastAsia" w:ascii="宋体" w:hAnsi="宋体"/>
        </w:rPr>
      </w:pPr>
    </w:p>
    <w:p>
      <w:pPr>
        <w:bidi w:val="0"/>
        <w:rPr>
          <w:rFonts w:hint="eastAsia" w:ascii="宋体" w:hAnsi="宋体"/>
        </w:rPr>
      </w:pPr>
    </w:p>
    <w:p>
      <w:pPr>
        <w:snapToGrid w:val="0"/>
        <w:spacing w:before="289" w:beforeLines="50"/>
        <w:ind w:left="0" w:leftChars="0" w:firstLine="0" w:firstLineChars="0"/>
        <w:jc w:val="center"/>
        <w:rPr>
          <w:rStyle w:val="19"/>
          <w:rFonts w:hint="eastAsia" w:ascii="宋体" w:hAnsi="宋体"/>
          <w:lang w:eastAsia="zh-CN"/>
        </w:rPr>
      </w:pPr>
      <w:r>
        <w:rPr>
          <w:rFonts w:hint="eastAsia" w:ascii="宋体" w:hAnsi="宋体" w:eastAsia="方正仿宋_GBK"/>
        </w:rPr>
        <w:t>荣昌府</w:t>
      </w:r>
      <w:r>
        <w:rPr>
          <w:rFonts w:hint="eastAsia" w:ascii="宋体" w:hAnsi="宋体"/>
          <w:lang w:eastAsia="zh-CN"/>
        </w:rPr>
        <w:t>公</w:t>
      </w:r>
      <w:r>
        <w:rPr>
          <w:rFonts w:hint="eastAsia" w:ascii="宋体" w:hAnsi="宋体" w:eastAsia="方正仿宋_GBK"/>
        </w:rPr>
        <w:t>〔</w:t>
      </w:r>
      <w:r>
        <w:rPr>
          <w:rFonts w:hint="eastAsia" w:ascii="宋体" w:hAnsi="宋体"/>
          <w:lang w:eastAsia="zh-CN"/>
        </w:rPr>
        <w:t>2023</w:t>
      </w:r>
      <w:r>
        <w:rPr>
          <w:rFonts w:hint="eastAsia" w:ascii="宋体" w:hAnsi="宋体" w:eastAsia="方正仿宋_GBK"/>
        </w:rPr>
        <w:t>〕</w:t>
      </w:r>
      <w:r>
        <w:rPr>
          <w:rFonts w:hint="eastAsia" w:ascii="宋体" w:hAnsi="宋体"/>
          <w:lang w:val="en-US" w:eastAsia="zh-CN"/>
        </w:rPr>
        <w:t>4</w:t>
      </w:r>
      <w:r>
        <w:rPr>
          <w:rFonts w:hint="eastAsia"/>
          <w:lang w:val="en-US" w:eastAsia="zh-CN"/>
        </w:rPr>
        <w:t>7</w:t>
      </w:r>
      <w:r>
        <w:rPr>
          <w:rFonts w:hint="eastAsia" w:ascii="宋体" w:hAnsi="宋体" w:eastAsia="方正仿宋_GBK"/>
        </w:rPr>
        <w:t>号</w:t>
      </w:r>
    </w:p>
    <w:p>
      <w:pPr>
        <w:bidi w:val="0"/>
        <w:rPr>
          <w:rFonts w:hint="eastAsia" w:ascii="宋体" w:hAnsi="宋体"/>
        </w:rPr>
      </w:pPr>
      <w:r>
        <w:rPr>
          <w:rFonts w:hint="eastAsia" w:ascii="宋体" w:hAnsi="宋体" w:eastAsia="方正小标宋_GBK"/>
          <w:b/>
          <w:color w:val="FF0000"/>
          <w:spacing w:val="-6"/>
          <w:w w:val="57"/>
          <w:sz w:val="122"/>
          <w:szCs w:val="122"/>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3236595</wp:posOffset>
                </wp:positionV>
                <wp:extent cx="5615940" cy="0"/>
                <wp:effectExtent l="0" t="10795" r="3810" b="17780"/>
                <wp:wrapNone/>
                <wp:docPr id="1" name="直线 4"/>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76.55pt;margin-top:254.85pt;height:0pt;width:442.2pt;mso-position-horizontal-relative:page;mso-position-vertical-relative:margin;z-index:251659264;mso-width-relative:page;mso-height-relative:page;" filled="f" stroked="t" coordsize="21600,21600" o:gfxdata="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yAS&#10;jdgAAAAMAQAADwAAAAAAAAABACAAAAAiAAAAZHJzL2Rvd25yZXYueG1sUEsBAhQAFAAAAAgAh07i&#10;QCl9DdPpAQAA3AMAAA4AAAAAAAAAAQAgAAAAJwEAAGRycy9lMm9Eb2MueG1sUEsFBgAAAAAGAAYA&#10;WQEAAIIFAAAAAA==&#10;">
                <v:fill on="f" focussize="0,0"/>
                <v:stroke weight="1.75pt" color="#FF0000" joinstyle="round"/>
                <v:imagedata o:title=""/>
                <o:lock v:ext="edit" aspectratio="f"/>
              </v:line>
            </w:pict>
          </mc:Fallback>
        </mc:AlternateContent>
      </w:r>
    </w:p>
    <w:p>
      <w:pPr>
        <w:bidi w:val="0"/>
        <w:rPr>
          <w:rFonts w:hint="eastAsia" w:ascii="宋体" w:hAnsi="宋体"/>
        </w:rPr>
      </w:pPr>
    </w:p>
    <w:p>
      <w:pPr>
        <w:pStyle w:val="3"/>
        <w:bidi w:val="0"/>
        <w:rPr>
          <w:rFonts w:hint="eastAsia"/>
        </w:rPr>
      </w:pPr>
      <w:r>
        <w:rPr>
          <w:rFonts w:hint="eastAsia"/>
        </w:rPr>
        <w:t>重庆市荣昌区人民政府</w:t>
      </w:r>
    </w:p>
    <w:p>
      <w:pPr>
        <w:pStyle w:val="3"/>
        <w:bidi w:val="0"/>
        <w:rPr>
          <w:rFonts w:hint="eastAsia"/>
          <w:lang w:val="en-US" w:eastAsia="zh-CN"/>
        </w:rPr>
      </w:pPr>
      <w:r>
        <w:rPr>
          <w:rFonts w:hint="eastAsia"/>
        </w:rPr>
        <w:t>关于</w:t>
      </w:r>
      <w:r>
        <w:rPr>
          <w:rFonts w:hint="eastAsia"/>
          <w:lang w:val="en-US" w:eastAsia="zh-CN"/>
        </w:rPr>
        <w:t>确定</w:t>
      </w:r>
      <w:r>
        <w:rPr>
          <w:rFonts w:hint="eastAsia"/>
        </w:rPr>
        <w:t>建设</w:t>
      </w:r>
      <w:r>
        <w:rPr>
          <w:rFonts w:hint="eastAsia"/>
          <w:lang w:val="en-US" w:eastAsia="zh-CN"/>
        </w:rPr>
        <w:t>荣昌区白虎岩水库扩建工程</w:t>
      </w:r>
    </w:p>
    <w:p>
      <w:pPr>
        <w:pStyle w:val="3"/>
        <w:bidi w:val="0"/>
        <w:rPr>
          <w:rFonts w:hint="eastAsia"/>
        </w:rPr>
      </w:pPr>
      <w:r>
        <w:rPr>
          <w:rFonts w:hint="eastAsia"/>
          <w:lang w:val="en-US" w:eastAsia="zh-CN"/>
        </w:rPr>
        <w:t>（枢纽区）</w:t>
      </w:r>
      <w:r>
        <w:rPr>
          <w:rFonts w:hint="eastAsia"/>
        </w:rPr>
        <w:t>征地补偿安置方案的公告</w:t>
      </w:r>
    </w:p>
    <w:p>
      <w:pPr>
        <w:spacing w:line="600" w:lineRule="exact"/>
        <w:ind w:firstLine="0" w:firstLineChars="0"/>
        <w:rPr>
          <w:rFonts w:ascii="Times New Roman" w:hAnsi="Times New Roman" w:cs="Times New Roman"/>
          <w:szCs w:val="32"/>
        </w:rPr>
      </w:pPr>
    </w:p>
    <w:p>
      <w:pPr>
        <w:bidi w:val="0"/>
      </w:pPr>
      <w:r>
        <w:t>本府于202</w:t>
      </w:r>
      <w:r>
        <w:rPr>
          <w:rFonts w:hint="eastAsia"/>
          <w:lang w:val="en-US" w:eastAsia="zh-CN"/>
        </w:rPr>
        <w:t>3</w:t>
      </w:r>
      <w:r>
        <w:t>年</w:t>
      </w:r>
      <w:r>
        <w:rPr>
          <w:rFonts w:hint="eastAsia"/>
          <w:lang w:val="en-US" w:eastAsia="zh-CN"/>
        </w:rPr>
        <w:t>5</w:t>
      </w:r>
      <w:r>
        <w:t>月</w:t>
      </w:r>
      <w:r>
        <w:rPr>
          <w:rFonts w:hint="eastAsia"/>
          <w:lang w:val="en-US" w:eastAsia="zh-CN"/>
        </w:rPr>
        <w:t>17</w:t>
      </w:r>
      <w:r>
        <w:t>日至202</w:t>
      </w:r>
      <w:r>
        <w:rPr>
          <w:rFonts w:hint="eastAsia"/>
          <w:lang w:val="en-US" w:eastAsia="zh-CN"/>
        </w:rPr>
        <w:t>3</w:t>
      </w:r>
      <w:r>
        <w:t>年</w:t>
      </w:r>
      <w:r>
        <w:rPr>
          <w:rFonts w:hint="eastAsia"/>
          <w:lang w:val="en-US" w:eastAsia="zh-CN"/>
        </w:rPr>
        <w:t>6</w:t>
      </w:r>
      <w:r>
        <w:t>月</w:t>
      </w:r>
      <w:r>
        <w:rPr>
          <w:rFonts w:hint="eastAsia"/>
          <w:lang w:val="en-US" w:eastAsia="zh-CN"/>
        </w:rPr>
        <w:t>17</w:t>
      </w:r>
      <w:r>
        <w:t>日期间，依法对</w:t>
      </w:r>
      <w:r>
        <w:rPr>
          <w:rFonts w:hint="eastAsia"/>
          <w:lang w:val="en-US" w:eastAsia="zh-CN"/>
        </w:rPr>
        <w:t>建设荣昌区白虎岩水库扩建工程（枢纽区）</w:t>
      </w:r>
      <w:r>
        <w:t>征地补偿安置方案进行了公告（荣昌府公〔202</w:t>
      </w:r>
      <w:r>
        <w:rPr>
          <w:rFonts w:hint="eastAsia"/>
          <w:lang w:val="en-US" w:eastAsia="zh-CN"/>
        </w:rPr>
        <w:t>3</w:t>
      </w:r>
      <w:r>
        <w:t>〕</w:t>
      </w:r>
      <w:r>
        <w:rPr>
          <w:rFonts w:hint="eastAsia"/>
          <w:lang w:val="en-US" w:eastAsia="zh-CN"/>
        </w:rPr>
        <w:t>34</w:t>
      </w:r>
      <w:r>
        <w:t>号），现</w:t>
      </w:r>
      <w:r>
        <w:rPr>
          <w:rFonts w:hint="eastAsia"/>
          <w:lang w:val="en-US" w:eastAsia="zh-CN"/>
        </w:rPr>
        <w:t>将确定</w:t>
      </w:r>
      <w:r>
        <w:t>征地补偿安置方案予以公布。</w:t>
      </w:r>
    </w:p>
    <w:p>
      <w:pPr>
        <w:bidi w:val="0"/>
      </w:pPr>
      <w:r>
        <w:t>特此公告</w:t>
      </w:r>
    </w:p>
    <w:p>
      <w:pPr>
        <w:adjustRightInd w:val="0"/>
        <w:snapToGrid w:val="0"/>
        <w:spacing w:line="600" w:lineRule="exact"/>
        <w:ind w:firstLine="640" w:firstLineChars="200"/>
        <w:rPr>
          <w:rFonts w:ascii="Times New Roman" w:hAnsi="Times New Roman" w:cs="Times New Roman"/>
          <w:szCs w:val="32"/>
        </w:rPr>
      </w:pPr>
    </w:p>
    <w:p>
      <w:pPr>
        <w:spacing w:line="600" w:lineRule="exact"/>
        <w:ind w:firstLine="640" w:firstLineChars="200"/>
        <w:rPr>
          <w:rFonts w:hint="eastAsia" w:ascii="Times New Roman" w:hAnsi="Times New Roman" w:eastAsia="方正仿宋_GBK" w:cs="Times New Roman"/>
          <w:szCs w:val="32"/>
          <w:lang w:val="en-US" w:eastAsia="zh-CN"/>
        </w:rPr>
      </w:pPr>
      <w:r>
        <w:rPr>
          <w:rFonts w:ascii="Times New Roman" w:hAnsi="Times New Roman" w:cs="Times New Roman"/>
          <w:szCs w:val="32"/>
        </w:rPr>
        <w:t>附件：征地补偿安置方</w:t>
      </w:r>
      <w:r>
        <w:rPr>
          <w:rFonts w:hint="eastAsia" w:ascii="Times New Roman" w:hAnsi="Times New Roman" w:cs="Times New Roman"/>
          <w:szCs w:val="32"/>
          <w:lang w:val="en-US" w:eastAsia="zh-CN"/>
        </w:rPr>
        <w:t>案</w:t>
      </w:r>
    </w:p>
    <w:p>
      <w:pPr>
        <w:bidi w:val="0"/>
        <w:rPr>
          <w:rFonts w:hint="eastAsia" w:ascii="宋体" w:hAnsi="宋体" w:eastAsia="方正仿宋_GBK" w:cs="方正仿宋_GBK"/>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方正仿宋_GBK" w:cs="方正仿宋_GBK"/>
          <w:szCs w:val="32"/>
        </w:rPr>
      </w:pPr>
    </w:p>
    <w:p>
      <w:pPr>
        <w:ind w:firstLine="640" w:firstLineChars="200"/>
        <w:rPr>
          <w:rFonts w:hint="eastAsia" w:ascii="宋体" w:hAnsi="宋体" w:eastAsia="方正仿宋_GBK" w:cs="方正仿宋_GBK"/>
          <w:szCs w:val="32"/>
        </w:rPr>
      </w:pPr>
    </w:p>
    <w:p>
      <w:pPr>
        <w:wordWrap w:val="0"/>
        <w:spacing w:line="560" w:lineRule="exact"/>
        <w:ind w:firstLine="3040" w:firstLineChars="950"/>
        <w:jc w:val="right"/>
        <w:rPr>
          <w:rFonts w:hint="eastAsia" w:ascii="宋体" w:hAnsi="宋体" w:eastAsia="方正仿宋_GBK" w:cs="方正仿宋_GBK"/>
          <w:szCs w:val="32"/>
        </w:rPr>
      </w:pPr>
      <w:r>
        <w:rPr>
          <w:rFonts w:hint="eastAsia" w:ascii="宋体" w:hAnsi="宋体" w:eastAsia="方正仿宋_GBK" w:cs="方正仿宋_GBK"/>
          <w:szCs w:val="32"/>
        </w:rPr>
        <w:t>　  重庆市荣昌区人民政府　　　</w:t>
      </w:r>
    </w:p>
    <w:p>
      <w:pPr>
        <w:wordWrap w:val="0"/>
        <w:spacing w:line="560" w:lineRule="exact"/>
        <w:ind w:firstLine="3542" w:firstLineChars="1107"/>
        <w:jc w:val="right"/>
        <w:rPr>
          <w:rFonts w:hint="eastAsia" w:ascii="宋体" w:hAnsi="宋体" w:eastAsia="方正仿宋_GBK" w:cs="方正仿宋_GBK"/>
          <w:color w:val="000000"/>
          <w:kern w:val="0"/>
          <w:szCs w:val="32"/>
        </w:rPr>
      </w:pPr>
      <w:r>
        <w:rPr>
          <w:rFonts w:hint="eastAsia" w:ascii="宋体" w:hAnsi="宋体" w:eastAsia="方正仿宋_GBK" w:cs="方正仿宋_GBK"/>
          <w:color w:val="000000"/>
          <w:kern w:val="0"/>
          <w:szCs w:val="32"/>
        </w:rPr>
        <w:t xml:space="preserve"> </w:t>
      </w:r>
      <w:r>
        <w:rPr>
          <w:rFonts w:hint="eastAsia" w:ascii="宋体" w:hAnsi="宋体" w:cs="方正仿宋_GBK"/>
          <w:color w:val="000000"/>
          <w:kern w:val="0"/>
          <w:szCs w:val="32"/>
          <w:lang w:eastAsia="zh-CN"/>
        </w:rPr>
        <w:t>2023</w:t>
      </w:r>
      <w:r>
        <w:rPr>
          <w:rFonts w:hint="eastAsia" w:ascii="宋体" w:hAnsi="宋体" w:eastAsia="方正仿宋_GBK" w:cs="方正仿宋_GBK"/>
          <w:color w:val="000000"/>
          <w:kern w:val="0"/>
          <w:szCs w:val="32"/>
        </w:rPr>
        <w:t>年</w:t>
      </w:r>
      <w:r>
        <w:rPr>
          <w:rFonts w:hint="eastAsia" w:ascii="宋体" w:hAnsi="宋体" w:cs="方正仿宋_GBK"/>
          <w:color w:val="000000"/>
          <w:kern w:val="0"/>
          <w:szCs w:val="32"/>
          <w:lang w:val="en-US" w:eastAsia="zh-CN"/>
        </w:rPr>
        <w:t>6</w:t>
      </w:r>
      <w:r>
        <w:rPr>
          <w:rFonts w:hint="eastAsia" w:ascii="宋体" w:hAnsi="宋体" w:eastAsia="方正仿宋_GBK" w:cs="方正仿宋_GBK"/>
          <w:color w:val="000000"/>
          <w:kern w:val="0"/>
          <w:szCs w:val="32"/>
        </w:rPr>
        <w:t>月</w:t>
      </w:r>
      <w:r>
        <w:rPr>
          <w:rFonts w:hint="eastAsia" w:ascii="宋体" w:hAnsi="宋体" w:cs="方正仿宋_GBK"/>
          <w:color w:val="000000"/>
          <w:kern w:val="0"/>
          <w:szCs w:val="32"/>
          <w:lang w:val="en-US" w:eastAsia="zh-CN"/>
        </w:rPr>
        <w:t>26</w:t>
      </w:r>
      <w:r>
        <w:rPr>
          <w:rFonts w:hint="eastAsia" w:ascii="宋体" w:hAnsi="宋体" w:eastAsia="方正仿宋_GBK" w:cs="方正仿宋_GBK"/>
          <w:color w:val="000000"/>
          <w:kern w:val="0"/>
          <w:szCs w:val="32"/>
        </w:rPr>
        <w:t>日　　　　</w:t>
      </w:r>
    </w:p>
    <w:p>
      <w:pPr>
        <w:spacing w:line="560" w:lineRule="exact"/>
        <w:ind w:firstLine="640" w:firstLineChars="200"/>
        <w:jc w:val="left"/>
        <w:rPr>
          <w:rFonts w:hint="eastAsia" w:ascii="宋体" w:hAnsi="宋体" w:eastAsia="方正黑体_GBK"/>
          <w:szCs w:val="32"/>
        </w:rPr>
      </w:pPr>
      <w:r>
        <w:rPr>
          <w:rFonts w:hint="eastAsia" w:ascii="宋体" w:hAnsi="宋体" w:eastAsia="方正仿宋_GBK" w:cs="方正仿宋_GBK"/>
          <w:color w:val="000000"/>
          <w:kern w:val="0"/>
          <w:szCs w:val="32"/>
        </w:rPr>
        <w:t>（</w:t>
      </w:r>
      <w:r>
        <w:rPr>
          <w:rFonts w:hint="eastAsia" w:ascii="宋体" w:hAnsi="宋体" w:cs="方正仿宋_GBK"/>
          <w:color w:val="000000"/>
          <w:kern w:val="0"/>
          <w:szCs w:val="32"/>
          <w:lang w:eastAsia="zh-CN"/>
        </w:rPr>
        <w:t>此件公开发布</w:t>
      </w:r>
      <w:r>
        <w:rPr>
          <w:rFonts w:hint="eastAsia" w:ascii="宋体" w:hAnsi="宋体" w:eastAsia="方正仿宋_GBK" w:cs="方正仿宋_GBK"/>
          <w:color w:val="000000"/>
          <w:kern w:val="0"/>
          <w:szCs w:val="32"/>
        </w:rPr>
        <w:t>）</w:t>
      </w:r>
    </w:p>
    <w:p>
      <w:pPr>
        <w:tabs>
          <w:tab w:val="left" w:pos="4800"/>
        </w:tabs>
        <w:rPr>
          <w:rFonts w:hint="eastAsia" w:ascii="宋体" w:hAnsi="宋体" w:eastAsia="方正黑体_GBK"/>
          <w:szCs w:val="32"/>
        </w:rPr>
      </w:pPr>
    </w:p>
    <w:p>
      <w:pPr>
        <w:ind w:firstLine="1590" w:firstLineChars="497"/>
        <w:rPr>
          <w:rFonts w:hint="eastAsia" w:ascii="宋体" w:hAnsi="宋体" w:cs="Times New Roman"/>
          <w:szCs w:val="32"/>
        </w:rPr>
      </w:pPr>
      <w:r>
        <w:rPr>
          <w:rFonts w:hint="eastAsia" w:ascii="宋体" w:hAnsi="宋体" w:eastAsia="方正黑体_GBK"/>
          <w:szCs w:val="32"/>
        </w:rPr>
        <w:br w:type="page"/>
      </w:r>
    </w:p>
    <w:p>
      <w:pPr>
        <w:snapToGrid w:val="0"/>
        <w:ind w:firstLine="280" w:firstLineChars="100"/>
        <w:rPr>
          <w:rFonts w:hint="eastAsia" w:ascii="宋体" w:hAnsi="宋体" w:cs="Times New Roman"/>
          <w:sz w:val="28"/>
          <w:szCs w:val="28"/>
        </w:rPr>
      </w:pPr>
    </w:p>
    <w:p>
      <w:pPr>
        <w:adjustRightInd w:val="0"/>
        <w:snapToGrid w:val="0"/>
        <w:ind w:firstLine="0" w:firstLineChars="0"/>
        <w:rPr>
          <w:rFonts w:hint="eastAsia" w:ascii="宋体" w:hAnsi="宋体" w:eastAsia="方正黑体_GBK" w:cs="Times New Roman"/>
          <w:bCs/>
          <w:szCs w:val="32"/>
        </w:rPr>
      </w:pPr>
      <w:r>
        <w:rPr>
          <w:rFonts w:hint="eastAsia" w:ascii="宋体" w:hAnsi="宋体" w:eastAsia="方正黑体_GBK" w:cs="Times New Roman"/>
          <w:bCs/>
          <w:szCs w:val="32"/>
        </w:rPr>
        <w:t>附件</w:t>
      </w:r>
    </w:p>
    <w:p>
      <w:pPr>
        <w:adjustRightInd w:val="0"/>
        <w:snapToGrid w:val="0"/>
        <w:ind w:firstLine="0" w:firstLineChars="0"/>
        <w:rPr>
          <w:rFonts w:hint="eastAsia" w:ascii="方正仿宋_GBK" w:hAnsi="宋体" w:cs="Times New Roman"/>
          <w:bCs/>
          <w:szCs w:val="32"/>
        </w:rPr>
      </w:pPr>
    </w:p>
    <w:p>
      <w:pPr>
        <w:adjustRightInd w:val="0"/>
        <w:snapToGrid w:val="0"/>
        <w:ind w:firstLine="0" w:firstLineChars="0"/>
        <w:jc w:val="center"/>
        <w:rPr>
          <w:rFonts w:hint="eastAsia" w:ascii="宋体" w:hAnsi="宋体" w:eastAsia="方正小标宋_GBK" w:cs="方正小标宋简体"/>
          <w:bCs/>
          <w:sz w:val="44"/>
          <w:szCs w:val="44"/>
        </w:rPr>
      </w:pPr>
      <w:r>
        <w:rPr>
          <w:rFonts w:hint="eastAsia" w:ascii="宋体" w:hAnsi="宋体" w:eastAsia="方正小标宋_GBK" w:cs="方正小标宋简体"/>
          <w:bCs/>
          <w:sz w:val="44"/>
          <w:szCs w:val="44"/>
        </w:rPr>
        <w:t>征地补偿安置方案</w:t>
      </w:r>
    </w:p>
    <w:p>
      <w:pPr>
        <w:ind w:firstLine="640" w:firstLineChars="200"/>
        <w:rPr>
          <w:rFonts w:hint="eastAsia" w:ascii="方正仿宋_GBK" w:hAnsi="宋体" w:cs="Times New Roman"/>
          <w:bCs/>
          <w:szCs w:val="32"/>
        </w:rPr>
      </w:pP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cs="Times New Roman"/>
          <w:bCs/>
          <w:color w:val="auto"/>
          <w:szCs w:val="32"/>
        </w:rPr>
      </w:pPr>
      <w:r>
        <w:rPr>
          <w:rFonts w:hint="eastAsia" w:ascii="宋体" w:hAnsi="宋体" w:cs="Times New Roman"/>
          <w:bCs/>
          <w:szCs w:val="32"/>
        </w:rPr>
        <w:t>为</w:t>
      </w:r>
      <w:r>
        <w:rPr>
          <w:rFonts w:hint="eastAsia" w:ascii="宋体" w:hAnsi="宋体" w:cs="Times New Roman"/>
          <w:bCs/>
          <w:color w:val="auto"/>
          <w:szCs w:val="32"/>
          <w:lang w:val="en-US" w:eastAsia="zh-CN"/>
        </w:rPr>
        <w:t>建设荣昌区白虎岩水库扩建工程（枢纽区）</w:t>
      </w:r>
      <w:r>
        <w:rPr>
          <w:rFonts w:hint="eastAsia" w:ascii="宋体" w:hAnsi="宋体" w:cs="Times New Roman"/>
          <w:bCs/>
          <w:color w:val="auto"/>
          <w:szCs w:val="32"/>
        </w:rPr>
        <w:t>的</w:t>
      </w:r>
      <w:r>
        <w:rPr>
          <w:rFonts w:ascii="宋体" w:hAnsi="宋体" w:cs="Times New Roman"/>
          <w:bCs/>
          <w:color w:val="auto"/>
          <w:szCs w:val="32"/>
        </w:rPr>
        <w:t>需要</w:t>
      </w:r>
      <w:r>
        <w:rPr>
          <w:rFonts w:hint="eastAsia" w:ascii="宋体" w:hAnsi="宋体" w:cs="Times New Roman"/>
          <w:bCs/>
          <w:color w:val="auto"/>
          <w:szCs w:val="32"/>
        </w:rPr>
        <w:t>，荣</w:t>
      </w:r>
      <w:r>
        <w:rPr>
          <w:rFonts w:ascii="宋体" w:hAnsi="宋体" w:cs="Times New Roman"/>
          <w:bCs/>
          <w:color w:val="auto"/>
          <w:szCs w:val="32"/>
        </w:rPr>
        <w:t>昌</w:t>
      </w:r>
      <w:r>
        <w:rPr>
          <w:rFonts w:hint="eastAsia" w:ascii="宋体" w:hAnsi="宋体" w:cs="Times New Roman"/>
          <w:bCs/>
          <w:color w:val="auto"/>
          <w:szCs w:val="32"/>
        </w:rPr>
        <w:t>区人民政府拟征收</w:t>
      </w:r>
      <w:r>
        <w:rPr>
          <w:rFonts w:hint="eastAsia" w:ascii="宋体" w:hAnsi="宋体" w:cs="Times New Roman"/>
          <w:bCs/>
          <w:color w:val="auto"/>
          <w:szCs w:val="32"/>
          <w:lang w:eastAsia="zh-CN"/>
        </w:rPr>
        <w:t>峰高街道</w:t>
      </w:r>
      <w:r>
        <w:rPr>
          <w:rFonts w:hint="eastAsia" w:ascii="宋体" w:hAnsi="宋体" w:cs="Times New Roman"/>
          <w:bCs/>
          <w:color w:val="auto"/>
          <w:szCs w:val="32"/>
          <w:lang w:val="en-US" w:eastAsia="zh-CN"/>
        </w:rPr>
        <w:t>千秋村、唐冲村</w:t>
      </w:r>
      <w:r>
        <w:rPr>
          <w:rFonts w:hint="eastAsia" w:ascii="宋体" w:hAnsi="宋体" w:cs="Times New Roman"/>
          <w:bCs/>
          <w:color w:val="auto"/>
          <w:szCs w:val="32"/>
        </w:rPr>
        <w:t>集体土地</w:t>
      </w:r>
      <w:r>
        <w:rPr>
          <w:rFonts w:hint="eastAsia" w:ascii="宋体" w:hAnsi="宋体" w:cs="Times New Roman"/>
          <w:bCs/>
          <w:color w:val="auto"/>
          <w:szCs w:val="32"/>
          <w:lang w:val="en-US" w:eastAsia="zh-CN"/>
        </w:rPr>
        <w:t>2.1656</w:t>
      </w:r>
      <w:r>
        <w:rPr>
          <w:rFonts w:hint="eastAsia" w:ascii="宋体" w:hAnsi="宋体" w:cs="Times New Roman"/>
          <w:bCs/>
          <w:color w:val="auto"/>
          <w:szCs w:val="32"/>
        </w:rPr>
        <w:t>公顷。</w:t>
      </w:r>
      <w:r>
        <w:rPr>
          <w:rFonts w:ascii="宋体" w:hAnsi="宋体" w:cs="Times New Roman"/>
          <w:bCs/>
          <w:color w:val="auto"/>
          <w:szCs w:val="32"/>
        </w:rPr>
        <w:t>根据《重庆市集体土地征收补偿安置办法》（重庆市人民政府令第344号）、《重庆市人民政府关于公布征地补偿安置标准有关事项的通知》（渝府发〔2021〕14号）、《重庆市荣昌区人民政府关于印发重庆市荣昌区集体土地征收补偿安置实施办法的通知》（荣昌府发〔2021〕</w:t>
      </w:r>
      <w:r>
        <w:rPr>
          <w:rFonts w:hint="eastAsia" w:ascii="宋体" w:hAnsi="宋体" w:cs="Times New Roman"/>
          <w:bCs/>
          <w:color w:val="auto"/>
          <w:szCs w:val="32"/>
        </w:rPr>
        <w:t>13号）</w:t>
      </w:r>
      <w:r>
        <w:rPr>
          <w:rFonts w:ascii="宋体" w:hAnsi="宋体" w:cs="Times New Roman"/>
          <w:bCs/>
          <w:color w:val="auto"/>
          <w:szCs w:val="32"/>
        </w:rPr>
        <w:t>和有关法律法规规定，结合我区实际，拟定征地补偿安置方案如下：</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eastAsia="方正黑体_GBK" w:cs="方正黑体_GBK"/>
          <w:bCs/>
          <w:color w:val="auto"/>
          <w:szCs w:val="32"/>
        </w:rPr>
      </w:pPr>
      <w:r>
        <w:rPr>
          <w:rFonts w:hint="eastAsia" w:ascii="宋体" w:hAnsi="宋体" w:eastAsia="方正黑体_GBK" w:cs="方正黑体_GBK"/>
          <w:bCs/>
          <w:color w:val="auto"/>
          <w:szCs w:val="32"/>
        </w:rPr>
        <w:t>一、征收范围及土地现状</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cs="Times New Roman"/>
          <w:bCs/>
          <w:color w:val="auto"/>
          <w:szCs w:val="32"/>
        </w:rPr>
      </w:pPr>
      <w:r>
        <w:rPr>
          <w:rFonts w:ascii="宋体" w:hAnsi="宋体" w:cs="Times New Roman"/>
          <w:bCs/>
          <w:color w:val="auto"/>
          <w:szCs w:val="32"/>
        </w:rPr>
        <w:t>拟征</w:t>
      </w:r>
      <w:r>
        <w:rPr>
          <w:rFonts w:hint="eastAsia" w:ascii="宋体" w:hAnsi="宋体" w:cs="Times New Roman"/>
          <w:bCs/>
          <w:color w:val="auto"/>
          <w:szCs w:val="32"/>
        </w:rPr>
        <w:t>收</w:t>
      </w:r>
      <w:r>
        <w:rPr>
          <w:rFonts w:hint="eastAsia" w:ascii="宋体" w:hAnsi="宋体" w:cs="Times New Roman"/>
          <w:bCs/>
          <w:color w:val="auto"/>
          <w:szCs w:val="32"/>
          <w:lang w:eastAsia="zh-CN"/>
        </w:rPr>
        <w:t>峰高街道</w:t>
      </w:r>
      <w:r>
        <w:rPr>
          <w:rFonts w:hint="eastAsia" w:ascii="宋体" w:hAnsi="宋体" w:cs="Times New Roman"/>
          <w:bCs/>
          <w:color w:val="auto"/>
          <w:szCs w:val="32"/>
          <w:lang w:val="en-US" w:eastAsia="zh-CN"/>
        </w:rPr>
        <w:t>千秋村、唐冲村</w:t>
      </w:r>
      <w:r>
        <w:rPr>
          <w:rFonts w:hint="eastAsia" w:ascii="宋体" w:hAnsi="宋体" w:cs="Times New Roman"/>
          <w:bCs/>
          <w:color w:val="auto"/>
          <w:szCs w:val="32"/>
        </w:rPr>
        <w:t>集体土地</w:t>
      </w:r>
      <w:r>
        <w:rPr>
          <w:rFonts w:hint="eastAsia" w:ascii="宋体" w:hAnsi="宋体" w:cs="Times New Roman"/>
          <w:bCs/>
          <w:color w:val="auto"/>
          <w:szCs w:val="32"/>
          <w:lang w:val="en-US" w:eastAsia="zh-CN"/>
        </w:rPr>
        <w:t>2.1656</w:t>
      </w:r>
      <w:r>
        <w:rPr>
          <w:rFonts w:hint="eastAsia" w:ascii="宋体" w:hAnsi="宋体" w:cs="Times New Roman"/>
          <w:bCs/>
          <w:color w:val="auto"/>
          <w:szCs w:val="32"/>
        </w:rPr>
        <w:t>公顷，其中：</w:t>
      </w:r>
      <w:r>
        <w:rPr>
          <w:rFonts w:hint="eastAsia" w:ascii="宋体" w:hAnsi="宋体" w:cs="Times New Roman"/>
          <w:bCs/>
          <w:color w:val="auto"/>
          <w:szCs w:val="32"/>
          <w:lang w:val="en-US" w:eastAsia="zh-CN"/>
        </w:rPr>
        <w:t>峰高街道千秋村1组0.9050</w:t>
      </w:r>
      <w:r>
        <w:rPr>
          <w:rFonts w:hint="eastAsia" w:ascii="宋体" w:hAnsi="宋体" w:cs="Times New Roman"/>
          <w:color w:val="auto"/>
          <w:szCs w:val="32"/>
        </w:rPr>
        <w:t>公顷</w:t>
      </w:r>
      <w:r>
        <w:rPr>
          <w:rFonts w:hint="eastAsia" w:ascii="宋体" w:hAnsi="宋体" w:cs="Times New Roman"/>
          <w:color w:val="auto"/>
          <w:szCs w:val="32"/>
          <w:lang w:eastAsia="zh-CN"/>
        </w:rPr>
        <w:t>、</w:t>
      </w:r>
      <w:r>
        <w:rPr>
          <w:rFonts w:hint="eastAsia" w:ascii="宋体" w:hAnsi="宋体" w:cs="Times New Roman"/>
          <w:color w:val="auto"/>
          <w:szCs w:val="32"/>
          <w:lang w:val="en-US" w:eastAsia="zh-CN"/>
        </w:rPr>
        <w:t>唐冲村4组0.1362公顷、唐冲村5组1.1244公顷</w:t>
      </w:r>
      <w:r>
        <w:rPr>
          <w:rFonts w:hint="eastAsia" w:ascii="宋体" w:hAnsi="宋体" w:cs="Times New Roman"/>
          <w:color w:val="auto"/>
          <w:szCs w:val="32"/>
        </w:rPr>
        <w:t>。具体</w:t>
      </w:r>
      <w:r>
        <w:rPr>
          <w:rFonts w:hint="eastAsia" w:ascii="宋体" w:hAnsi="宋体" w:cs="Times New Roman"/>
          <w:color w:val="auto"/>
          <w:szCs w:val="32"/>
          <w:lang w:val="en-US" w:eastAsia="zh-CN"/>
        </w:rPr>
        <w:t>征收</w:t>
      </w:r>
      <w:r>
        <w:rPr>
          <w:rFonts w:hint="eastAsia" w:ascii="宋体" w:hAnsi="宋体" w:cs="Times New Roman"/>
          <w:color w:val="auto"/>
          <w:szCs w:val="32"/>
        </w:rPr>
        <w:t>范围以勘测定界图为准</w:t>
      </w:r>
      <w:r>
        <w:rPr>
          <w:rFonts w:ascii="宋体" w:hAnsi="宋体" w:cs="Times New Roman"/>
          <w:bCs/>
          <w:color w:val="auto"/>
          <w:szCs w:val="32"/>
        </w:rPr>
        <w:t>。</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cs="Times New Roman"/>
          <w:szCs w:val="32"/>
        </w:rPr>
      </w:pPr>
      <w:r>
        <w:rPr>
          <w:rFonts w:ascii="宋体" w:hAnsi="宋体" w:cs="Times New Roman"/>
          <w:szCs w:val="32"/>
        </w:rPr>
        <w:t>拟征收土地的权属、地类、面积详见</w:t>
      </w:r>
      <w:r>
        <w:rPr>
          <w:rFonts w:hint="eastAsia" w:ascii="宋体" w:hAnsi="宋体" w:cs="Times New Roman"/>
          <w:szCs w:val="32"/>
        </w:rPr>
        <w:t>《</w:t>
      </w:r>
      <w:r>
        <w:rPr>
          <w:rFonts w:ascii="宋体" w:hAnsi="宋体" w:cs="Times New Roman"/>
          <w:szCs w:val="32"/>
        </w:rPr>
        <w:t>土地分类面积</w:t>
      </w:r>
      <w:r>
        <w:rPr>
          <w:rFonts w:hint="eastAsia" w:ascii="宋体" w:hAnsi="宋体" w:cs="Times New Roman"/>
          <w:szCs w:val="32"/>
        </w:rPr>
        <w:t>和征地安置人员情况</w:t>
      </w:r>
      <w:r>
        <w:rPr>
          <w:rFonts w:ascii="宋体" w:hAnsi="宋体" w:cs="Times New Roman"/>
          <w:szCs w:val="32"/>
        </w:rPr>
        <w:t>表</w:t>
      </w:r>
      <w:r>
        <w:rPr>
          <w:rFonts w:hint="eastAsia" w:ascii="宋体" w:hAnsi="宋体" w:cs="Times New Roman"/>
          <w:szCs w:val="32"/>
        </w:rPr>
        <w:t>》</w:t>
      </w:r>
      <w:r>
        <w:rPr>
          <w:rFonts w:ascii="宋体" w:hAnsi="宋体" w:cs="Times New Roman"/>
          <w:szCs w:val="32"/>
        </w:rPr>
        <w:t>（</w:t>
      </w:r>
      <w:r>
        <w:rPr>
          <w:rFonts w:hint="eastAsia" w:ascii="宋体" w:hAnsi="宋体" w:cs="Times New Roman"/>
          <w:szCs w:val="32"/>
        </w:rPr>
        <w:t>附件1）</w:t>
      </w:r>
      <w:r>
        <w:rPr>
          <w:rFonts w:ascii="宋体" w:hAnsi="宋体" w:cs="Times New Roman"/>
          <w:szCs w:val="32"/>
        </w:rPr>
        <w:t>。</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eastAsia="方正黑体_GBK" w:cs="方正黑体_GBK"/>
          <w:bCs/>
          <w:szCs w:val="32"/>
        </w:rPr>
      </w:pPr>
      <w:r>
        <w:rPr>
          <w:rFonts w:ascii="宋体" w:hAnsi="宋体" w:eastAsia="方正黑体_GBK" w:cs="方正黑体_GBK"/>
          <w:bCs/>
          <w:szCs w:val="32"/>
        </w:rPr>
        <w:t>二、征收目的</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szCs w:val="32"/>
        </w:rPr>
      </w:pPr>
      <w:r>
        <w:rPr>
          <w:rFonts w:hint="eastAsia" w:ascii="宋体" w:hAnsi="宋体" w:cs="Times New Roman"/>
          <w:szCs w:val="32"/>
        </w:rPr>
        <w:t>土地征收后，拟用于</w:t>
      </w:r>
      <w:r>
        <w:rPr>
          <w:rFonts w:hint="eastAsia" w:ascii="宋体" w:hAnsi="宋体" w:cs="Times New Roman"/>
          <w:bCs/>
          <w:color w:val="auto"/>
          <w:szCs w:val="32"/>
          <w:lang w:val="en-US" w:eastAsia="zh-CN"/>
        </w:rPr>
        <w:t>荣昌区白虎岩水库扩建工程（枢纽区）</w:t>
      </w:r>
      <w:r>
        <w:rPr>
          <w:rFonts w:hint="eastAsia" w:ascii="宋体" w:hAnsi="宋体" w:cs="Times New Roman"/>
          <w:szCs w:val="32"/>
        </w:rPr>
        <w:t>。</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eastAsia="方正黑体_GBK" w:cs="方正黑体_GBK"/>
          <w:bCs/>
          <w:szCs w:val="32"/>
        </w:rPr>
      </w:pPr>
      <w:r>
        <w:rPr>
          <w:rFonts w:ascii="宋体" w:hAnsi="宋体" w:eastAsia="方正黑体_GBK" w:cs="方正黑体_GBK"/>
          <w:bCs/>
          <w:szCs w:val="32"/>
        </w:rPr>
        <w:t>三、补偿方式和标准</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eastAsia="方正楷体_GBK" w:cs="方正楷体_GBK"/>
          <w:kern w:val="0"/>
          <w:szCs w:val="32"/>
        </w:rPr>
      </w:pPr>
      <w:r>
        <w:rPr>
          <w:rFonts w:hint="eastAsia" w:ascii="宋体" w:hAnsi="宋体" w:eastAsia="方正楷体_GBK" w:cs="方正楷体_GBK"/>
          <w:kern w:val="0"/>
          <w:szCs w:val="32"/>
        </w:rPr>
        <w:t>（一）土地补偿费和安置补助费。</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bCs/>
          <w:szCs w:val="32"/>
        </w:rPr>
      </w:pPr>
      <w:r>
        <w:rPr>
          <w:rFonts w:hint="eastAsia" w:ascii="宋体" w:hAnsi="宋体" w:cs="Times New Roman"/>
          <w:bCs/>
          <w:szCs w:val="32"/>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土地补偿费和安置补助费明细表》（附件2）。</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cs="Times New Roman"/>
          <w:kern w:val="0"/>
          <w:szCs w:val="32"/>
        </w:rPr>
      </w:pPr>
      <w:r>
        <w:rPr>
          <w:rFonts w:hint="eastAsia" w:ascii="宋体" w:hAnsi="宋体" w:eastAsia="方正楷体_GBK" w:cs="方正楷体_GBK"/>
          <w:kern w:val="0"/>
          <w:szCs w:val="32"/>
        </w:rPr>
        <w:t>1﹒土地补偿费。</w:t>
      </w:r>
      <w:r>
        <w:rPr>
          <w:rFonts w:hint="eastAsia" w:ascii="宋体" w:hAnsi="宋体" w:cs="Times New Roman"/>
          <w:kern w:val="0"/>
          <w:szCs w:val="32"/>
        </w:rPr>
        <w:t>土地补偿费</w:t>
      </w:r>
      <w:r>
        <w:rPr>
          <w:rFonts w:ascii="宋体" w:hAnsi="宋体" w:cs="Times New Roman"/>
          <w:kern w:val="0"/>
          <w:szCs w:val="32"/>
        </w:rPr>
        <w:t>由荣昌区</w:t>
      </w:r>
      <w:r>
        <w:rPr>
          <w:rFonts w:hint="eastAsia" w:ascii="宋体" w:hAnsi="宋体" w:cs="Times New Roman"/>
          <w:kern w:val="0"/>
          <w:szCs w:val="32"/>
        </w:rPr>
        <w:t>房屋</w:t>
      </w:r>
      <w:r>
        <w:rPr>
          <w:rFonts w:ascii="宋体" w:hAnsi="宋体" w:cs="Times New Roman"/>
          <w:kern w:val="0"/>
          <w:szCs w:val="32"/>
        </w:rPr>
        <w:t>征地拆迁中心支付给被征地农村集体经济组织</w:t>
      </w:r>
      <w:r>
        <w:rPr>
          <w:rFonts w:hint="eastAsia" w:ascii="宋体" w:hAnsi="宋体" w:cs="Times New Roman"/>
          <w:kern w:val="0"/>
          <w:szCs w:val="32"/>
        </w:rPr>
        <w:t>。</w:t>
      </w:r>
      <w:r>
        <w:rPr>
          <w:rFonts w:ascii="宋体" w:hAnsi="宋体" w:cs="Times New Roman"/>
          <w:kern w:val="0"/>
          <w:szCs w:val="32"/>
        </w:rPr>
        <w:t>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cs="Times New Roman"/>
          <w:kern w:val="0"/>
          <w:szCs w:val="32"/>
        </w:rPr>
      </w:pPr>
      <w:r>
        <w:rPr>
          <w:rFonts w:hint="eastAsia" w:ascii="宋体" w:hAnsi="宋体" w:eastAsia="方正楷体_GBK" w:cs="方正楷体_GBK"/>
          <w:kern w:val="0"/>
          <w:szCs w:val="32"/>
        </w:rPr>
        <w:t>2﹒</w:t>
      </w:r>
      <w:r>
        <w:rPr>
          <w:rFonts w:ascii="宋体" w:hAnsi="宋体" w:eastAsia="方正楷体_GBK" w:cs="方正楷体_GBK"/>
          <w:kern w:val="0"/>
          <w:szCs w:val="32"/>
        </w:rPr>
        <w:t>安置补助费</w:t>
      </w:r>
      <w:r>
        <w:rPr>
          <w:rFonts w:hint="eastAsia" w:ascii="宋体" w:hAnsi="宋体" w:eastAsia="方正楷体_GBK" w:cs="方正楷体_GBK"/>
          <w:kern w:val="0"/>
          <w:szCs w:val="32"/>
        </w:rPr>
        <w:t>。</w:t>
      </w:r>
      <w:r>
        <w:rPr>
          <w:rFonts w:hint="eastAsia" w:ascii="宋体" w:hAnsi="宋体" w:cs="Times New Roman"/>
          <w:kern w:val="0"/>
          <w:szCs w:val="32"/>
        </w:rPr>
        <w:t>安置补助费由荣昌</w:t>
      </w:r>
      <w:r>
        <w:rPr>
          <w:rFonts w:ascii="宋体" w:hAnsi="宋体" w:cs="Times New Roman"/>
          <w:kern w:val="0"/>
          <w:szCs w:val="32"/>
        </w:rPr>
        <w:t>区</w:t>
      </w:r>
      <w:r>
        <w:rPr>
          <w:rFonts w:hint="eastAsia" w:ascii="宋体" w:hAnsi="宋体" w:cs="Times New Roman"/>
          <w:kern w:val="0"/>
          <w:szCs w:val="32"/>
        </w:rPr>
        <w:t>房屋</w:t>
      </w:r>
      <w:r>
        <w:rPr>
          <w:rFonts w:ascii="宋体" w:hAnsi="宋体" w:cs="Times New Roman"/>
          <w:kern w:val="0"/>
          <w:szCs w:val="32"/>
        </w:rPr>
        <w:t>征地拆迁中心</w:t>
      </w:r>
      <w:r>
        <w:rPr>
          <w:rFonts w:hint="eastAsia" w:ascii="宋体" w:hAnsi="宋体" w:cs="Times New Roman"/>
          <w:kern w:val="0"/>
          <w:szCs w:val="32"/>
        </w:rPr>
        <w:t>按照35000元/人的</w:t>
      </w:r>
      <w:r>
        <w:rPr>
          <w:rFonts w:hint="eastAsia" w:ascii="宋体" w:hAnsi="宋体" w:cs="Times New Roman"/>
          <w:kern w:val="0"/>
          <w:szCs w:val="32"/>
          <w:lang w:val="en-US" w:eastAsia="zh-CN"/>
        </w:rPr>
        <w:t>标准</w:t>
      </w:r>
      <w:r>
        <w:rPr>
          <w:rFonts w:hint="eastAsia" w:ascii="宋体" w:hAnsi="宋体" w:cs="Times New Roman"/>
          <w:kern w:val="0"/>
          <w:szCs w:val="32"/>
        </w:rPr>
        <w:t>支付给人员安置对象。安置补助费支付后有结余的，结余部分交由农村集体经济组织依法管理和使用；不足的，由荣昌区人民政府安排资金予以补足。</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eastAsia="方正楷体_GBK" w:cs="方正楷体_GBK"/>
          <w:kern w:val="0"/>
          <w:szCs w:val="32"/>
        </w:rPr>
      </w:pPr>
      <w:r>
        <w:rPr>
          <w:rFonts w:ascii="宋体" w:hAnsi="宋体" w:eastAsia="方正楷体_GBK" w:cs="方正楷体_GBK"/>
          <w:kern w:val="0"/>
          <w:szCs w:val="32"/>
        </w:rPr>
        <w:t>（二）农村房屋补偿费。</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eastAsia="方正楷体_GBK" w:cs="方正楷体_GBK"/>
          <w:kern w:val="0"/>
          <w:szCs w:val="32"/>
        </w:rPr>
      </w:pPr>
      <w:r>
        <w:rPr>
          <w:rFonts w:ascii="宋体" w:hAnsi="宋体" w:cs="Times New Roman"/>
          <w:kern w:val="0"/>
          <w:szCs w:val="32"/>
        </w:rPr>
        <w:t>农村房屋以不动产权属证书记载的合法建筑面积为准，按照</w:t>
      </w:r>
      <w:r>
        <w:rPr>
          <w:rFonts w:ascii="宋体" w:hAnsi="宋体" w:cs="Times New Roman"/>
          <w:bCs/>
          <w:szCs w:val="32"/>
        </w:rPr>
        <w:t>《重庆市荣昌区人民政府关于印发重庆市荣昌区集体土地征收补偿安置实施办法的通知》（荣昌府发〔2021〕</w:t>
      </w:r>
      <w:r>
        <w:rPr>
          <w:rFonts w:hint="eastAsia" w:ascii="宋体" w:hAnsi="宋体" w:cs="Times New Roman"/>
          <w:bCs/>
          <w:szCs w:val="32"/>
        </w:rPr>
        <w:t>13号）</w:t>
      </w:r>
      <w:r>
        <w:rPr>
          <w:rFonts w:hint="eastAsia" w:ascii="宋体" w:hAnsi="宋体" w:cs="Times New Roman"/>
          <w:kern w:val="0"/>
          <w:szCs w:val="32"/>
        </w:rPr>
        <w:t>制定公布的</w:t>
      </w:r>
      <w:r>
        <w:rPr>
          <w:rFonts w:ascii="宋体" w:hAnsi="宋体" w:cs="Times New Roman"/>
          <w:kern w:val="0"/>
          <w:szCs w:val="32"/>
        </w:rPr>
        <w:t>重置价格标准补偿。</w:t>
      </w:r>
    </w:p>
    <w:p>
      <w:pPr>
        <w:keepNext w:val="0"/>
        <w:keepLines w:val="0"/>
        <w:pageBreakBefore w:val="0"/>
        <w:numPr>
          <w:ilvl w:val="0"/>
          <w:numId w:val="1"/>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宋体" w:hAnsi="宋体" w:eastAsia="方正楷体_GBK" w:cs="方正楷体_GBK"/>
          <w:color w:val="000000"/>
          <w:sz w:val="32"/>
          <w:szCs w:val="32"/>
          <w:lang w:val="en-US" w:eastAsia="zh-CN" w:bidi="ar-SA"/>
        </w:rPr>
      </w:pPr>
      <w:r>
        <w:rPr>
          <w:rFonts w:hint="eastAsia" w:ascii="宋体" w:hAnsi="宋体" w:eastAsia="方正楷体_GBK" w:cs="方正楷体_GBK"/>
          <w:color w:val="000000"/>
          <w:sz w:val="32"/>
          <w:szCs w:val="32"/>
          <w:lang w:val="en-US" w:eastAsia="zh-CN" w:bidi="ar-SA"/>
        </w:rPr>
        <w:t>青苗和其他地上附着物补偿费。</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eastAsia" w:ascii="宋体" w:hAnsi="宋体" w:eastAsia="方正仿宋_GBK" w:cs="Arial"/>
          <w:color w:val="000000"/>
          <w:sz w:val="32"/>
          <w:szCs w:val="32"/>
          <w:lang w:val="en-US" w:eastAsia="zh-CN" w:bidi="ar-SA"/>
        </w:rPr>
      </w:pPr>
      <w:r>
        <w:rPr>
          <w:rFonts w:hint="eastAsia" w:ascii="宋体" w:hAnsi="宋体" w:eastAsia="方正仿宋_GBK" w:cs="Arial"/>
          <w:color w:val="000000"/>
          <w:sz w:val="32"/>
          <w:szCs w:val="32"/>
          <w:lang w:val="en-US" w:eastAsia="zh-CN" w:bidi="ar-SA"/>
        </w:rPr>
        <w:t>1﹒青苗及林木和其他经济作物</w:t>
      </w:r>
      <w:r>
        <w:rPr>
          <w:rFonts w:ascii="宋体" w:hAnsi="宋体" w:eastAsia="方正仿宋_GBK" w:cs="Arial"/>
          <w:color w:val="000000"/>
          <w:sz w:val="32"/>
          <w:szCs w:val="32"/>
          <w:lang w:val="en-US" w:eastAsia="zh-CN" w:bidi="ar-SA"/>
        </w:rPr>
        <w:t>实行综合定额补偿，以被征收土地面积扣除林地后的面积为准，补偿</w:t>
      </w:r>
      <w:r>
        <w:rPr>
          <w:rFonts w:hint="eastAsia" w:ascii="宋体" w:hAnsi="宋体" w:eastAsia="方正仿宋_GBK" w:cs="Arial"/>
          <w:color w:val="000000"/>
          <w:sz w:val="32"/>
          <w:szCs w:val="32"/>
          <w:lang w:val="en-US" w:eastAsia="zh-CN" w:bidi="ar-SA"/>
        </w:rPr>
        <w:t>标准为</w:t>
      </w:r>
      <w:r>
        <w:rPr>
          <w:rFonts w:hint="eastAsia" w:ascii="宋体" w:hAnsi="宋体" w:eastAsia="方正仿宋_GBK" w:cs="Times New Roman"/>
          <w:color w:val="000000"/>
          <w:sz w:val="32"/>
          <w:szCs w:val="32"/>
          <w:lang w:val="en-US" w:eastAsia="zh-CN" w:bidi="ar-SA"/>
        </w:rPr>
        <w:t>8000</w:t>
      </w:r>
      <w:r>
        <w:rPr>
          <w:rFonts w:ascii="宋体" w:hAnsi="宋体" w:eastAsia="方正仿宋_GBK" w:cs="Arial"/>
          <w:color w:val="000000"/>
          <w:sz w:val="32"/>
          <w:szCs w:val="32"/>
          <w:lang w:val="en-US" w:eastAsia="zh-CN" w:bidi="ar-SA"/>
        </w:rPr>
        <w:t>元</w:t>
      </w:r>
      <w:r>
        <w:rPr>
          <w:rFonts w:hint="eastAsia" w:ascii="宋体" w:hAnsi="宋体" w:eastAsia="方正仿宋_GBK" w:cs="Arial"/>
          <w:color w:val="000000"/>
          <w:sz w:val="32"/>
          <w:szCs w:val="32"/>
          <w:lang w:val="en-US" w:eastAsia="zh-CN" w:bidi="ar-SA"/>
        </w:rPr>
        <w:t>/亩</w:t>
      </w:r>
      <w:r>
        <w:rPr>
          <w:rFonts w:ascii="宋体" w:hAnsi="宋体" w:eastAsia="方正仿宋_GBK" w:cs="Arial"/>
          <w:color w:val="000000"/>
          <w:sz w:val="32"/>
          <w:szCs w:val="32"/>
          <w:lang w:val="en-US" w:eastAsia="zh-CN" w:bidi="ar-SA"/>
        </w:rPr>
        <w:t>。</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kern w:val="0"/>
          <w:szCs w:val="32"/>
        </w:rPr>
      </w:pPr>
      <w:r>
        <w:rPr>
          <w:rFonts w:hint="eastAsia" w:ascii="宋体" w:hAnsi="宋体" w:cs="Times New Roman"/>
          <w:kern w:val="0"/>
          <w:szCs w:val="32"/>
        </w:rPr>
        <w:t>涉及征收林地的，按照国家和本市征收林地的有关规定执行，补偿标准低于综合定额补偿标准的，按照综合定额补偿标准进行补偿。</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kern w:val="0"/>
          <w:szCs w:val="32"/>
        </w:rPr>
      </w:pPr>
      <w:r>
        <w:rPr>
          <w:rFonts w:hint="eastAsia" w:ascii="宋体" w:hAnsi="宋体" w:cs="Times New Roman"/>
          <w:kern w:val="0"/>
          <w:szCs w:val="32"/>
        </w:rPr>
        <w:t>2﹒其他地上建（构）筑物以实际清理丈量为准计算，补偿标准按《重</w:t>
      </w:r>
      <w:r>
        <w:rPr>
          <w:rFonts w:ascii="宋体" w:hAnsi="宋体" w:cs="Times New Roman"/>
          <w:kern w:val="0"/>
          <w:szCs w:val="32"/>
        </w:rPr>
        <w:t>庆市荣昌</w:t>
      </w:r>
      <w:r>
        <w:rPr>
          <w:rFonts w:hint="eastAsia" w:ascii="宋体" w:hAnsi="宋体" w:cs="Times New Roman"/>
          <w:kern w:val="0"/>
          <w:szCs w:val="32"/>
        </w:rPr>
        <w:t>区人民政府关于印发重庆市荣昌区集体土地征收补偿安置实施办法的通知》（荣</w:t>
      </w:r>
      <w:r>
        <w:rPr>
          <w:rFonts w:ascii="宋体" w:hAnsi="宋体" w:cs="Times New Roman"/>
          <w:kern w:val="0"/>
          <w:szCs w:val="32"/>
        </w:rPr>
        <w:t>昌</w:t>
      </w:r>
      <w:r>
        <w:rPr>
          <w:rFonts w:hint="eastAsia" w:ascii="宋体" w:hAnsi="宋体" w:cs="Times New Roman"/>
          <w:kern w:val="0"/>
          <w:szCs w:val="32"/>
        </w:rPr>
        <w:t>府发〔2021〕13号）文件附件3执行。</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eastAsia" w:ascii="宋体" w:hAnsi="宋体" w:eastAsia="方正仿宋_GBK" w:cs="Times New Roman"/>
          <w:color w:val="auto"/>
          <w:sz w:val="32"/>
          <w:szCs w:val="32"/>
          <w:lang w:val="en-US" w:eastAsia="zh-CN" w:bidi="ar-SA"/>
        </w:rPr>
      </w:pPr>
      <w:r>
        <w:rPr>
          <w:rFonts w:hint="eastAsia" w:ascii="宋体" w:hAnsi="宋体" w:eastAsia="方正仿宋_GBK" w:cs="Times New Roman"/>
          <w:color w:val="auto"/>
          <w:sz w:val="32"/>
          <w:szCs w:val="32"/>
          <w:lang w:val="en-US" w:eastAsia="zh-CN" w:bidi="ar-SA"/>
        </w:rPr>
        <w:t>3﹒</w:t>
      </w:r>
      <w:r>
        <w:rPr>
          <w:rFonts w:hint="eastAsia" w:ascii="宋体" w:hAnsi="宋体" w:eastAsia="方正仿宋_GBK" w:cs="Arial"/>
          <w:color w:val="000000"/>
          <w:sz w:val="32"/>
          <w:szCs w:val="32"/>
          <w:lang w:val="en-US" w:eastAsia="zh-CN" w:bidi="ar-SA"/>
        </w:rPr>
        <w:t>支付方式</w:t>
      </w:r>
      <w:r>
        <w:rPr>
          <w:rFonts w:hint="eastAsia" w:ascii="宋体" w:hAnsi="宋体" w:eastAsia="方正仿宋_GBK" w:cs="Times New Roman"/>
          <w:color w:val="auto"/>
          <w:sz w:val="32"/>
          <w:szCs w:val="32"/>
          <w:lang w:val="en-US" w:eastAsia="zh-CN" w:bidi="ar-SA"/>
        </w:rPr>
        <w:t>。青苗及林木和其他经济作物补偿费由荣昌区房屋征地拆迁中心按规定标准支付给被征地农村集体经济组织，并委托被征地农村集体经济组织支付给所有权人；峰高街道办事处及相关村委会负责监督落实兑付给所有权人，青苗及林木和其他经济作物所有权人在规定时间内领取；其他地上建（构）筑物补偿费由峰高街道办事处按规定标准支付给所有权人。</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kern w:val="0"/>
          <w:szCs w:val="32"/>
        </w:rPr>
      </w:pPr>
      <w:r>
        <w:rPr>
          <w:rFonts w:hint="eastAsia" w:ascii="宋体" w:hAnsi="宋体" w:cs="Times New Roman"/>
          <w:kern w:val="0"/>
          <w:szCs w:val="32"/>
        </w:rPr>
        <w:t>4﹒建（构）筑物及其它附着物的拆除。有证房屋残值按标准补偿后，由</w:t>
      </w:r>
      <w:r>
        <w:rPr>
          <w:rFonts w:hint="eastAsia" w:ascii="宋体" w:hAnsi="宋体" w:cs="Times New Roman"/>
          <w:kern w:val="0"/>
          <w:szCs w:val="32"/>
          <w:lang w:eastAsia="zh-CN"/>
        </w:rPr>
        <w:t>峰高街道</w:t>
      </w:r>
      <w:r>
        <w:rPr>
          <w:rFonts w:hint="eastAsia" w:ascii="宋体" w:hAnsi="宋体" w:eastAsia="方正仿宋_GBK" w:cs="Times New Roman"/>
          <w:color w:val="auto"/>
          <w:sz w:val="32"/>
          <w:szCs w:val="32"/>
          <w:lang w:val="en-US" w:eastAsia="zh-CN"/>
        </w:rPr>
        <w:t>办事处</w:t>
      </w:r>
      <w:r>
        <w:rPr>
          <w:rFonts w:hint="eastAsia" w:ascii="宋体" w:hAnsi="宋体" w:cs="Times New Roman"/>
          <w:kern w:val="0"/>
          <w:szCs w:val="32"/>
        </w:rPr>
        <w:t>统一组织拆除。有证房屋残值补偿标准：钢砼结构40元/㎡，砖混结构30元/㎡，砖木结构25元/㎡，其它结构20元/㎡。</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eastAsia" w:ascii="宋体" w:hAnsi="宋体" w:eastAsia="方正黑体_GBK" w:cs="方正黑体_GBK"/>
          <w:color w:val="auto"/>
          <w:sz w:val="32"/>
          <w:szCs w:val="32"/>
          <w:lang w:val="en-US" w:eastAsia="zh-CN" w:bidi="ar-SA"/>
        </w:rPr>
      </w:pPr>
      <w:r>
        <w:rPr>
          <w:rFonts w:hint="eastAsia" w:ascii="宋体" w:hAnsi="宋体" w:eastAsia="方正黑体_GBK" w:cs="方正黑体_GBK"/>
          <w:color w:val="auto"/>
          <w:sz w:val="32"/>
          <w:szCs w:val="32"/>
          <w:lang w:val="en-US" w:eastAsia="zh-CN" w:bidi="ar-SA"/>
        </w:rPr>
        <w:t>四、不予补偿的情形</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eastAsia" w:ascii="宋体" w:hAnsi="宋体" w:eastAsia="方正仿宋_GBK" w:cs="方正仿宋_GBK"/>
          <w:color w:val="auto"/>
          <w:sz w:val="32"/>
          <w:szCs w:val="32"/>
          <w:lang w:val="en-US" w:eastAsia="zh-CN" w:bidi="ar-SA"/>
        </w:rPr>
      </w:pPr>
      <w:r>
        <w:rPr>
          <w:rFonts w:hint="eastAsia" w:ascii="宋体" w:hAnsi="宋体" w:eastAsia="方正仿宋_GBK" w:cs="方正仿宋_GBK"/>
          <w:color w:val="auto"/>
          <w:sz w:val="32"/>
          <w:szCs w:val="32"/>
          <w:lang w:val="en-US" w:eastAsia="zh-CN" w:bidi="ar-SA"/>
        </w:rPr>
        <w:t>有下列情形之一的，不予补偿：</w:t>
      </w:r>
    </w:p>
    <w:p>
      <w:pPr>
        <w:keepNext w:val="0"/>
        <w:keepLines w:val="0"/>
        <w:pageBreakBefore w:val="0"/>
        <w:kinsoku/>
        <w:wordWrap/>
        <w:overflowPunct/>
        <w:topLinePunct w:val="0"/>
        <w:autoSpaceDE w:val="0"/>
        <w:bidi w:val="0"/>
        <w:snapToGrid/>
        <w:spacing w:line="240" w:lineRule="auto"/>
        <w:ind w:firstLine="640" w:firstLineChars="200"/>
        <w:jc w:val="both"/>
        <w:textAlignment w:val="auto"/>
        <w:rPr>
          <w:rFonts w:ascii="宋体" w:hAnsi="宋体" w:cs="Times New Roman"/>
          <w:szCs w:val="20"/>
        </w:rPr>
      </w:pPr>
      <w:r>
        <w:rPr>
          <w:rFonts w:hint="eastAsia" w:ascii="宋体" w:hAnsi="宋体" w:cs="Times New Roman"/>
          <w:szCs w:val="20"/>
        </w:rPr>
        <w:t>1﹒违法建（构）筑物；</w:t>
      </w:r>
    </w:p>
    <w:p>
      <w:pPr>
        <w:keepNext w:val="0"/>
        <w:keepLines w:val="0"/>
        <w:pageBreakBefore w:val="0"/>
        <w:kinsoku/>
        <w:wordWrap/>
        <w:overflowPunct/>
        <w:topLinePunct w:val="0"/>
        <w:autoSpaceDE w:val="0"/>
        <w:bidi w:val="0"/>
        <w:snapToGrid/>
        <w:spacing w:line="240" w:lineRule="auto"/>
        <w:ind w:firstLine="640" w:firstLineChars="200"/>
        <w:jc w:val="both"/>
        <w:textAlignment w:val="auto"/>
        <w:rPr>
          <w:rFonts w:ascii="宋体" w:hAnsi="宋体" w:cs="Times New Roman"/>
          <w:szCs w:val="20"/>
        </w:rPr>
      </w:pPr>
      <w:r>
        <w:rPr>
          <w:rFonts w:hint="eastAsia" w:ascii="宋体" w:hAnsi="宋体" w:cs="Times New Roman"/>
          <w:szCs w:val="20"/>
        </w:rPr>
        <w:t>2﹒区人民政府发布征收土地预公告后栽种的青苗及花草、树木等附着物；</w:t>
      </w:r>
    </w:p>
    <w:p>
      <w:pPr>
        <w:keepNext w:val="0"/>
        <w:keepLines w:val="0"/>
        <w:pageBreakBefore w:val="0"/>
        <w:kinsoku/>
        <w:wordWrap/>
        <w:overflowPunct/>
        <w:topLinePunct w:val="0"/>
        <w:autoSpaceDE w:val="0"/>
        <w:bidi w:val="0"/>
        <w:snapToGrid/>
        <w:spacing w:line="240" w:lineRule="auto"/>
        <w:ind w:firstLine="640" w:firstLineChars="200"/>
        <w:jc w:val="both"/>
        <w:textAlignment w:val="auto"/>
        <w:rPr>
          <w:rFonts w:hint="eastAsia" w:ascii="宋体" w:hAnsi="宋体" w:cs="Times New Roman"/>
          <w:szCs w:val="20"/>
        </w:rPr>
      </w:pPr>
      <w:r>
        <w:rPr>
          <w:rFonts w:hint="eastAsia" w:ascii="宋体" w:hAnsi="宋体" w:cs="Times New Roman"/>
          <w:szCs w:val="20"/>
        </w:rPr>
        <w:t>3﹒其他不当增加补偿费用的情形。</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eastAsia="方正黑体_GBK" w:cs="方正黑体_GBK"/>
          <w:bCs/>
          <w:szCs w:val="32"/>
        </w:rPr>
      </w:pPr>
      <w:r>
        <w:rPr>
          <w:rFonts w:hint="eastAsia" w:ascii="宋体" w:hAnsi="宋体" w:eastAsia="方正黑体_GBK" w:cs="方正黑体_GBK"/>
          <w:bCs/>
          <w:szCs w:val="32"/>
        </w:rPr>
        <w:t>五</w:t>
      </w:r>
      <w:r>
        <w:rPr>
          <w:rFonts w:ascii="宋体" w:hAnsi="宋体" w:eastAsia="方正黑体_GBK" w:cs="方正黑体_GBK"/>
          <w:bCs/>
          <w:szCs w:val="32"/>
        </w:rPr>
        <w:t>、安置对象及安置方式</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eastAsia="方正楷体_GBK" w:cs="方正楷体_GBK"/>
          <w:kern w:val="0"/>
          <w:szCs w:val="32"/>
        </w:rPr>
      </w:pPr>
      <w:r>
        <w:rPr>
          <w:rFonts w:ascii="宋体" w:hAnsi="宋体" w:eastAsia="方正楷体_GBK" w:cs="方正楷体_GBK"/>
          <w:kern w:val="0"/>
          <w:szCs w:val="32"/>
        </w:rPr>
        <w:t>（一）人员安置。</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cs="Times New Roman"/>
          <w:szCs w:val="32"/>
        </w:rPr>
      </w:pPr>
      <w:r>
        <w:rPr>
          <w:rFonts w:ascii="宋体" w:hAnsi="宋体" w:cs="Times New Roman"/>
          <w:szCs w:val="32"/>
        </w:rPr>
        <w:t>人员安置对象</w:t>
      </w:r>
      <w:r>
        <w:rPr>
          <w:rFonts w:hint="eastAsia" w:ascii="宋体" w:hAnsi="宋体" w:cs="Times New Roman"/>
          <w:szCs w:val="32"/>
        </w:rPr>
        <w:t>范围及具体确定办法，按照《重庆市集体土地征收补偿安置办法》（重庆市人民政府令第344号）第十三条、第十四条、第十五条、第十六条规定执行。本次征地人员安置对象共</w:t>
      </w:r>
      <w:r>
        <w:rPr>
          <w:rFonts w:hint="eastAsia" w:ascii="宋体" w:hAnsi="宋体" w:cs="Times New Roman"/>
          <w:color w:val="auto"/>
          <w:szCs w:val="32"/>
          <w:lang w:val="en-US" w:eastAsia="zh-CN"/>
        </w:rPr>
        <w:t>15</w:t>
      </w:r>
      <w:r>
        <w:rPr>
          <w:rFonts w:hint="eastAsia" w:ascii="宋体" w:hAnsi="宋体" w:cs="Times New Roman"/>
          <w:szCs w:val="32"/>
        </w:rPr>
        <w:t>人</w:t>
      </w:r>
      <w:r>
        <w:rPr>
          <w:rFonts w:ascii="宋体" w:hAnsi="宋体" w:cs="Times New Roman"/>
          <w:szCs w:val="32"/>
        </w:rPr>
        <w:t>（</w:t>
      </w:r>
      <w:r>
        <w:rPr>
          <w:rFonts w:hint="eastAsia" w:ascii="宋体" w:hAnsi="宋体" w:cs="Times New Roman"/>
          <w:szCs w:val="32"/>
        </w:rPr>
        <w:t>附件1），</w:t>
      </w:r>
      <w:r>
        <w:rPr>
          <w:rFonts w:hint="eastAsia" w:ascii="Times New Roman" w:hAnsi="Times New Roman" w:cs="Times New Roman"/>
          <w:kern w:val="0"/>
          <w:szCs w:val="32"/>
        </w:rPr>
        <w:t>具体人数以区政府按规定核准的人数为准。</w:t>
      </w:r>
      <w:r>
        <w:rPr>
          <w:rFonts w:hint="eastAsia" w:ascii="宋体" w:hAnsi="宋体" w:cs="Times New Roman"/>
          <w:szCs w:val="32"/>
        </w:rPr>
        <w:t>由荣昌区房屋征地拆迁中心采取发放安置补助费的方式进行安置，每个人员安置对象的安置补助费发放标准为</w:t>
      </w:r>
      <w:r>
        <w:rPr>
          <w:rFonts w:hint="eastAsia" w:ascii="宋体" w:hAnsi="宋体" w:cs="Times New Roman"/>
          <w:kern w:val="0"/>
          <w:szCs w:val="32"/>
        </w:rPr>
        <w:t>35000</w:t>
      </w:r>
      <w:r>
        <w:rPr>
          <w:rFonts w:hint="eastAsia" w:ascii="宋体" w:hAnsi="宋体" w:cs="Times New Roman"/>
          <w:szCs w:val="32"/>
        </w:rPr>
        <w:t>元</w:t>
      </w:r>
      <w:r>
        <w:rPr>
          <w:rFonts w:ascii="宋体" w:hAnsi="宋体" w:cs="Times New Roman"/>
          <w:szCs w:val="32"/>
        </w:rPr>
        <w:t>。</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eastAsia="方正楷体_GBK" w:cs="方正楷体_GBK"/>
          <w:kern w:val="0"/>
          <w:szCs w:val="32"/>
        </w:rPr>
      </w:pPr>
      <w:r>
        <w:rPr>
          <w:rFonts w:ascii="宋体" w:hAnsi="宋体" w:eastAsia="方正楷体_GBK" w:cs="方正楷体_GBK"/>
          <w:kern w:val="0"/>
          <w:szCs w:val="32"/>
        </w:rPr>
        <w:t>（二）住房安置。</w:t>
      </w:r>
    </w:p>
    <w:p>
      <w:pPr>
        <w:keepNext w:val="0"/>
        <w:keepLines w:val="0"/>
        <w:pageBreakBefore w:val="0"/>
        <w:kinsoku/>
        <w:wordWrap/>
        <w:overflowPunct/>
        <w:topLinePunct w:val="0"/>
        <w:autoSpaceDE w:val="0"/>
        <w:bidi w:val="0"/>
        <w:snapToGrid/>
        <w:spacing w:line="240" w:lineRule="auto"/>
        <w:ind w:firstLine="640" w:firstLineChars="200"/>
        <w:jc w:val="both"/>
        <w:textAlignment w:val="auto"/>
        <w:rPr>
          <w:rFonts w:ascii="宋体" w:hAnsi="宋体" w:cs="Times New Roman"/>
          <w:szCs w:val="32"/>
        </w:rPr>
      </w:pPr>
      <w:r>
        <w:rPr>
          <w:rFonts w:ascii="宋体" w:hAnsi="宋体" w:cs="Times New Roman"/>
          <w:szCs w:val="32"/>
        </w:rPr>
        <w:t>住房安置对象</w:t>
      </w:r>
      <w:r>
        <w:rPr>
          <w:rFonts w:hint="eastAsia" w:ascii="宋体" w:hAnsi="宋体" w:cs="Times New Roman"/>
          <w:szCs w:val="32"/>
        </w:rPr>
        <w:t>范围及具体确定办法，按照《重庆市集体土地征收补偿安置办法》（重庆市人民政府令第344号）第十三条、第十四条、第十九条、第二十条规定执行。</w:t>
      </w:r>
      <w:r>
        <w:rPr>
          <w:rFonts w:hint="eastAsia" w:ascii="宋体" w:hAnsi="宋体" w:cs="Times New Roman"/>
          <w:color w:val="auto"/>
          <w:szCs w:val="32"/>
        </w:rPr>
        <w:t>对住房安置对象</w:t>
      </w:r>
      <w:r>
        <w:rPr>
          <w:rFonts w:ascii="宋体" w:hAnsi="宋体" w:cs="Times New Roman"/>
          <w:color w:val="auto"/>
          <w:szCs w:val="32"/>
        </w:rPr>
        <w:t>采取</w:t>
      </w:r>
      <w:r>
        <w:rPr>
          <w:rFonts w:hint="eastAsia" w:ascii="方正仿宋_GBK" w:hAnsi="Times New Roman" w:eastAsia="方正仿宋_GBK" w:cs="Times New Roman"/>
          <w:bCs/>
          <w:szCs w:val="32"/>
        </w:rPr>
        <w:t>农村宅基地自建安置</w:t>
      </w:r>
      <w:r>
        <w:rPr>
          <w:rFonts w:hint="eastAsia" w:ascii="方正仿宋_GBK" w:hAnsi="Times New Roman" w:cs="Times New Roman"/>
          <w:bCs/>
          <w:szCs w:val="32"/>
          <w:lang w:eastAsia="zh-CN"/>
        </w:rPr>
        <w:t>、</w:t>
      </w:r>
      <w:r>
        <w:rPr>
          <w:rFonts w:hint="eastAsia" w:ascii="方正仿宋_GBK" w:hAnsi="Times New Roman" w:cs="Times New Roman"/>
          <w:bCs/>
          <w:szCs w:val="32"/>
          <w:lang w:val="en-US" w:eastAsia="zh-CN"/>
        </w:rPr>
        <w:t>安置房安置</w:t>
      </w:r>
      <w:r>
        <w:rPr>
          <w:rFonts w:hint="eastAsia" w:ascii="宋体" w:hAnsi="宋体" w:cs="Times New Roman"/>
          <w:color w:val="auto"/>
          <w:szCs w:val="32"/>
        </w:rPr>
        <w:t>和</w:t>
      </w:r>
      <w:r>
        <w:rPr>
          <w:rFonts w:ascii="宋体" w:hAnsi="宋体" w:cs="Times New Roman"/>
          <w:color w:val="auto"/>
          <w:szCs w:val="32"/>
        </w:rPr>
        <w:t>货币安置</w:t>
      </w:r>
      <w:r>
        <w:rPr>
          <w:rFonts w:hint="eastAsia" w:ascii="宋体" w:hAnsi="宋体" w:cs="Times New Roman"/>
          <w:color w:val="auto"/>
          <w:szCs w:val="32"/>
          <w:lang w:val="en-US" w:eastAsia="zh-CN"/>
        </w:rPr>
        <w:t>三</w:t>
      </w:r>
      <w:r>
        <w:rPr>
          <w:rFonts w:ascii="宋体" w:hAnsi="宋体" w:cs="Times New Roman"/>
          <w:color w:val="auto"/>
          <w:szCs w:val="32"/>
        </w:rPr>
        <w:t>种方式</w:t>
      </w:r>
      <w:r>
        <w:rPr>
          <w:rFonts w:hint="eastAsia" w:ascii="宋体" w:hAnsi="宋体" w:cs="Times New Roman"/>
          <w:color w:val="auto"/>
          <w:szCs w:val="32"/>
        </w:rPr>
        <w:t>进行住房安置</w:t>
      </w:r>
      <w:r>
        <w:rPr>
          <w:rFonts w:hint="eastAsia" w:ascii="宋体" w:hAnsi="宋体" w:cs="Times New Roman"/>
          <w:szCs w:val="32"/>
        </w:rPr>
        <w:t>，住房安置对象应当以户为单位统一选择一种安置方式，</w:t>
      </w:r>
      <w:r>
        <w:rPr>
          <w:rFonts w:ascii="宋体" w:hAnsi="宋体" w:cs="Times New Roman"/>
          <w:szCs w:val="20"/>
        </w:rPr>
        <w:t>一处宅基地上的住房计为一户。</w:t>
      </w:r>
      <w:r>
        <w:rPr>
          <w:rFonts w:ascii="宋体" w:hAnsi="宋体" w:cs="Times New Roman"/>
          <w:szCs w:val="32"/>
        </w:rPr>
        <w:t>住房安置对象合法拥有两处以上（含两处）农村住房的，只在其享有宅基地权利的住房被搬迁时安置1次住房，不得重复安置住房</w:t>
      </w:r>
      <w:r>
        <w:rPr>
          <w:rFonts w:hint="eastAsia" w:ascii="宋体" w:hAnsi="宋体" w:cs="Times New Roman"/>
          <w:szCs w:val="32"/>
        </w:rPr>
        <w:t>。</w:t>
      </w:r>
    </w:p>
    <w:p>
      <w:pPr>
        <w:keepNext w:val="0"/>
        <w:keepLines w:val="0"/>
        <w:pageBreakBefore w:val="0"/>
        <w:numPr>
          <w:ilvl w:val="0"/>
          <w:numId w:val="2"/>
        </w:numPr>
        <w:kinsoku/>
        <w:wordWrap/>
        <w:overflowPunct/>
        <w:topLinePunct w:val="0"/>
        <w:bidi w:val="0"/>
        <w:adjustRightInd w:val="0"/>
        <w:snapToGrid/>
        <w:spacing w:line="240" w:lineRule="auto"/>
        <w:ind w:firstLine="640" w:firstLineChars="200"/>
        <w:jc w:val="both"/>
        <w:textAlignment w:val="auto"/>
        <w:rPr>
          <w:rFonts w:hint="eastAsia" w:ascii="方正仿宋_GBK" w:hAnsi="Times New Roman" w:eastAsia="方正仿宋_GBK" w:cs="Times New Roman"/>
          <w:bCs/>
          <w:szCs w:val="32"/>
        </w:rPr>
      </w:pPr>
      <w:r>
        <w:rPr>
          <w:rFonts w:hint="eastAsia" w:ascii="方正仿宋_GBK" w:hAnsi="Times New Roman" w:eastAsia="方正仿宋_GBK" w:cs="Times New Roman"/>
          <w:bCs/>
          <w:szCs w:val="32"/>
        </w:rPr>
        <w:t>农村宅基地自建安置。</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szCs w:val="32"/>
        </w:rPr>
      </w:pPr>
      <w:r>
        <w:rPr>
          <w:rFonts w:hint="eastAsia" w:ascii="方正仿宋_GBK" w:hAnsi="Times New Roman" w:eastAsia="方正仿宋_GBK" w:cs="Times New Roman"/>
          <w:bCs/>
          <w:szCs w:val="32"/>
        </w:rPr>
        <w:t>住房安置对象选择农村宅基地自建安置的，应当符合土地利用总体规划、村庄规划以及国家和本市关于宅基地建房的有关规定。农村村民宅基地标准为每人</w:t>
      </w:r>
      <w:r>
        <w:rPr>
          <w:rFonts w:ascii="方正仿宋_GBK" w:hAnsi="Times New Roman" w:eastAsia="方正仿宋_GBK" w:cs="Times New Roman"/>
          <w:bCs/>
          <w:szCs w:val="32"/>
        </w:rPr>
        <w:t>30</w:t>
      </w:r>
      <w:r>
        <w:rPr>
          <w:rFonts w:hint="eastAsia" w:ascii="方正仿宋_GBK" w:hAnsi="Times New Roman" w:eastAsia="方正仿宋_GBK" w:cs="Times New Roman"/>
          <w:bCs/>
          <w:szCs w:val="32"/>
        </w:rPr>
        <w:t>㎡，</w:t>
      </w:r>
      <w:r>
        <w:rPr>
          <w:rFonts w:ascii="方正仿宋_GBK" w:hAnsi="Times New Roman" w:eastAsia="方正仿宋_GBK" w:cs="Times New Roman"/>
          <w:bCs/>
          <w:szCs w:val="32"/>
        </w:rPr>
        <w:t>3</w:t>
      </w:r>
      <w:r>
        <w:rPr>
          <w:rFonts w:hint="eastAsia" w:ascii="方正仿宋_GBK" w:hAnsi="Times New Roman" w:eastAsia="方正仿宋_GBK" w:cs="Times New Roman"/>
          <w:bCs/>
          <w:szCs w:val="32"/>
        </w:rPr>
        <w:t>人以下户按</w:t>
      </w:r>
      <w:r>
        <w:rPr>
          <w:rFonts w:ascii="方正仿宋_GBK" w:hAnsi="Times New Roman" w:eastAsia="方正仿宋_GBK" w:cs="Times New Roman"/>
          <w:bCs/>
          <w:szCs w:val="32"/>
        </w:rPr>
        <w:t>3</w:t>
      </w:r>
      <w:r>
        <w:rPr>
          <w:rFonts w:hint="eastAsia" w:ascii="方正仿宋_GBK" w:hAnsi="Times New Roman" w:eastAsia="方正仿宋_GBK" w:cs="Times New Roman"/>
          <w:bCs/>
          <w:szCs w:val="32"/>
        </w:rPr>
        <w:t>人计算，</w:t>
      </w:r>
      <w:r>
        <w:rPr>
          <w:rFonts w:ascii="方正仿宋_GBK" w:hAnsi="Times New Roman" w:eastAsia="方正仿宋_GBK" w:cs="Times New Roman"/>
          <w:bCs/>
          <w:szCs w:val="32"/>
        </w:rPr>
        <w:t>4</w:t>
      </w:r>
      <w:r>
        <w:rPr>
          <w:rFonts w:hint="eastAsia" w:ascii="方正仿宋_GBK" w:hAnsi="Times New Roman" w:eastAsia="方正仿宋_GBK" w:cs="Times New Roman"/>
          <w:bCs/>
          <w:szCs w:val="32"/>
        </w:rPr>
        <w:t>人户按</w:t>
      </w:r>
      <w:r>
        <w:rPr>
          <w:rFonts w:ascii="方正仿宋_GBK" w:hAnsi="Times New Roman" w:eastAsia="方正仿宋_GBK" w:cs="Times New Roman"/>
          <w:bCs/>
          <w:szCs w:val="32"/>
        </w:rPr>
        <w:t>4</w:t>
      </w:r>
      <w:r>
        <w:rPr>
          <w:rFonts w:hint="eastAsia" w:ascii="方正仿宋_GBK" w:hAnsi="Times New Roman" w:eastAsia="方正仿宋_GBK" w:cs="Times New Roman"/>
          <w:bCs/>
          <w:szCs w:val="32"/>
        </w:rPr>
        <w:t>人计算，</w:t>
      </w:r>
      <w:r>
        <w:rPr>
          <w:rFonts w:ascii="方正仿宋_GBK" w:hAnsi="Times New Roman" w:eastAsia="方正仿宋_GBK" w:cs="Times New Roman"/>
          <w:bCs/>
          <w:szCs w:val="32"/>
        </w:rPr>
        <w:t>5</w:t>
      </w:r>
      <w:r>
        <w:rPr>
          <w:rFonts w:hint="eastAsia" w:ascii="方正仿宋_GBK" w:hAnsi="Times New Roman" w:eastAsia="方正仿宋_GBK" w:cs="Times New Roman"/>
          <w:bCs/>
          <w:szCs w:val="32"/>
        </w:rPr>
        <w:t>人以上户按</w:t>
      </w:r>
      <w:r>
        <w:rPr>
          <w:rFonts w:ascii="方正仿宋_GBK" w:hAnsi="Times New Roman" w:eastAsia="方正仿宋_GBK" w:cs="Times New Roman"/>
          <w:bCs/>
          <w:szCs w:val="32"/>
        </w:rPr>
        <w:t>5</w:t>
      </w:r>
      <w:r>
        <w:rPr>
          <w:rFonts w:hint="eastAsia" w:ascii="方正仿宋_GBK" w:hAnsi="Times New Roman" w:eastAsia="方正仿宋_GBK" w:cs="Times New Roman"/>
          <w:bCs/>
          <w:szCs w:val="32"/>
        </w:rPr>
        <w:t>人计算。自建住房补助标准为房屋重置价格标准的</w:t>
      </w:r>
      <w:r>
        <w:rPr>
          <w:rFonts w:ascii="方正仿宋_GBK" w:hAnsi="Times New Roman" w:eastAsia="方正仿宋_GBK" w:cs="Times New Roman"/>
          <w:bCs/>
          <w:szCs w:val="32"/>
        </w:rPr>
        <w:t>50%</w:t>
      </w:r>
      <w:r>
        <w:rPr>
          <w:rFonts w:hint="eastAsia" w:ascii="方正仿宋_GBK" w:hAnsi="Times New Roman" w:eastAsia="方正仿宋_GBK" w:cs="Times New Roman"/>
          <w:bCs/>
          <w:szCs w:val="32"/>
        </w:rPr>
        <w:t>，并对新取得宅基地的住房安置对象按</w:t>
      </w:r>
      <w:r>
        <w:rPr>
          <w:rFonts w:ascii="方正仿宋_GBK" w:hAnsi="Times New Roman" w:eastAsia="方正仿宋_GBK" w:cs="Times New Roman"/>
          <w:bCs/>
          <w:szCs w:val="32"/>
        </w:rPr>
        <w:t>6000</w:t>
      </w:r>
      <w:r>
        <w:rPr>
          <w:rFonts w:hint="eastAsia" w:ascii="方正仿宋_GBK" w:hAnsi="Times New Roman" w:eastAsia="方正仿宋_GBK" w:cs="Times New Roman"/>
          <w:bCs/>
          <w:szCs w:val="32"/>
        </w:rPr>
        <w:t>元</w:t>
      </w:r>
      <w:r>
        <w:rPr>
          <w:rFonts w:ascii="方正仿宋_GBK" w:hAnsi="Times New Roman" w:eastAsia="方正仿宋_GBK" w:cs="Times New Roman"/>
          <w:bCs/>
          <w:szCs w:val="32"/>
        </w:rPr>
        <w:t>/</w:t>
      </w:r>
      <w:r>
        <w:rPr>
          <w:rFonts w:hint="eastAsia" w:ascii="方正仿宋_GBK" w:hAnsi="Times New Roman" w:eastAsia="方正仿宋_GBK" w:cs="Times New Roman"/>
          <w:bCs/>
          <w:szCs w:val="32"/>
        </w:rPr>
        <w:t>人的标准给予宅基地补助。</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szCs w:val="32"/>
        </w:rPr>
      </w:pPr>
      <w:r>
        <w:rPr>
          <w:rFonts w:hint="eastAsia" w:ascii="宋体" w:hAnsi="宋体" w:cs="Times New Roman"/>
          <w:szCs w:val="32"/>
          <w:lang w:val="en-US" w:eastAsia="zh-CN"/>
        </w:rPr>
        <w:t>2</w:t>
      </w:r>
      <w:r>
        <w:rPr>
          <w:rFonts w:hint="eastAsia" w:ascii="宋体" w:hAnsi="宋体" w:cs="Times New Roman"/>
          <w:szCs w:val="32"/>
        </w:rPr>
        <w:t>﹒安置房安置。</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szCs w:val="32"/>
        </w:rPr>
      </w:pPr>
      <w:r>
        <w:rPr>
          <w:rFonts w:hint="eastAsia" w:ascii="宋体" w:hAnsi="宋体" w:cs="Times New Roman"/>
          <w:kern w:val="0"/>
          <w:szCs w:val="32"/>
        </w:rPr>
        <w:t>安置房房源位于</w:t>
      </w:r>
      <w:r>
        <w:rPr>
          <w:rFonts w:hint="eastAsia" w:ascii="宋体" w:hAnsi="宋体" w:cs="Times New Roman"/>
          <w:color w:val="auto"/>
          <w:szCs w:val="32"/>
          <w:lang w:eastAsia="zh-CN"/>
        </w:rPr>
        <w:t>峰高街道</w:t>
      </w:r>
      <w:r>
        <w:rPr>
          <w:rFonts w:hint="eastAsia" w:ascii="宋体" w:hAnsi="宋体" w:cs="Times New Roman"/>
          <w:color w:val="auto"/>
          <w:szCs w:val="32"/>
          <w:lang w:val="en-US" w:eastAsia="zh-CN"/>
        </w:rPr>
        <w:t>东湖天街</w:t>
      </w:r>
      <w:r>
        <w:rPr>
          <w:rFonts w:hint="eastAsia" w:ascii="宋体" w:hAnsi="宋体" w:cs="Times New Roman"/>
          <w:kern w:val="0"/>
          <w:szCs w:val="32"/>
        </w:rPr>
        <w:t>。</w:t>
      </w:r>
      <w:r>
        <w:rPr>
          <w:rFonts w:ascii="宋体" w:hAnsi="宋体" w:cs="Times New Roman"/>
          <w:szCs w:val="32"/>
        </w:rPr>
        <w:t>住房安置对象选择安置房安置的，住房安置建筑面积标准为每人30</w:t>
      </w:r>
      <w:r>
        <w:rPr>
          <w:rFonts w:hint="eastAsia" w:ascii="宋体" w:hAnsi="宋体" w:eastAsia="宋体" w:cs="宋体"/>
          <w:kern w:val="0"/>
          <w:szCs w:val="32"/>
        </w:rPr>
        <w:t>㎡</w:t>
      </w:r>
      <w:r>
        <w:rPr>
          <w:rFonts w:hint="eastAsia" w:ascii="宋体" w:hAnsi="宋体" w:cs="Times New Roman"/>
          <w:szCs w:val="32"/>
        </w:rPr>
        <w:t>；符合《重庆市集体土地征收补偿安置办法》（重庆市人民政府令第344号）第二十四条规定的，</w:t>
      </w:r>
      <w:r>
        <w:rPr>
          <w:rFonts w:ascii="宋体" w:hAnsi="宋体" w:cs="Times New Roman"/>
          <w:szCs w:val="32"/>
        </w:rPr>
        <w:t>可以申请15</w:t>
      </w:r>
      <w:r>
        <w:rPr>
          <w:rFonts w:hint="eastAsia" w:ascii="宋体" w:hAnsi="宋体" w:eastAsia="宋体" w:cs="宋体"/>
          <w:kern w:val="0"/>
          <w:szCs w:val="32"/>
        </w:rPr>
        <w:t>㎡</w:t>
      </w:r>
      <w:r>
        <w:rPr>
          <w:rFonts w:ascii="宋体" w:hAnsi="宋体" w:cs="Times New Roman"/>
          <w:szCs w:val="32"/>
        </w:rPr>
        <w:t>建筑面积的住房</w:t>
      </w:r>
      <w:r>
        <w:rPr>
          <w:rFonts w:hint="eastAsia" w:ascii="宋体" w:hAnsi="宋体" w:cs="Times New Roman"/>
          <w:szCs w:val="32"/>
        </w:rPr>
        <w:t>。</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cs="Times New Roman"/>
          <w:szCs w:val="32"/>
        </w:rPr>
      </w:pPr>
      <w:r>
        <w:rPr>
          <w:rFonts w:ascii="宋体" w:hAnsi="宋体" w:cs="Times New Roman"/>
          <w:szCs w:val="32"/>
        </w:rPr>
        <w:t>应安置建筑面积的部分，按照砖混结构房屋的重置价格标准</w:t>
      </w:r>
      <w:r>
        <w:rPr>
          <w:rFonts w:hint="eastAsia" w:ascii="宋体" w:hAnsi="宋体" w:cs="Times New Roman"/>
          <w:szCs w:val="32"/>
        </w:rPr>
        <w:t>（</w:t>
      </w:r>
      <w:r>
        <w:rPr>
          <w:rFonts w:hint="eastAsia" w:ascii="宋体" w:hAnsi="宋体" w:cs="Times New Roman"/>
          <w:kern w:val="0"/>
          <w:szCs w:val="32"/>
        </w:rPr>
        <w:t>820元/</w:t>
      </w:r>
      <w:r>
        <w:rPr>
          <w:rFonts w:hint="eastAsia" w:ascii="宋体" w:hAnsi="宋体" w:eastAsia="宋体" w:cs="宋体"/>
          <w:kern w:val="0"/>
          <w:szCs w:val="32"/>
        </w:rPr>
        <w:t>㎡</w:t>
      </w:r>
      <w:r>
        <w:rPr>
          <w:rFonts w:hint="eastAsia" w:ascii="宋体" w:hAnsi="宋体" w:cs="Times New Roman"/>
          <w:szCs w:val="32"/>
        </w:rPr>
        <w:t>）</w:t>
      </w:r>
      <w:r>
        <w:rPr>
          <w:rFonts w:ascii="宋体" w:hAnsi="宋体" w:cs="Times New Roman"/>
          <w:szCs w:val="32"/>
        </w:rPr>
        <w:t>购买。</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color w:val="auto"/>
          <w:szCs w:val="32"/>
        </w:rPr>
      </w:pPr>
      <w:r>
        <w:rPr>
          <w:rFonts w:ascii="宋体" w:hAnsi="宋体" w:cs="Times New Roman"/>
          <w:szCs w:val="32"/>
        </w:rPr>
        <w:t>因户型设计等原因，以户为单位，安置房超过应安置建筑面积不满5</w:t>
      </w:r>
      <w:r>
        <w:rPr>
          <w:rFonts w:hint="eastAsia" w:ascii="宋体" w:hAnsi="宋体" w:eastAsia="宋体" w:cs="宋体"/>
          <w:kern w:val="0"/>
          <w:szCs w:val="32"/>
        </w:rPr>
        <w:t>㎡</w:t>
      </w:r>
      <w:r>
        <w:rPr>
          <w:rFonts w:ascii="宋体" w:hAnsi="宋体" w:cs="Times New Roman"/>
          <w:szCs w:val="32"/>
        </w:rPr>
        <w:t>的部分，按照安置房建安造价的50%</w:t>
      </w:r>
      <w:r>
        <w:rPr>
          <w:rFonts w:hint="eastAsia" w:ascii="宋体" w:hAnsi="宋体" w:cs="Times New Roman"/>
          <w:szCs w:val="32"/>
        </w:rPr>
        <w:t>（</w:t>
      </w:r>
      <w:r>
        <w:rPr>
          <w:rFonts w:hint="eastAsia" w:ascii="宋体" w:hAnsi="宋体" w:cs="Times New Roman"/>
          <w:kern w:val="0"/>
          <w:szCs w:val="32"/>
        </w:rPr>
        <w:t>800元/</w:t>
      </w:r>
      <w:r>
        <w:rPr>
          <w:rFonts w:hint="eastAsia" w:ascii="宋体" w:hAnsi="宋体" w:eastAsia="宋体" w:cs="宋体"/>
          <w:kern w:val="0"/>
          <w:szCs w:val="32"/>
        </w:rPr>
        <w:t>㎡</w:t>
      </w:r>
      <w:r>
        <w:rPr>
          <w:rFonts w:hint="eastAsia" w:ascii="宋体" w:hAnsi="宋体" w:cs="Times New Roman"/>
          <w:szCs w:val="32"/>
        </w:rPr>
        <w:t>）</w:t>
      </w:r>
      <w:r>
        <w:rPr>
          <w:rFonts w:ascii="宋体" w:hAnsi="宋体" w:cs="Times New Roman"/>
          <w:szCs w:val="32"/>
        </w:rPr>
        <w:t>购买；超过应安置建筑面积5</w:t>
      </w:r>
      <w:r>
        <w:rPr>
          <w:rFonts w:hint="eastAsia" w:ascii="宋体" w:hAnsi="宋体" w:eastAsia="宋体" w:cs="宋体"/>
          <w:kern w:val="0"/>
          <w:szCs w:val="32"/>
        </w:rPr>
        <w:t>㎡</w:t>
      </w:r>
      <w:r>
        <w:rPr>
          <w:rFonts w:ascii="宋体" w:hAnsi="宋体" w:cs="Times New Roman"/>
          <w:szCs w:val="32"/>
        </w:rPr>
        <w:t>及以上不满10</w:t>
      </w:r>
      <w:r>
        <w:rPr>
          <w:rFonts w:hint="eastAsia" w:ascii="宋体" w:hAnsi="宋体" w:eastAsia="宋体" w:cs="宋体"/>
          <w:kern w:val="0"/>
          <w:szCs w:val="32"/>
        </w:rPr>
        <w:t>㎡</w:t>
      </w:r>
      <w:r>
        <w:rPr>
          <w:rFonts w:ascii="宋体" w:hAnsi="宋体" w:cs="Times New Roman"/>
          <w:szCs w:val="32"/>
        </w:rPr>
        <w:t>的部分，按照安置房建安造价</w:t>
      </w:r>
      <w:r>
        <w:rPr>
          <w:rFonts w:hint="eastAsia" w:ascii="宋体" w:hAnsi="宋体" w:cs="Times New Roman"/>
          <w:szCs w:val="32"/>
        </w:rPr>
        <w:t>（</w:t>
      </w:r>
      <w:r>
        <w:rPr>
          <w:rFonts w:hint="eastAsia" w:ascii="宋体" w:hAnsi="宋体" w:cs="Times New Roman"/>
          <w:kern w:val="0"/>
          <w:szCs w:val="32"/>
        </w:rPr>
        <w:t>1600元/</w:t>
      </w:r>
      <w:r>
        <w:rPr>
          <w:rFonts w:hint="eastAsia" w:ascii="宋体" w:hAnsi="宋体" w:eastAsia="宋体" w:cs="宋体"/>
          <w:kern w:val="0"/>
          <w:szCs w:val="32"/>
        </w:rPr>
        <w:t>㎡</w:t>
      </w:r>
      <w:r>
        <w:rPr>
          <w:rFonts w:hint="eastAsia" w:ascii="宋体" w:hAnsi="宋体" w:cs="Times New Roman"/>
          <w:szCs w:val="32"/>
        </w:rPr>
        <w:t>）</w:t>
      </w:r>
      <w:r>
        <w:rPr>
          <w:rFonts w:ascii="宋体" w:hAnsi="宋体" w:cs="Times New Roman"/>
          <w:szCs w:val="32"/>
        </w:rPr>
        <w:t>购买；超过应安置建筑面积10</w:t>
      </w:r>
      <w:r>
        <w:rPr>
          <w:rFonts w:hint="eastAsia" w:ascii="宋体" w:hAnsi="宋体" w:eastAsia="宋体" w:cs="宋体"/>
          <w:kern w:val="0"/>
          <w:szCs w:val="32"/>
        </w:rPr>
        <w:t>㎡</w:t>
      </w:r>
      <w:r>
        <w:rPr>
          <w:rFonts w:ascii="宋体" w:hAnsi="宋体" w:cs="Times New Roman"/>
          <w:szCs w:val="32"/>
        </w:rPr>
        <w:t>及以上的部分，按照住房货币安置价格标准</w:t>
      </w:r>
      <w:r>
        <w:rPr>
          <w:rFonts w:hint="eastAsia" w:ascii="宋体" w:hAnsi="宋体" w:cs="Times New Roman"/>
          <w:szCs w:val="32"/>
        </w:rPr>
        <w:t>（</w:t>
      </w:r>
      <w:r>
        <w:rPr>
          <w:rFonts w:hint="eastAsia" w:ascii="宋体" w:hAnsi="宋体" w:cs="Times New Roman"/>
          <w:color w:val="auto"/>
          <w:szCs w:val="32"/>
        </w:rPr>
        <w:t>3200</w:t>
      </w:r>
      <w:r>
        <w:rPr>
          <w:rFonts w:hint="eastAsia" w:ascii="宋体" w:hAnsi="宋体" w:cs="Times New Roman"/>
          <w:color w:val="auto"/>
          <w:kern w:val="0"/>
          <w:szCs w:val="32"/>
        </w:rPr>
        <w:t>元/</w:t>
      </w:r>
      <w:r>
        <w:rPr>
          <w:rFonts w:hint="eastAsia" w:ascii="宋体" w:hAnsi="宋体" w:eastAsia="宋体" w:cs="宋体"/>
          <w:color w:val="auto"/>
          <w:kern w:val="0"/>
          <w:szCs w:val="32"/>
        </w:rPr>
        <w:t>㎡</w:t>
      </w:r>
      <w:r>
        <w:rPr>
          <w:rFonts w:hint="eastAsia" w:ascii="宋体" w:hAnsi="宋体" w:cs="Times New Roman"/>
          <w:color w:val="auto"/>
          <w:szCs w:val="32"/>
        </w:rPr>
        <w:t>）</w:t>
      </w:r>
      <w:r>
        <w:rPr>
          <w:rFonts w:ascii="宋体" w:hAnsi="宋体" w:cs="Times New Roman"/>
          <w:color w:val="auto"/>
          <w:szCs w:val="32"/>
        </w:rPr>
        <w:t>购买</w:t>
      </w:r>
      <w:r>
        <w:rPr>
          <w:rFonts w:hint="eastAsia" w:ascii="宋体" w:hAnsi="宋体" w:cs="Times New Roman"/>
          <w:color w:val="auto"/>
          <w:szCs w:val="32"/>
        </w:rPr>
        <w:t>。</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cs="Times New Roman"/>
          <w:szCs w:val="32"/>
        </w:rPr>
      </w:pPr>
      <w:r>
        <w:rPr>
          <w:rFonts w:ascii="宋体" w:hAnsi="宋体" w:cs="Times New Roman"/>
          <w:color w:val="auto"/>
          <w:szCs w:val="32"/>
        </w:rPr>
        <w:t>因户型设计、住房安置对象意愿等原因，购买安置房未达到应安置建筑面积的，不足部分按照住房货币安置价格标准</w:t>
      </w:r>
      <w:r>
        <w:rPr>
          <w:rFonts w:hint="eastAsia" w:ascii="宋体" w:hAnsi="宋体" w:cs="Times New Roman"/>
          <w:color w:val="auto"/>
          <w:szCs w:val="32"/>
        </w:rPr>
        <w:t>（</w:t>
      </w:r>
      <w:r>
        <w:rPr>
          <w:rFonts w:hint="eastAsia" w:ascii="宋体" w:hAnsi="宋体" w:cs="Times New Roman"/>
          <w:color w:val="auto"/>
          <w:kern w:val="0"/>
          <w:szCs w:val="32"/>
        </w:rPr>
        <w:t>3200</w:t>
      </w:r>
      <w:r>
        <w:rPr>
          <w:rFonts w:hint="eastAsia" w:ascii="宋体" w:hAnsi="宋体" w:cs="Times New Roman"/>
          <w:kern w:val="0"/>
          <w:szCs w:val="32"/>
        </w:rPr>
        <w:t>元/</w:t>
      </w:r>
      <w:r>
        <w:rPr>
          <w:rFonts w:hint="eastAsia" w:ascii="宋体" w:hAnsi="宋体" w:eastAsia="宋体" w:cs="宋体"/>
          <w:kern w:val="0"/>
          <w:szCs w:val="32"/>
        </w:rPr>
        <w:t>㎡</w:t>
      </w:r>
      <w:r>
        <w:rPr>
          <w:rFonts w:hint="eastAsia" w:ascii="宋体" w:hAnsi="宋体" w:cs="Times New Roman"/>
          <w:szCs w:val="32"/>
        </w:rPr>
        <w:t>）</w:t>
      </w:r>
      <w:r>
        <w:rPr>
          <w:rFonts w:ascii="宋体" w:hAnsi="宋体" w:cs="Times New Roman"/>
          <w:szCs w:val="32"/>
        </w:rPr>
        <w:t>支付给住房安置对象。</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szCs w:val="32"/>
        </w:rPr>
      </w:pPr>
      <w:r>
        <w:rPr>
          <w:rFonts w:hint="eastAsia" w:ascii="宋体" w:hAnsi="宋体" w:cs="Times New Roman"/>
          <w:szCs w:val="32"/>
          <w:lang w:val="en-US" w:eastAsia="zh-CN"/>
        </w:rPr>
        <w:t>3</w:t>
      </w:r>
      <w:r>
        <w:rPr>
          <w:rFonts w:hint="eastAsia" w:ascii="宋体" w:hAnsi="宋体" w:cs="Times New Roman"/>
          <w:szCs w:val="32"/>
        </w:rPr>
        <w:t>﹒货币安置。</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szCs w:val="32"/>
        </w:rPr>
      </w:pPr>
      <w:r>
        <w:rPr>
          <w:rFonts w:hint="eastAsia" w:ascii="宋体" w:hAnsi="宋体" w:cs="Times New Roman"/>
          <w:kern w:val="0"/>
          <w:szCs w:val="32"/>
        </w:rPr>
        <w:t>住房安置对象选择货币安置的，住房安置建筑面积标准为每人30</w:t>
      </w:r>
      <w:r>
        <w:rPr>
          <w:rFonts w:hint="eastAsia" w:ascii="宋体" w:hAnsi="宋体" w:eastAsia="宋体" w:cs="宋体"/>
          <w:kern w:val="0"/>
          <w:szCs w:val="32"/>
        </w:rPr>
        <w:t>㎡</w:t>
      </w:r>
      <w:r>
        <w:rPr>
          <w:rFonts w:hint="eastAsia" w:ascii="宋体" w:hAnsi="宋体" w:cs="Times New Roman"/>
          <w:kern w:val="0"/>
          <w:szCs w:val="32"/>
        </w:rPr>
        <w:t>。</w:t>
      </w:r>
      <w:r>
        <w:rPr>
          <w:rFonts w:hint="eastAsia" w:ascii="宋体" w:hAnsi="宋体" w:cs="Times New Roman"/>
          <w:szCs w:val="32"/>
        </w:rPr>
        <w:t>符合《重庆市集体土地征收补偿安置办法》（重庆市人民政府令第344号）第二十四条规定的，</w:t>
      </w:r>
      <w:r>
        <w:rPr>
          <w:rFonts w:ascii="宋体" w:hAnsi="宋体" w:cs="Times New Roman"/>
          <w:szCs w:val="32"/>
        </w:rPr>
        <w:t>可以申请15</w:t>
      </w:r>
      <w:r>
        <w:rPr>
          <w:rFonts w:hint="eastAsia" w:ascii="宋体" w:hAnsi="宋体" w:eastAsia="宋体" w:cs="宋体"/>
          <w:kern w:val="0"/>
          <w:szCs w:val="32"/>
        </w:rPr>
        <w:t>㎡</w:t>
      </w:r>
      <w:r>
        <w:rPr>
          <w:rFonts w:ascii="宋体" w:hAnsi="宋体" w:cs="Times New Roman"/>
          <w:szCs w:val="32"/>
        </w:rPr>
        <w:t>建筑面积的住房</w:t>
      </w:r>
      <w:r>
        <w:rPr>
          <w:rFonts w:hint="eastAsia" w:ascii="宋体" w:hAnsi="宋体" w:cs="Times New Roman"/>
          <w:szCs w:val="32"/>
        </w:rPr>
        <w:t>。</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szCs w:val="32"/>
        </w:rPr>
      </w:pPr>
      <w:r>
        <w:rPr>
          <w:rFonts w:hint="eastAsia" w:ascii="宋体" w:hAnsi="宋体" w:cs="Times New Roman"/>
          <w:szCs w:val="32"/>
        </w:rPr>
        <w:t>货币安置款额等于住房货币安置价格标准乘以应安置建筑面积。住房货币安置价格标准为</w:t>
      </w:r>
      <w:r>
        <w:rPr>
          <w:rFonts w:hint="eastAsia" w:ascii="宋体" w:hAnsi="宋体" w:cs="Times New Roman"/>
          <w:color w:val="auto"/>
          <w:kern w:val="0"/>
          <w:szCs w:val="32"/>
        </w:rPr>
        <w:t>3200</w:t>
      </w:r>
      <w:r>
        <w:rPr>
          <w:rFonts w:hint="eastAsia" w:ascii="宋体" w:hAnsi="宋体" w:cs="Times New Roman"/>
          <w:kern w:val="0"/>
          <w:szCs w:val="32"/>
        </w:rPr>
        <w:t>元/</w:t>
      </w:r>
      <w:r>
        <w:rPr>
          <w:rFonts w:hint="eastAsia" w:ascii="宋体" w:hAnsi="宋体" w:eastAsia="宋体" w:cs="宋体"/>
          <w:kern w:val="0"/>
          <w:szCs w:val="32"/>
        </w:rPr>
        <w:t>㎡</w:t>
      </w:r>
      <w:r>
        <w:rPr>
          <w:rFonts w:hint="eastAsia" w:ascii="宋体" w:hAnsi="宋体" w:cs="Times New Roman"/>
          <w:szCs w:val="32"/>
        </w:rPr>
        <w:t>。</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kern w:val="0"/>
          <w:szCs w:val="32"/>
        </w:rPr>
      </w:pPr>
      <w:r>
        <w:rPr>
          <w:rFonts w:hint="eastAsia" w:ascii="宋体" w:hAnsi="宋体" w:cs="Times New Roman"/>
          <w:szCs w:val="32"/>
          <w:lang w:val="en-US" w:eastAsia="zh-CN"/>
        </w:rPr>
        <w:t>4</w:t>
      </w:r>
      <w:r>
        <w:rPr>
          <w:rFonts w:hint="eastAsia" w:ascii="宋体" w:hAnsi="宋体" w:cs="Times New Roman"/>
          <w:szCs w:val="32"/>
        </w:rPr>
        <w:t>﹒</w:t>
      </w:r>
      <w:r>
        <w:rPr>
          <w:rFonts w:hint="eastAsia" w:ascii="宋体" w:hAnsi="宋体" w:cs="Times New Roman"/>
          <w:kern w:val="0"/>
          <w:szCs w:val="32"/>
        </w:rPr>
        <w:t>符合下列情形之一的，其被搬迁的房屋按重置价格标准的50%予以补助。</w:t>
      </w:r>
    </w:p>
    <w:p>
      <w:pPr>
        <w:keepNext w:val="0"/>
        <w:keepLines w:val="0"/>
        <w:pageBreakBefore w:val="0"/>
        <w:kinsoku/>
        <w:wordWrap/>
        <w:overflowPunct/>
        <w:topLinePunct w:val="0"/>
        <w:autoSpaceDE w:val="0"/>
        <w:bidi w:val="0"/>
        <w:snapToGrid/>
        <w:spacing w:line="240" w:lineRule="auto"/>
        <w:ind w:firstLine="640" w:firstLineChars="200"/>
        <w:jc w:val="both"/>
        <w:textAlignment w:val="auto"/>
        <w:rPr>
          <w:rFonts w:ascii="宋体" w:hAnsi="宋体" w:cs="Times New Roman"/>
          <w:szCs w:val="20"/>
        </w:rPr>
      </w:pPr>
      <w:r>
        <w:rPr>
          <w:rFonts w:ascii="宋体" w:hAnsi="宋体" w:cs="Times New Roman"/>
          <w:szCs w:val="20"/>
        </w:rPr>
        <w:t>（</w:t>
      </w:r>
      <w:r>
        <w:rPr>
          <w:rFonts w:hint="eastAsia" w:ascii="宋体" w:hAnsi="宋体" w:cs="Times New Roman"/>
          <w:szCs w:val="20"/>
        </w:rPr>
        <w:t>1</w:t>
      </w:r>
      <w:r>
        <w:rPr>
          <w:rFonts w:ascii="宋体" w:hAnsi="宋体" w:cs="Times New Roman"/>
          <w:szCs w:val="20"/>
        </w:rPr>
        <w:t>）被搬迁住房所有权人均不属于住房安置对象的；</w:t>
      </w:r>
    </w:p>
    <w:p>
      <w:pPr>
        <w:keepNext w:val="0"/>
        <w:keepLines w:val="0"/>
        <w:pageBreakBefore w:val="0"/>
        <w:kinsoku/>
        <w:wordWrap/>
        <w:overflowPunct/>
        <w:topLinePunct w:val="0"/>
        <w:autoSpaceDE w:val="0"/>
        <w:bidi w:val="0"/>
        <w:snapToGrid/>
        <w:spacing w:line="240" w:lineRule="auto"/>
        <w:ind w:firstLine="640" w:firstLineChars="200"/>
        <w:jc w:val="both"/>
        <w:textAlignment w:val="auto"/>
        <w:rPr>
          <w:rFonts w:ascii="宋体" w:hAnsi="宋体" w:cs="Times New Roman"/>
          <w:szCs w:val="20"/>
        </w:rPr>
      </w:pPr>
      <w:r>
        <w:rPr>
          <w:rFonts w:ascii="宋体" w:hAnsi="宋体" w:cs="Times New Roman"/>
          <w:szCs w:val="20"/>
        </w:rPr>
        <w:t>（</w:t>
      </w:r>
      <w:r>
        <w:rPr>
          <w:rFonts w:hint="eastAsia" w:ascii="宋体" w:hAnsi="宋体" w:cs="Times New Roman"/>
          <w:szCs w:val="20"/>
        </w:rPr>
        <w:t>2</w:t>
      </w:r>
      <w:r>
        <w:rPr>
          <w:rFonts w:ascii="宋体" w:hAnsi="宋体" w:cs="Times New Roman"/>
          <w:szCs w:val="20"/>
        </w:rPr>
        <w:t>）被搬迁住房属于住房安置对象合法拥有两处以上（含两处）的农村住房，且按</w:t>
      </w:r>
      <w:r>
        <w:rPr>
          <w:rFonts w:hint="eastAsia" w:ascii="宋体" w:hAnsi="宋体" w:cs="Times New Roman"/>
          <w:szCs w:val="32"/>
        </w:rPr>
        <w:t>《重庆市集体土地征收补偿安置办法》（重庆市人民政府令第344号）</w:t>
      </w:r>
      <w:r>
        <w:rPr>
          <w:rFonts w:ascii="宋体" w:hAnsi="宋体" w:cs="Times New Roman"/>
          <w:szCs w:val="20"/>
        </w:rPr>
        <w:t>第二十</w:t>
      </w:r>
      <w:r>
        <w:rPr>
          <w:rFonts w:hint="eastAsia" w:ascii="宋体" w:hAnsi="宋体" w:cs="Times New Roman"/>
          <w:szCs w:val="20"/>
        </w:rPr>
        <w:t>八</w:t>
      </w:r>
      <w:r>
        <w:rPr>
          <w:rFonts w:ascii="宋体" w:hAnsi="宋体" w:cs="Times New Roman"/>
          <w:szCs w:val="20"/>
        </w:rPr>
        <w:t>条规定不予住房安置的</w:t>
      </w:r>
      <w:r>
        <w:rPr>
          <w:rFonts w:hint="eastAsia" w:ascii="宋体" w:hAnsi="宋体" w:cs="Times New Roman"/>
          <w:szCs w:val="20"/>
        </w:rPr>
        <w:t>。</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kern w:val="0"/>
          <w:szCs w:val="32"/>
        </w:rPr>
      </w:pPr>
      <w:r>
        <w:rPr>
          <w:rFonts w:hint="eastAsia" w:ascii="宋体" w:hAnsi="宋体" w:cs="Times New Roman"/>
          <w:kern w:val="0"/>
          <w:szCs w:val="32"/>
          <w:lang w:val="en-US" w:eastAsia="zh-CN"/>
        </w:rPr>
        <w:t>5</w:t>
      </w:r>
      <w:r>
        <w:rPr>
          <w:rFonts w:hint="eastAsia" w:ascii="宋体" w:hAnsi="宋体" w:cs="Times New Roman"/>
          <w:kern w:val="0"/>
          <w:szCs w:val="32"/>
        </w:rPr>
        <w:t>﹒乡镇企业、镇村公共设施、公益事业用房等登记为非住宅用途的房屋按照重置价格补偿标准的100%予以补助。</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kern w:val="0"/>
          <w:szCs w:val="32"/>
        </w:rPr>
      </w:pPr>
      <w:r>
        <w:rPr>
          <w:rFonts w:hint="eastAsia" w:ascii="宋体" w:hAnsi="宋体" w:cs="Times New Roman"/>
          <w:kern w:val="0"/>
          <w:szCs w:val="32"/>
          <w:lang w:val="en-US" w:eastAsia="zh-CN"/>
        </w:rPr>
        <w:t>6</w:t>
      </w:r>
      <w:r>
        <w:rPr>
          <w:rFonts w:hint="eastAsia" w:ascii="宋体" w:hAnsi="宋体" w:cs="Times New Roman"/>
          <w:kern w:val="0"/>
          <w:szCs w:val="32"/>
        </w:rPr>
        <w:t>﹒住房搬迁费。征地搬迁农村住房，应当支付搬迁费，用于被搬迁农户搬家及生产生活设施迁移。搬迁费按户实行一次性计发，3人以下户（含3人）标准为5000元/户，3人以上户标准为7000元/户。</w:t>
      </w:r>
    </w:p>
    <w:p>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eastAsia" w:ascii="宋体" w:hAnsi="宋体" w:cs="Times New Roman"/>
          <w:kern w:val="0"/>
          <w:szCs w:val="32"/>
        </w:rPr>
      </w:pPr>
      <w:r>
        <w:rPr>
          <w:rFonts w:hint="eastAsia" w:ascii="宋体" w:hAnsi="宋体" w:cs="Times New Roman"/>
          <w:kern w:val="0"/>
          <w:szCs w:val="32"/>
          <w:lang w:val="en-US" w:eastAsia="zh-CN"/>
        </w:rPr>
        <w:t>7</w:t>
      </w:r>
      <w:r>
        <w:rPr>
          <w:rFonts w:hint="eastAsia" w:ascii="宋体" w:hAnsi="宋体" w:cs="Times New Roman"/>
          <w:kern w:val="0"/>
          <w:szCs w:val="32"/>
        </w:rPr>
        <w:t>﹒临时安置费。</w:t>
      </w:r>
    </w:p>
    <w:p>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eastAsia" w:ascii="宋体" w:hAnsi="宋体" w:cs="Times New Roman"/>
          <w:szCs w:val="20"/>
        </w:rPr>
      </w:pPr>
      <w:r>
        <w:rPr>
          <w:rFonts w:hint="eastAsia" w:ascii="宋体" w:hAnsi="宋体" w:eastAsia="方正仿宋_GBK" w:cs="Times New Roman"/>
          <w:color w:val="auto"/>
          <w:sz w:val="32"/>
          <w:szCs w:val="32"/>
        </w:rPr>
        <w:t>（1）</w:t>
      </w:r>
      <w:r>
        <w:rPr>
          <w:rFonts w:hint="eastAsia" w:ascii="方正仿宋_GBK" w:hAnsi="Times New Roman" w:eastAsia="方正仿宋_GBK" w:cs="Times New Roman"/>
          <w:bCs/>
          <w:szCs w:val="32"/>
        </w:rPr>
        <w:t>农村宅基地自建安置的，符合宅基地申请条件的人员按450元/人</w:t>
      </w:r>
      <w:r>
        <w:rPr>
          <w:rFonts w:hint="eastAsia" w:ascii="方正仿宋_GBK" w:hAnsi="宋体" w:cs="Times New Roman"/>
          <w:kern w:val="0"/>
          <w:szCs w:val="32"/>
        </w:rPr>
        <w:t>·</w:t>
      </w:r>
      <w:r>
        <w:rPr>
          <w:rFonts w:hint="eastAsia" w:ascii="方正仿宋_GBK" w:hAnsi="Times New Roman" w:eastAsia="方正仿宋_GBK" w:cs="Times New Roman"/>
          <w:bCs/>
          <w:szCs w:val="32"/>
        </w:rPr>
        <w:t>月计算并一次性支付18个月的临时安</w:t>
      </w:r>
      <w:r>
        <w:rPr>
          <w:rFonts w:hint="eastAsia" w:ascii="方正仿宋_GBK" w:hAnsi="Times New Roman" w:cs="Times New Roman"/>
          <w:bCs/>
          <w:szCs w:val="32"/>
          <w:lang w:val="en-US" w:eastAsia="zh-CN"/>
        </w:rPr>
        <w:t>置</w:t>
      </w:r>
      <w:r>
        <w:rPr>
          <w:rFonts w:hint="eastAsia" w:ascii="方正仿宋_GBK" w:hAnsi="Times New Roman" w:eastAsia="方正仿宋_GBK" w:cs="Times New Roman"/>
          <w:bCs/>
          <w:szCs w:val="32"/>
        </w:rPr>
        <w:t>费。</w:t>
      </w:r>
    </w:p>
    <w:p>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eastAsia" w:ascii="宋体" w:hAnsi="宋体" w:cs="Times New Roman"/>
          <w:szCs w:val="20"/>
        </w:rPr>
      </w:pPr>
      <w:r>
        <w:rPr>
          <w:rFonts w:hint="eastAsia" w:ascii="宋体" w:hAnsi="宋体" w:eastAsia="方正仿宋_GBK" w:cs="Times New Roman"/>
          <w:color w:val="auto"/>
          <w:sz w:val="32"/>
          <w:szCs w:val="32"/>
        </w:rPr>
        <w:t>（</w:t>
      </w:r>
      <w:r>
        <w:rPr>
          <w:rFonts w:hint="eastAsia" w:ascii="宋体" w:hAnsi="宋体" w:cs="Times New Roman"/>
          <w:color w:val="auto"/>
          <w:sz w:val="32"/>
          <w:szCs w:val="32"/>
          <w:lang w:val="en-US" w:eastAsia="zh-CN"/>
        </w:rPr>
        <w:t>2</w:t>
      </w:r>
      <w:r>
        <w:rPr>
          <w:rFonts w:hint="eastAsia" w:ascii="宋体" w:hAnsi="宋体" w:eastAsia="方正仿宋_GBK" w:cs="Times New Roman"/>
          <w:color w:val="auto"/>
          <w:sz w:val="32"/>
          <w:szCs w:val="32"/>
        </w:rPr>
        <w:t>）</w:t>
      </w:r>
      <w:r>
        <w:rPr>
          <w:rFonts w:hint="eastAsia" w:ascii="宋体" w:hAnsi="宋体" w:cs="Times New Roman"/>
          <w:szCs w:val="20"/>
        </w:rPr>
        <w:t>安置房安置的，以应安置建筑面积计算，按15元/</w:t>
      </w:r>
      <w:r>
        <w:rPr>
          <w:rFonts w:hint="eastAsia" w:ascii="宋体" w:hAnsi="宋体" w:eastAsia="宋体" w:cs="宋体"/>
          <w:kern w:val="0"/>
          <w:szCs w:val="32"/>
        </w:rPr>
        <w:t>㎡</w:t>
      </w:r>
      <w:r>
        <w:rPr>
          <w:rFonts w:hint="eastAsia" w:ascii="方正仿宋_GBK" w:hAnsi="宋体" w:cs="Times New Roman"/>
          <w:kern w:val="0"/>
          <w:szCs w:val="32"/>
        </w:rPr>
        <w:t>·</w:t>
      </w:r>
      <w:r>
        <w:rPr>
          <w:rFonts w:hint="eastAsia" w:ascii="宋体" w:hAnsi="宋体" w:cs="方正仿宋_GBK"/>
          <w:szCs w:val="20"/>
        </w:rPr>
        <w:t>月计算并支付自搬迁之月起至安置房交付后</w:t>
      </w:r>
      <w:r>
        <w:rPr>
          <w:rFonts w:hint="eastAsia" w:ascii="宋体" w:hAnsi="宋体" w:cs="Times New Roman"/>
          <w:szCs w:val="20"/>
        </w:rPr>
        <w:t>6个月止期间的临时安置费。</w:t>
      </w:r>
    </w:p>
    <w:p>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eastAsia" w:ascii="宋体" w:hAnsi="宋体" w:cs="Times New Roman"/>
          <w:szCs w:val="20"/>
        </w:rPr>
      </w:pPr>
      <w:r>
        <w:rPr>
          <w:rFonts w:hint="eastAsia" w:ascii="宋体" w:hAnsi="宋体" w:eastAsia="方正仿宋_GBK" w:cs="Times New Roman"/>
          <w:color w:val="auto"/>
          <w:sz w:val="32"/>
          <w:szCs w:val="32"/>
        </w:rPr>
        <w:t>（</w:t>
      </w:r>
      <w:r>
        <w:rPr>
          <w:rFonts w:hint="eastAsia" w:ascii="宋体" w:hAnsi="宋体" w:cs="Times New Roman"/>
          <w:color w:val="auto"/>
          <w:sz w:val="32"/>
          <w:szCs w:val="32"/>
          <w:lang w:val="en-US" w:eastAsia="zh-CN"/>
        </w:rPr>
        <w:t>3</w:t>
      </w:r>
      <w:r>
        <w:rPr>
          <w:rFonts w:hint="eastAsia" w:ascii="宋体" w:hAnsi="宋体" w:eastAsia="方正仿宋_GBK" w:cs="Times New Roman"/>
          <w:color w:val="auto"/>
          <w:sz w:val="32"/>
          <w:szCs w:val="32"/>
        </w:rPr>
        <w:t>）</w:t>
      </w:r>
      <w:r>
        <w:rPr>
          <w:rFonts w:hint="eastAsia" w:ascii="宋体" w:hAnsi="宋体" w:cs="Times New Roman"/>
          <w:kern w:val="0"/>
          <w:szCs w:val="32"/>
        </w:rPr>
        <w:t>住房货币安置的，以应安置建筑面积计算，按15元/</w:t>
      </w:r>
      <w:r>
        <w:rPr>
          <w:rFonts w:hint="eastAsia" w:ascii="宋体" w:hAnsi="宋体" w:eastAsia="宋体" w:cs="宋体"/>
          <w:kern w:val="0"/>
          <w:szCs w:val="32"/>
        </w:rPr>
        <w:t>㎡</w:t>
      </w:r>
      <w:r>
        <w:rPr>
          <w:rFonts w:hint="eastAsia" w:ascii="方正仿宋_GBK" w:hAnsi="宋体" w:cs="Times New Roman"/>
          <w:kern w:val="0"/>
          <w:szCs w:val="32"/>
        </w:rPr>
        <w:t>·</w:t>
      </w:r>
      <w:r>
        <w:rPr>
          <w:rFonts w:hint="eastAsia" w:ascii="宋体" w:hAnsi="宋体" w:cs="Times New Roman"/>
          <w:kern w:val="0"/>
          <w:szCs w:val="32"/>
        </w:rPr>
        <w:t>月计算并一次性支付12个月的临时安置费。</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kern w:val="0"/>
          <w:szCs w:val="32"/>
        </w:rPr>
      </w:pPr>
      <w:r>
        <w:rPr>
          <w:rFonts w:hint="eastAsia" w:ascii="宋体" w:hAnsi="宋体" w:cs="Times New Roman"/>
          <w:kern w:val="0"/>
          <w:szCs w:val="32"/>
          <w:lang w:val="en-US" w:eastAsia="zh-CN"/>
        </w:rPr>
        <w:t>8</w:t>
      </w:r>
      <w:r>
        <w:rPr>
          <w:rFonts w:hint="eastAsia" w:ascii="宋体" w:hAnsi="宋体" w:cs="Times New Roman"/>
          <w:kern w:val="0"/>
          <w:szCs w:val="32"/>
        </w:rPr>
        <w:t>﹒奖励补助政策。</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eastAsia" w:ascii="宋体" w:hAnsi="宋体" w:eastAsia="方正仿宋_GBK" w:cs="Times New Roman"/>
          <w:color w:val="auto"/>
          <w:sz w:val="32"/>
          <w:szCs w:val="32"/>
          <w:lang w:val="en-US" w:eastAsia="zh-CN" w:bidi="ar-SA"/>
        </w:rPr>
      </w:pPr>
      <w:r>
        <w:rPr>
          <w:rFonts w:hint="eastAsia" w:ascii="宋体" w:hAnsi="宋体" w:eastAsia="方正仿宋_GBK" w:cs="Times New Roman"/>
          <w:color w:val="auto"/>
          <w:sz w:val="32"/>
          <w:szCs w:val="32"/>
          <w:lang w:val="en-US" w:eastAsia="zh-CN" w:bidi="ar-SA"/>
        </w:rPr>
        <w:t>（1）在规定时限内搬迁并移交房屋的，按被拆迁有证房屋重置价格标准的10%给予奖励；逾期未搬迁并移交的，不予奖励。</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kern w:val="0"/>
          <w:szCs w:val="32"/>
        </w:rPr>
      </w:pPr>
      <w:r>
        <w:rPr>
          <w:rFonts w:hint="eastAsia" w:ascii="宋体" w:hAnsi="宋体" w:cs="Times New Roman"/>
          <w:kern w:val="0"/>
          <w:szCs w:val="32"/>
        </w:rPr>
        <w:t>（2）在规定时限内搬迁并移交无证房屋的，按以下标准进行补助；逾期未搬迁并移交的，不予补助。</w:t>
      </w:r>
    </w:p>
    <w:p>
      <w:pPr>
        <w:keepNext w:val="0"/>
        <w:keepLines w:val="0"/>
        <w:pageBreakBefore w:val="0"/>
        <w:kinsoku/>
        <w:wordWrap/>
        <w:overflowPunct/>
        <w:topLinePunct w:val="0"/>
        <w:bidi w:val="0"/>
        <w:snapToGrid/>
        <w:spacing w:line="240" w:lineRule="auto"/>
        <w:ind w:firstLine="640" w:firstLineChars="200"/>
        <w:jc w:val="both"/>
        <w:textAlignment w:val="auto"/>
        <w:rPr>
          <w:rFonts w:ascii="宋体" w:hAnsi="宋体" w:cs="Times New Roman"/>
          <w:kern w:val="0"/>
          <w:szCs w:val="32"/>
        </w:rPr>
      </w:pPr>
      <w:r>
        <w:rPr>
          <w:rFonts w:hint="eastAsia" w:ascii="宋体" w:hAnsi="宋体" w:cs="Times New Roman"/>
          <w:kern w:val="0"/>
          <w:szCs w:val="32"/>
        </w:rPr>
        <w:t>①砖混结构108元/㎡，②砖木结构84元/㎡，③土墙结构60元/㎡，④简易结构36元/㎡。</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color w:val="auto"/>
          <w:kern w:val="0"/>
          <w:szCs w:val="32"/>
        </w:rPr>
      </w:pPr>
      <w:r>
        <w:rPr>
          <w:rFonts w:hint="eastAsia" w:ascii="宋体" w:hAnsi="宋体" w:cs="Times New Roman"/>
          <w:color w:val="auto"/>
          <w:kern w:val="0"/>
          <w:szCs w:val="32"/>
          <w:lang w:val="en-US" w:eastAsia="zh-CN"/>
        </w:rPr>
        <w:t>9</w:t>
      </w:r>
      <w:r>
        <w:rPr>
          <w:rFonts w:hint="eastAsia" w:ascii="宋体" w:hAnsi="宋体" w:cs="Times New Roman"/>
          <w:color w:val="auto"/>
          <w:kern w:val="0"/>
          <w:szCs w:val="32"/>
        </w:rPr>
        <w:t>﹒支付方式：荣昌区房屋征地拆迁中心、</w:t>
      </w:r>
      <w:r>
        <w:rPr>
          <w:rFonts w:hint="eastAsia" w:ascii="宋体" w:hAnsi="宋体" w:cs="Times New Roman"/>
          <w:color w:val="auto"/>
          <w:kern w:val="0"/>
          <w:szCs w:val="32"/>
          <w:lang w:eastAsia="zh-CN"/>
        </w:rPr>
        <w:t>峰高街道</w:t>
      </w:r>
      <w:r>
        <w:rPr>
          <w:rFonts w:hint="eastAsia" w:ascii="宋体" w:hAnsi="宋体" w:eastAsia="方正仿宋_GBK" w:cs="Times New Roman"/>
          <w:color w:val="auto"/>
          <w:sz w:val="32"/>
          <w:szCs w:val="32"/>
          <w:lang w:val="en-US" w:eastAsia="zh-CN"/>
        </w:rPr>
        <w:t>办事处</w:t>
      </w:r>
      <w:r>
        <w:rPr>
          <w:rFonts w:hint="eastAsia" w:ascii="宋体" w:hAnsi="宋体" w:cs="Times New Roman"/>
          <w:color w:val="auto"/>
          <w:kern w:val="0"/>
          <w:szCs w:val="32"/>
        </w:rPr>
        <w:t>与房屋所有权人签订征地拆迁房屋补偿安置协议后10个工作日内，支付所有权人有证房屋重置价格补偿费、其他地上建（构）筑物补偿费、住房货币安置费或品迭购买安置房费用</w:t>
      </w:r>
      <w:r>
        <w:rPr>
          <w:rFonts w:hint="eastAsia" w:ascii="宋体" w:hAnsi="宋体" w:cs="Times New Roman"/>
          <w:color w:val="auto"/>
          <w:kern w:val="0"/>
          <w:szCs w:val="32"/>
          <w:lang w:eastAsia="zh-CN"/>
        </w:rPr>
        <w:t>、</w:t>
      </w:r>
      <w:r>
        <w:rPr>
          <w:rFonts w:hint="eastAsia" w:ascii="宋体" w:hAnsi="宋体" w:cs="Times New Roman"/>
          <w:color w:val="auto"/>
          <w:kern w:val="0"/>
          <w:szCs w:val="32"/>
          <w:lang w:val="en-US" w:eastAsia="zh-CN"/>
        </w:rPr>
        <w:t>自建住房补助费、宅基地补助费</w:t>
      </w:r>
      <w:r>
        <w:rPr>
          <w:rFonts w:hint="eastAsia" w:ascii="宋体" w:hAnsi="宋体" w:cs="Times New Roman"/>
          <w:color w:val="auto"/>
          <w:kern w:val="0"/>
          <w:szCs w:val="32"/>
        </w:rPr>
        <w:t>。在规定时限内搬迁并移交全部建（构）筑物后，经</w:t>
      </w:r>
      <w:r>
        <w:rPr>
          <w:rFonts w:hint="eastAsia" w:ascii="宋体" w:hAnsi="宋体" w:cs="Times New Roman"/>
          <w:color w:val="auto"/>
          <w:kern w:val="0"/>
          <w:szCs w:val="32"/>
          <w:lang w:eastAsia="zh-CN"/>
        </w:rPr>
        <w:t>峰高街道</w:t>
      </w:r>
      <w:r>
        <w:rPr>
          <w:rFonts w:hint="eastAsia" w:ascii="宋体" w:hAnsi="宋体" w:eastAsia="方正仿宋_GBK" w:cs="Times New Roman"/>
          <w:color w:val="auto"/>
          <w:sz w:val="32"/>
          <w:szCs w:val="32"/>
          <w:lang w:val="en-US" w:eastAsia="zh-CN"/>
        </w:rPr>
        <w:t>办事处</w:t>
      </w:r>
      <w:r>
        <w:rPr>
          <w:rFonts w:hint="eastAsia" w:ascii="宋体" w:hAnsi="宋体" w:cs="Times New Roman"/>
          <w:color w:val="auto"/>
          <w:kern w:val="0"/>
          <w:szCs w:val="32"/>
        </w:rPr>
        <w:t>工作人员现场验收合格并腾退房屋后10个工作日内，支付住房搬迁费、临时安置费、房屋残值补偿费、提前搬迁奖励、无证房屋补助。</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eastAsia="方正黑体_GBK" w:cs="方正黑体_GBK"/>
          <w:szCs w:val="32"/>
        </w:rPr>
      </w:pPr>
      <w:r>
        <w:rPr>
          <w:rFonts w:hint="eastAsia" w:ascii="宋体" w:hAnsi="宋体" w:eastAsia="方正黑体_GBK" w:cs="方正黑体_GBK"/>
          <w:szCs w:val="32"/>
        </w:rPr>
        <w:t>六、社会保障</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宋体" w:hAnsi="宋体" w:cs="Times New Roman"/>
          <w:szCs w:val="32"/>
        </w:rPr>
      </w:pPr>
      <w:r>
        <w:rPr>
          <w:rFonts w:hint="eastAsia" w:ascii="Times New Roman" w:hAnsi="Times New Roman" w:cs="Times New Roman"/>
          <w:szCs w:val="20"/>
        </w:rPr>
        <w:t>对符合条件的征地人员安置对象参加基本养老保险实施缴费补贴。具体如下：</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Times New Roman" w:hAnsi="Times New Roman" w:cs="Times New Roman"/>
          <w:szCs w:val="20"/>
        </w:rPr>
      </w:pPr>
      <w:r>
        <w:rPr>
          <w:rFonts w:hint="eastAsia" w:ascii="宋体" w:hAnsi="宋体" w:eastAsia="方正楷体_GBK" w:cs="方正楷体_GBK"/>
          <w:kern w:val="0"/>
          <w:szCs w:val="32"/>
        </w:rPr>
        <w:t>（一）补贴对象。</w:t>
      </w:r>
      <w:r>
        <w:rPr>
          <w:rFonts w:hint="eastAsia" w:ascii="Times New Roman" w:hAnsi="Times New Roman" w:cs="Times New Roman"/>
          <w:szCs w:val="20"/>
        </w:rPr>
        <w:t>征地人员安置对象中，在征收土地公告当月年满</w:t>
      </w:r>
      <w:r>
        <w:rPr>
          <w:rFonts w:hint="eastAsia" w:ascii="宋体" w:hAnsi="宋体" w:cs="Times New Roman"/>
          <w:szCs w:val="32"/>
        </w:rPr>
        <w:t>16</w:t>
      </w:r>
      <w:r>
        <w:rPr>
          <w:rFonts w:hint="eastAsia" w:ascii="Times New Roman" w:hAnsi="Times New Roman" w:cs="Times New Roman"/>
          <w:szCs w:val="20"/>
        </w:rPr>
        <w:t>周岁及以上的人员。</w:t>
      </w:r>
    </w:p>
    <w:p>
      <w:pPr>
        <w:keepNext w:val="0"/>
        <w:keepLines w:val="0"/>
        <w:pageBreakBefore w:val="0"/>
        <w:kinsoku/>
        <w:wordWrap/>
        <w:overflowPunct/>
        <w:topLinePunct w:val="0"/>
        <w:bidi w:val="0"/>
        <w:snapToGrid/>
        <w:spacing w:line="240" w:lineRule="auto"/>
        <w:ind w:firstLine="640" w:firstLineChars="200"/>
        <w:jc w:val="both"/>
        <w:textAlignment w:val="auto"/>
        <w:rPr>
          <w:rFonts w:hint="eastAsia" w:ascii="Times New Roman" w:hAnsi="Times New Roman" w:cs="Times New Roman"/>
          <w:szCs w:val="20"/>
        </w:rPr>
      </w:pPr>
      <w:r>
        <w:rPr>
          <w:rFonts w:hint="eastAsia" w:ascii="Times New Roman" w:hAnsi="Times New Roman" w:cs="Times New Roman"/>
          <w:szCs w:val="20"/>
        </w:rPr>
        <w:t>以下人员不属于补贴对象：</w:t>
      </w:r>
      <w:r>
        <w:rPr>
          <w:rFonts w:hint="eastAsia" w:ascii="宋体" w:hAnsi="宋体" w:cs="Times New Roman"/>
          <w:szCs w:val="32"/>
        </w:rPr>
        <w:t>1.按</w:t>
      </w:r>
      <w:r>
        <w:rPr>
          <w:rFonts w:hint="eastAsia" w:ascii="Times New Roman" w:hAnsi="Times New Roman" w:cs="Times New Roman"/>
          <w:szCs w:val="20"/>
        </w:rPr>
        <w:t>照或参照渝府发</w:t>
      </w:r>
      <w:r>
        <w:rPr>
          <w:rFonts w:hint="eastAsia" w:ascii="宋体" w:hAnsi="宋体" w:cs="Times New Roman"/>
          <w:szCs w:val="32"/>
        </w:rPr>
        <w:t>〔2008〕26</w:t>
      </w:r>
      <w:r>
        <w:rPr>
          <w:rFonts w:hint="eastAsia" w:ascii="Times New Roman" w:hAnsi="Times New Roman" w:cs="Times New Roman"/>
          <w:szCs w:val="20"/>
        </w:rPr>
        <w:t>号文件规定，已参加被征地农转非人员（被征地安置人员）基本养老保险的征地人员安置对象；</w:t>
      </w:r>
      <w:r>
        <w:rPr>
          <w:rFonts w:hint="eastAsia" w:ascii="宋体" w:hAnsi="宋体" w:cs="Times New Roman"/>
          <w:szCs w:val="32"/>
        </w:rPr>
        <w:t>2.</w:t>
      </w:r>
      <w:r>
        <w:rPr>
          <w:rFonts w:hint="eastAsia" w:ascii="Times New Roman" w:hAnsi="Times New Roman" w:cs="Times New Roman"/>
          <w:szCs w:val="20"/>
        </w:rPr>
        <w:t>在征收土地公告当月前已死亡，或已出国定居且终止基本养老保险关系的征地人员安置对象。</w:t>
      </w:r>
    </w:p>
    <w:p>
      <w:pPr>
        <w:keepNext w:val="0"/>
        <w:keepLines w:val="0"/>
        <w:pageBreakBefore w:val="0"/>
        <w:kinsoku/>
        <w:wordWrap/>
        <w:overflowPunct/>
        <w:topLinePunct w:val="0"/>
        <w:bidi w:val="0"/>
        <w:snapToGrid/>
        <w:spacing w:line="240" w:lineRule="auto"/>
        <w:ind w:firstLine="640" w:firstLineChars="200"/>
        <w:jc w:val="both"/>
        <w:textAlignment w:val="auto"/>
        <w:rPr>
          <w:rFonts w:ascii="Times New Roman" w:hAnsi="Times New Roman" w:cs="Times New Roman"/>
          <w:szCs w:val="20"/>
        </w:rPr>
      </w:pPr>
      <w:r>
        <w:rPr>
          <w:rFonts w:hint="eastAsia" w:ascii="宋体" w:hAnsi="宋体" w:eastAsia="方正楷体_GBK" w:cs="方正楷体_GBK"/>
          <w:kern w:val="0"/>
          <w:szCs w:val="32"/>
        </w:rPr>
        <w:t>（二）补贴年限。</w:t>
      </w:r>
      <w:r>
        <w:rPr>
          <w:rFonts w:hint="eastAsia" w:ascii="Times New Roman" w:hAnsi="Times New Roman" w:cs="Times New Roman"/>
          <w:szCs w:val="20"/>
        </w:rPr>
        <w:t>根据补贴对象在征收土地公告当月的年龄确定补贴年限，最低</w:t>
      </w:r>
      <w:r>
        <w:rPr>
          <w:rFonts w:hint="eastAsia" w:ascii="宋体" w:hAnsi="宋体" w:cs="Times New Roman"/>
          <w:szCs w:val="32"/>
        </w:rPr>
        <w:t>2</w:t>
      </w:r>
      <w:r>
        <w:rPr>
          <w:rFonts w:hint="eastAsia" w:ascii="Times New Roman" w:hAnsi="Times New Roman" w:cs="Times New Roman"/>
          <w:szCs w:val="20"/>
        </w:rPr>
        <w:t>年，最高</w:t>
      </w:r>
      <w:r>
        <w:rPr>
          <w:rFonts w:hint="eastAsia" w:ascii="宋体" w:hAnsi="宋体" w:cs="Times New Roman"/>
          <w:szCs w:val="32"/>
        </w:rPr>
        <w:t>15</w:t>
      </w:r>
      <w:r>
        <w:rPr>
          <w:rFonts w:hint="eastAsia" w:ascii="Times New Roman" w:hAnsi="Times New Roman" w:cs="Times New Roman"/>
          <w:szCs w:val="20"/>
        </w:rPr>
        <w:t xml:space="preserve">年。具体补贴年限如下： </w:t>
      </w:r>
    </w:p>
    <w:tbl>
      <w:tblPr>
        <w:tblStyle w:val="14"/>
        <w:tblW w:w="0" w:type="auto"/>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23" w:type="dxa"/>
          <w:bottom w:w="0" w:type="dxa"/>
          <w:right w:w="23" w:type="dxa"/>
        </w:tblCellMar>
      </w:tblPr>
      <w:tblGrid>
        <w:gridCol w:w="5064"/>
        <w:gridCol w:w="2782"/>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blHeader/>
          <w:jc w:val="center"/>
        </w:trPr>
        <w:tc>
          <w:tcPr>
            <w:tcW w:w="5064" w:type="dxa"/>
            <w:tcBorders>
              <w:tl2br w:val="nil"/>
              <w:tr2bl w:val="nil"/>
            </w:tcBorders>
            <w:noWrap w:val="0"/>
            <w:vAlign w:val="top"/>
          </w:tcPr>
          <w:p>
            <w:pPr>
              <w:ind w:left="0" w:leftChars="0" w:right="0" w:rightChars="0" w:firstLine="0" w:firstLineChars="0"/>
              <w:jc w:val="center"/>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年 龄</w:t>
            </w:r>
          </w:p>
        </w:tc>
        <w:tc>
          <w:tcPr>
            <w:tcW w:w="2782" w:type="dxa"/>
            <w:tcBorders>
              <w:tl2br w:val="nil"/>
              <w:tr2bl w:val="nil"/>
            </w:tcBorders>
            <w:noWrap w:val="0"/>
            <w:vAlign w:val="center"/>
          </w:tcPr>
          <w:p>
            <w:pPr>
              <w:ind w:left="0" w:leftChars="0" w:right="0" w:rightChars="0" w:firstLine="0" w:firstLineChars="0"/>
              <w:jc w:val="center"/>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补贴年限</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男性：年满50周岁及以上</w:t>
            </w:r>
          </w:p>
          <w:p>
            <w:pPr>
              <w:ind w:firstLine="0" w:firstLineChars="0"/>
              <w:rPr>
                <w:rFonts w:hint="eastAsia" w:ascii="方正仿宋_GBK" w:hAnsi="方正仿宋_GBK" w:cs="方正仿宋_GBK"/>
                <w:szCs w:val="32"/>
              </w:rPr>
            </w:pPr>
            <w:r>
              <w:rPr>
                <w:rFonts w:hint="eastAsia" w:ascii="方正仿宋_GBK" w:hAnsi="方正仿宋_GBK" w:cs="方正仿宋_GBK"/>
                <w:szCs w:val="32"/>
              </w:rPr>
              <w:t>女性：年满40周岁及以上</w:t>
            </w:r>
          </w:p>
        </w:tc>
        <w:tc>
          <w:tcPr>
            <w:tcW w:w="2782" w:type="dxa"/>
            <w:tcBorders>
              <w:tl2br w:val="nil"/>
              <w:tr2bl w:val="nil"/>
            </w:tcBorders>
            <w:noWrap w:val="0"/>
            <w:vAlign w:val="center"/>
          </w:tcPr>
          <w:p>
            <w:pPr>
              <w:ind w:firstLine="960" w:firstLineChars="300"/>
              <w:rPr>
                <w:rFonts w:hint="eastAsia" w:ascii="方正仿宋_GBK" w:hAnsi="方正仿宋_GBK" w:cs="方正仿宋_GBK"/>
                <w:szCs w:val="32"/>
              </w:rPr>
            </w:pPr>
            <w:r>
              <w:rPr>
                <w:rFonts w:hint="eastAsia" w:ascii="方正仿宋_GBK" w:hAnsi="方正仿宋_GBK" w:cs="方正仿宋_GBK"/>
                <w:szCs w:val="32"/>
              </w:rPr>
              <w:t>15年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男性：年满40周岁不满50周岁</w:t>
            </w:r>
          </w:p>
        </w:tc>
        <w:tc>
          <w:tcPr>
            <w:tcW w:w="2782" w:type="dxa"/>
            <w:tcBorders>
              <w:tl2br w:val="nil"/>
              <w:tr2bl w:val="nil"/>
            </w:tcBorders>
            <w:noWrap w:val="0"/>
            <w:vAlign w:val="center"/>
          </w:tcPr>
          <w:p>
            <w:pPr>
              <w:ind w:firstLine="0" w:firstLineChars="0"/>
              <w:jc w:val="center"/>
              <w:rPr>
                <w:rFonts w:hint="eastAsia" w:ascii="方正仿宋_GBK" w:hAnsi="方正仿宋_GBK" w:cs="方正仿宋_GBK"/>
                <w:szCs w:val="32"/>
              </w:rPr>
            </w:pPr>
            <w:r>
              <w:rPr>
                <w:rFonts w:hint="eastAsia" w:ascii="方正仿宋_GBK" w:hAnsi="方正仿宋_GBK" w:cs="方正仿宋_GBK"/>
                <w:szCs w:val="32"/>
              </w:rPr>
              <w:t>14年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年满38周岁不满40周岁</w:t>
            </w:r>
          </w:p>
        </w:tc>
        <w:tc>
          <w:tcPr>
            <w:tcW w:w="2782" w:type="dxa"/>
            <w:tcBorders>
              <w:tl2br w:val="nil"/>
              <w:tr2bl w:val="nil"/>
            </w:tcBorders>
            <w:noWrap w:val="0"/>
            <w:vAlign w:val="center"/>
          </w:tcPr>
          <w:p>
            <w:pPr>
              <w:ind w:firstLine="0" w:firstLineChars="0"/>
              <w:jc w:val="center"/>
              <w:rPr>
                <w:rFonts w:hint="eastAsia" w:ascii="方正仿宋_GBK" w:hAnsi="方正仿宋_GBK" w:cs="方正仿宋_GBK"/>
                <w:szCs w:val="32"/>
              </w:rPr>
            </w:pPr>
            <w:r>
              <w:rPr>
                <w:rFonts w:hint="eastAsia" w:ascii="方正仿宋_GBK" w:hAnsi="方正仿宋_GBK" w:cs="方正仿宋_GBK"/>
                <w:szCs w:val="32"/>
              </w:rPr>
              <w:t>13年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年满36周岁不满38周岁</w:t>
            </w:r>
          </w:p>
        </w:tc>
        <w:tc>
          <w:tcPr>
            <w:tcW w:w="2782" w:type="dxa"/>
            <w:tcBorders>
              <w:tl2br w:val="nil"/>
              <w:tr2bl w:val="nil"/>
            </w:tcBorders>
            <w:noWrap w:val="0"/>
            <w:vAlign w:val="center"/>
          </w:tcPr>
          <w:p>
            <w:pPr>
              <w:ind w:firstLine="0" w:firstLineChars="0"/>
              <w:jc w:val="center"/>
              <w:rPr>
                <w:rFonts w:hint="eastAsia" w:ascii="方正仿宋_GBK" w:hAnsi="方正仿宋_GBK" w:cs="方正仿宋_GBK"/>
                <w:szCs w:val="32"/>
              </w:rPr>
            </w:pPr>
            <w:r>
              <w:rPr>
                <w:rFonts w:hint="eastAsia" w:ascii="方正仿宋_GBK" w:hAnsi="方正仿宋_GBK" w:cs="方正仿宋_GBK"/>
                <w:szCs w:val="32"/>
              </w:rPr>
              <w:t>12年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年满34周岁不满36周岁</w:t>
            </w:r>
          </w:p>
        </w:tc>
        <w:tc>
          <w:tcPr>
            <w:tcW w:w="2782" w:type="dxa"/>
            <w:tcBorders>
              <w:tl2br w:val="nil"/>
              <w:tr2bl w:val="nil"/>
            </w:tcBorders>
            <w:noWrap w:val="0"/>
            <w:vAlign w:val="center"/>
          </w:tcPr>
          <w:p>
            <w:pPr>
              <w:ind w:firstLine="0" w:firstLineChars="0"/>
              <w:jc w:val="center"/>
              <w:rPr>
                <w:rFonts w:hint="eastAsia" w:ascii="方正仿宋_GBK" w:hAnsi="方正仿宋_GBK" w:cs="方正仿宋_GBK"/>
                <w:szCs w:val="32"/>
              </w:rPr>
            </w:pPr>
            <w:r>
              <w:rPr>
                <w:rFonts w:hint="eastAsia" w:ascii="方正仿宋_GBK" w:hAnsi="方正仿宋_GBK" w:cs="方正仿宋_GBK"/>
                <w:szCs w:val="32"/>
              </w:rPr>
              <w:t>11年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年满32周岁不满34周岁</w:t>
            </w:r>
          </w:p>
        </w:tc>
        <w:tc>
          <w:tcPr>
            <w:tcW w:w="2782" w:type="dxa"/>
            <w:tcBorders>
              <w:tl2br w:val="nil"/>
              <w:tr2bl w:val="nil"/>
            </w:tcBorders>
            <w:noWrap w:val="0"/>
            <w:vAlign w:val="center"/>
          </w:tcPr>
          <w:p>
            <w:pPr>
              <w:ind w:firstLine="0" w:firstLineChars="0"/>
              <w:jc w:val="center"/>
              <w:rPr>
                <w:rFonts w:hint="eastAsia" w:ascii="方正仿宋_GBK" w:hAnsi="方正仿宋_GBK" w:cs="方正仿宋_GBK"/>
                <w:szCs w:val="32"/>
              </w:rPr>
            </w:pPr>
            <w:r>
              <w:rPr>
                <w:rFonts w:hint="eastAsia" w:ascii="方正仿宋_GBK" w:hAnsi="方正仿宋_GBK" w:cs="方正仿宋_GBK"/>
                <w:szCs w:val="32"/>
              </w:rPr>
              <w:t>10年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年满30周岁不满32周岁</w:t>
            </w:r>
          </w:p>
        </w:tc>
        <w:tc>
          <w:tcPr>
            <w:tcW w:w="2782" w:type="dxa"/>
            <w:tcBorders>
              <w:tl2br w:val="nil"/>
              <w:tr2bl w:val="nil"/>
            </w:tcBorders>
            <w:noWrap w:val="0"/>
            <w:vAlign w:val="center"/>
          </w:tcPr>
          <w:p>
            <w:pPr>
              <w:ind w:firstLine="0" w:firstLineChars="0"/>
              <w:jc w:val="center"/>
              <w:rPr>
                <w:rFonts w:hint="eastAsia" w:ascii="方正仿宋_GBK" w:hAnsi="方正仿宋_GBK" w:cs="方正仿宋_GBK"/>
                <w:szCs w:val="32"/>
              </w:rPr>
            </w:pPr>
            <w:r>
              <w:rPr>
                <w:rFonts w:hint="eastAsia" w:ascii="方正仿宋_GBK" w:hAnsi="方正仿宋_GBK" w:cs="方正仿宋_GBK"/>
                <w:szCs w:val="32"/>
              </w:rPr>
              <w:t>9年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年满28周岁不满30周岁</w:t>
            </w:r>
          </w:p>
        </w:tc>
        <w:tc>
          <w:tcPr>
            <w:tcW w:w="2782" w:type="dxa"/>
            <w:tcBorders>
              <w:tl2br w:val="nil"/>
              <w:tr2bl w:val="nil"/>
            </w:tcBorders>
            <w:noWrap w:val="0"/>
            <w:vAlign w:val="center"/>
          </w:tcPr>
          <w:p>
            <w:pPr>
              <w:ind w:firstLine="0" w:firstLineChars="0"/>
              <w:jc w:val="center"/>
              <w:rPr>
                <w:rFonts w:hint="eastAsia" w:ascii="方正仿宋_GBK" w:hAnsi="方正仿宋_GBK" w:cs="方正仿宋_GBK"/>
                <w:szCs w:val="32"/>
              </w:rPr>
            </w:pPr>
            <w:r>
              <w:rPr>
                <w:rFonts w:hint="eastAsia" w:ascii="方正仿宋_GBK" w:hAnsi="方正仿宋_GBK" w:cs="方正仿宋_GBK"/>
                <w:szCs w:val="32"/>
              </w:rPr>
              <w:t>8年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年满26周岁不满28周岁</w:t>
            </w:r>
          </w:p>
        </w:tc>
        <w:tc>
          <w:tcPr>
            <w:tcW w:w="2782" w:type="dxa"/>
            <w:tcBorders>
              <w:tl2br w:val="nil"/>
              <w:tr2bl w:val="nil"/>
            </w:tcBorders>
            <w:noWrap w:val="0"/>
            <w:vAlign w:val="center"/>
          </w:tcPr>
          <w:p>
            <w:pPr>
              <w:ind w:firstLine="0" w:firstLineChars="0"/>
              <w:jc w:val="center"/>
              <w:rPr>
                <w:rFonts w:hint="eastAsia" w:ascii="方正仿宋_GBK" w:hAnsi="方正仿宋_GBK" w:cs="方正仿宋_GBK"/>
                <w:szCs w:val="32"/>
              </w:rPr>
            </w:pPr>
            <w:r>
              <w:rPr>
                <w:rFonts w:hint="eastAsia" w:ascii="方正仿宋_GBK" w:hAnsi="方正仿宋_GBK" w:cs="方正仿宋_GBK"/>
                <w:szCs w:val="32"/>
              </w:rPr>
              <w:t>7年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年满24周岁不满26周岁</w:t>
            </w:r>
          </w:p>
        </w:tc>
        <w:tc>
          <w:tcPr>
            <w:tcW w:w="2782" w:type="dxa"/>
            <w:tcBorders>
              <w:tl2br w:val="nil"/>
              <w:tr2bl w:val="nil"/>
            </w:tcBorders>
            <w:noWrap w:val="0"/>
            <w:vAlign w:val="center"/>
          </w:tcPr>
          <w:p>
            <w:pPr>
              <w:ind w:firstLine="0" w:firstLineChars="0"/>
              <w:jc w:val="center"/>
              <w:rPr>
                <w:rFonts w:hint="eastAsia" w:ascii="方正仿宋_GBK" w:hAnsi="方正仿宋_GBK" w:cs="方正仿宋_GBK"/>
                <w:szCs w:val="32"/>
              </w:rPr>
            </w:pPr>
            <w:r>
              <w:rPr>
                <w:rFonts w:hint="eastAsia" w:ascii="方正仿宋_GBK" w:hAnsi="方正仿宋_GBK" w:cs="方正仿宋_GBK"/>
                <w:szCs w:val="32"/>
              </w:rPr>
              <w:t>6年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年满22周岁不满24周岁</w:t>
            </w:r>
          </w:p>
        </w:tc>
        <w:tc>
          <w:tcPr>
            <w:tcW w:w="2782" w:type="dxa"/>
            <w:tcBorders>
              <w:tl2br w:val="nil"/>
              <w:tr2bl w:val="nil"/>
            </w:tcBorders>
            <w:noWrap w:val="0"/>
            <w:vAlign w:val="center"/>
          </w:tcPr>
          <w:p>
            <w:pPr>
              <w:ind w:firstLine="0" w:firstLineChars="0"/>
              <w:jc w:val="center"/>
              <w:rPr>
                <w:rFonts w:hint="eastAsia" w:ascii="方正仿宋_GBK" w:hAnsi="方正仿宋_GBK" w:cs="方正仿宋_GBK"/>
                <w:szCs w:val="32"/>
              </w:rPr>
            </w:pPr>
            <w:r>
              <w:rPr>
                <w:rFonts w:hint="eastAsia" w:ascii="方正仿宋_GBK" w:hAnsi="方正仿宋_GBK" w:cs="方正仿宋_GBK"/>
                <w:szCs w:val="32"/>
              </w:rPr>
              <w:t>5年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年满20周岁不满22周岁</w:t>
            </w:r>
          </w:p>
        </w:tc>
        <w:tc>
          <w:tcPr>
            <w:tcW w:w="2782" w:type="dxa"/>
            <w:tcBorders>
              <w:tl2br w:val="nil"/>
              <w:tr2bl w:val="nil"/>
            </w:tcBorders>
            <w:noWrap w:val="0"/>
            <w:vAlign w:val="center"/>
          </w:tcPr>
          <w:p>
            <w:pPr>
              <w:ind w:firstLine="0" w:firstLineChars="0"/>
              <w:jc w:val="center"/>
              <w:rPr>
                <w:rFonts w:hint="eastAsia" w:ascii="方正仿宋_GBK" w:hAnsi="方正仿宋_GBK" w:cs="方正仿宋_GBK"/>
                <w:szCs w:val="32"/>
              </w:rPr>
            </w:pPr>
            <w:r>
              <w:rPr>
                <w:rFonts w:hint="eastAsia" w:ascii="方正仿宋_GBK" w:hAnsi="方正仿宋_GBK" w:cs="方正仿宋_GBK"/>
                <w:szCs w:val="32"/>
              </w:rPr>
              <w:t>4年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年满18周岁不满20周岁</w:t>
            </w:r>
          </w:p>
        </w:tc>
        <w:tc>
          <w:tcPr>
            <w:tcW w:w="2782" w:type="dxa"/>
            <w:tcBorders>
              <w:tl2br w:val="nil"/>
              <w:tr2bl w:val="nil"/>
            </w:tcBorders>
            <w:noWrap w:val="0"/>
            <w:vAlign w:val="center"/>
          </w:tcPr>
          <w:p>
            <w:pPr>
              <w:ind w:firstLine="0" w:firstLineChars="0"/>
              <w:jc w:val="center"/>
              <w:rPr>
                <w:rFonts w:hint="eastAsia" w:ascii="方正仿宋_GBK" w:hAnsi="方正仿宋_GBK" w:cs="方正仿宋_GBK"/>
                <w:szCs w:val="32"/>
              </w:rPr>
            </w:pPr>
            <w:r>
              <w:rPr>
                <w:rFonts w:hint="eastAsia" w:ascii="方正仿宋_GBK" w:hAnsi="方正仿宋_GBK" w:cs="方正仿宋_GBK"/>
                <w:szCs w:val="32"/>
              </w:rPr>
              <w:t>3年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jc w:val="center"/>
        </w:trPr>
        <w:tc>
          <w:tcPr>
            <w:tcW w:w="5064" w:type="dxa"/>
            <w:tcBorders>
              <w:tl2br w:val="nil"/>
              <w:tr2bl w:val="nil"/>
            </w:tcBorders>
            <w:noWrap w:val="0"/>
            <w:vAlign w:val="top"/>
          </w:tcPr>
          <w:p>
            <w:pPr>
              <w:ind w:firstLine="0" w:firstLineChars="0"/>
              <w:rPr>
                <w:rFonts w:hint="eastAsia" w:ascii="方正仿宋_GBK" w:hAnsi="方正仿宋_GBK" w:cs="方正仿宋_GBK"/>
                <w:szCs w:val="32"/>
              </w:rPr>
            </w:pPr>
            <w:r>
              <w:rPr>
                <w:rFonts w:hint="eastAsia" w:ascii="方正仿宋_GBK" w:hAnsi="方正仿宋_GBK" w:cs="方正仿宋_GBK"/>
                <w:szCs w:val="32"/>
              </w:rPr>
              <w:t>年满16周岁不满18周岁</w:t>
            </w:r>
          </w:p>
        </w:tc>
        <w:tc>
          <w:tcPr>
            <w:tcW w:w="2782" w:type="dxa"/>
            <w:tcBorders>
              <w:tl2br w:val="nil"/>
              <w:tr2bl w:val="nil"/>
            </w:tcBorders>
            <w:noWrap w:val="0"/>
            <w:vAlign w:val="center"/>
          </w:tcPr>
          <w:p>
            <w:pPr>
              <w:ind w:firstLine="0" w:firstLineChars="0"/>
              <w:jc w:val="center"/>
              <w:rPr>
                <w:rFonts w:hint="eastAsia" w:ascii="方正仿宋_GBK" w:hAnsi="方正仿宋_GBK" w:cs="方正仿宋_GBK"/>
                <w:szCs w:val="32"/>
              </w:rPr>
            </w:pPr>
            <w:r>
              <w:rPr>
                <w:rFonts w:hint="eastAsia" w:ascii="方正仿宋_GBK" w:hAnsi="方正仿宋_GBK" w:cs="方正仿宋_GBK"/>
                <w:szCs w:val="32"/>
              </w:rPr>
              <w:t>2年</w:t>
            </w:r>
          </w:p>
        </w:tc>
      </w:tr>
    </w:tbl>
    <w:p>
      <w:pPr>
        <w:ind w:firstLine="640" w:firstLineChars="200"/>
        <w:rPr>
          <w:rFonts w:hint="eastAsia" w:ascii="方正仿宋_GBK" w:hAnsi="方正仿宋_GBK" w:cs="方正仿宋_GBK"/>
          <w:szCs w:val="32"/>
        </w:rPr>
      </w:pPr>
      <w:r>
        <w:rPr>
          <w:rFonts w:hint="eastAsia" w:ascii="宋体" w:hAnsi="宋体" w:eastAsia="方正楷体_GBK" w:cs="方正楷体_GBK"/>
          <w:kern w:val="0"/>
          <w:szCs w:val="32"/>
        </w:rPr>
        <w:t>（三）缴费补贴标准。</w:t>
      </w:r>
      <w:r>
        <w:rPr>
          <w:rFonts w:hint="eastAsia" w:ascii="方正仿宋_GBK" w:hAnsi="方正仿宋_GBK" w:cs="方正仿宋_GBK"/>
          <w:szCs w:val="32"/>
        </w:rPr>
        <w:t>缴费补贴标准为5500元/人</w:t>
      </w:r>
      <w:r>
        <w:rPr>
          <w:rFonts w:ascii="Times New Roman" w:hAnsi="Times New Roman" w:cs="Times New Roman"/>
          <w:szCs w:val="32"/>
        </w:rPr>
        <w:t>·</w:t>
      </w:r>
      <w:r>
        <w:rPr>
          <w:rFonts w:hint="eastAsia" w:ascii="方正仿宋_GBK" w:hAnsi="方正仿宋_GBK" w:cs="方正仿宋_GBK"/>
          <w:szCs w:val="32"/>
        </w:rPr>
        <w:t>年。</w:t>
      </w:r>
    </w:p>
    <w:p>
      <w:pPr>
        <w:ind w:firstLine="640" w:firstLineChars="200"/>
        <w:rPr>
          <w:rFonts w:hint="eastAsia" w:ascii="宋体" w:hAnsi="宋体" w:cs="Times New Roman"/>
          <w:szCs w:val="32"/>
        </w:rPr>
      </w:pPr>
      <w:r>
        <w:rPr>
          <w:rFonts w:hint="eastAsia" w:ascii="宋体" w:hAnsi="宋体" w:eastAsia="方正楷体_GBK" w:cs="方正楷体_GBK"/>
          <w:kern w:val="0"/>
          <w:szCs w:val="32"/>
        </w:rPr>
        <w:t>（四）其他事项。</w:t>
      </w:r>
      <w:r>
        <w:rPr>
          <w:rFonts w:hint="eastAsia" w:ascii="方正仿宋_GBK" w:hAnsi="方正仿宋_GBK" w:cs="方正仿宋_GBK"/>
          <w:szCs w:val="32"/>
        </w:rPr>
        <w:t>具体补贴办法及其他有关规定，按照《重庆市人民政府办公厅关于做好征地人员安置对象参加基本养老保险并实施缴费补贴政策有关工作的通知》（渝府办发〔2021〕96号）执行。</w:t>
      </w:r>
    </w:p>
    <w:p>
      <w:pPr>
        <w:ind w:firstLine="640" w:firstLineChars="200"/>
        <w:rPr>
          <w:rFonts w:ascii="宋体" w:hAnsi="宋体" w:eastAsia="方正黑体_GBK" w:cs="方正黑体_GBK"/>
          <w:bCs/>
          <w:szCs w:val="32"/>
        </w:rPr>
      </w:pPr>
      <w:r>
        <w:rPr>
          <w:rFonts w:hint="eastAsia" w:ascii="宋体" w:hAnsi="宋体" w:eastAsia="方正黑体_GBK" w:cs="方正黑体_GBK"/>
          <w:bCs/>
          <w:szCs w:val="32"/>
        </w:rPr>
        <w:t>七</w:t>
      </w:r>
      <w:r>
        <w:rPr>
          <w:rFonts w:ascii="宋体" w:hAnsi="宋体" w:eastAsia="方正黑体_GBK" w:cs="方正黑体_GBK"/>
          <w:bCs/>
          <w:szCs w:val="32"/>
        </w:rPr>
        <w:t>、其他事项</w:t>
      </w:r>
    </w:p>
    <w:p>
      <w:pPr>
        <w:adjustRightInd w:val="0"/>
        <w:ind w:firstLine="640" w:firstLineChars="200"/>
        <w:rPr>
          <w:rFonts w:hint="eastAsia" w:ascii="方正仿宋_GBK" w:hAnsi="Times New Roman" w:cs="Times New Roman"/>
          <w:szCs w:val="32"/>
        </w:rPr>
      </w:pPr>
      <w:r>
        <w:rPr>
          <w:rFonts w:hint="eastAsia" w:ascii="方正仿宋_GBK" w:hAnsi="Times New Roman" w:cs="Times New Roman"/>
          <w:szCs w:val="32"/>
        </w:rPr>
        <w:t>（一）征地公告发布之日，持有合法证照且从事生产经营活动的，对生产经营者一次性给予搬迁补助费，具体标准：</w:t>
      </w:r>
    </w:p>
    <w:p>
      <w:pPr>
        <w:adjustRightInd w:val="0"/>
        <w:ind w:firstLine="640" w:firstLineChars="200"/>
        <w:rPr>
          <w:rFonts w:hint="eastAsia" w:ascii="方正仿宋_GBK" w:hAnsi="Times New Roman" w:cs="Times New Roman"/>
          <w:szCs w:val="32"/>
        </w:rPr>
      </w:pPr>
      <w:r>
        <w:rPr>
          <w:rFonts w:hint="eastAsia" w:ascii="方正仿宋_GBK" w:hAnsi="Times New Roman" w:cs="Times New Roman"/>
          <w:szCs w:val="32"/>
        </w:rPr>
        <w:t>1﹒工业企业、经营性商业服务企业、规模化种植养殖企业设施设备需要搬迁的，按照所搬迁设施设备净值的15%—20%支付一次性搬迁补助费。</w:t>
      </w:r>
    </w:p>
    <w:p>
      <w:pPr>
        <w:adjustRightInd w:val="0"/>
        <w:ind w:firstLine="640" w:firstLineChars="200"/>
        <w:rPr>
          <w:rFonts w:hint="eastAsia" w:ascii="方正仿宋_GBK" w:hAnsi="方正仿宋_GBK" w:cs="方正仿宋_GBK"/>
          <w:szCs w:val="32"/>
        </w:rPr>
      </w:pPr>
      <w:r>
        <w:rPr>
          <w:rFonts w:hint="eastAsia" w:ascii="方正仿宋_GBK" w:hAnsi="Times New Roman" w:cs="Times New Roman"/>
          <w:szCs w:val="32"/>
        </w:rPr>
        <w:t>2﹒集中成片栽种的经济林（含果园、桑园、茶园等），按征收面积计算一次性搬迁补助费，标准为每亩3000元；专用鱼池按水面面积计算一次性搬迁补助费，标准为每亩3000元；持有相关证照的花卉苗木基地，按征收面积计算一次性搬迁补助费，标准为每亩15000元。</w:t>
      </w:r>
      <w:r>
        <w:rPr>
          <w:rFonts w:hint="eastAsia" w:ascii="方正仿宋_GBK" w:hAnsi="方正仿宋_GBK" w:cs="方正仿宋_GBK"/>
          <w:szCs w:val="32"/>
        </w:rPr>
        <w:t xml:space="preserve"> </w:t>
      </w:r>
    </w:p>
    <w:p>
      <w:pPr>
        <w:ind w:firstLine="640" w:firstLineChars="200"/>
        <w:rPr>
          <w:rFonts w:hint="eastAsia" w:ascii="宋体" w:hAnsi="宋体" w:cs="Times New Roman"/>
          <w:szCs w:val="32"/>
        </w:rPr>
      </w:pPr>
      <w:r>
        <w:rPr>
          <w:rFonts w:hint="eastAsia" w:ascii="宋体" w:hAnsi="宋体" w:cs="Times New Roman"/>
          <w:szCs w:val="32"/>
        </w:rPr>
        <w:t>（二）本方案未尽事宜，按照市、区有关规定执行。</w:t>
      </w:r>
    </w:p>
    <w:p>
      <w:pPr>
        <w:autoSpaceDE w:val="0"/>
        <w:autoSpaceDN w:val="0"/>
        <w:adjustRightInd/>
        <w:ind w:firstLine="640" w:firstLineChars="200"/>
        <w:jc w:val="both"/>
        <w:rPr>
          <w:rFonts w:hint="eastAsia" w:ascii="宋体" w:hAnsi="宋体" w:eastAsia="方正仿宋_GBK" w:cs="Times New Roman"/>
          <w:color w:val="auto"/>
          <w:kern w:val="2"/>
          <w:sz w:val="32"/>
          <w:szCs w:val="32"/>
          <w:lang w:val="en-US" w:eastAsia="zh-CN" w:bidi="ar-SA"/>
        </w:rPr>
      </w:pPr>
    </w:p>
    <w:p>
      <w:pPr>
        <w:ind w:firstLine="640" w:firstLineChars="200"/>
        <w:rPr>
          <w:rFonts w:hint="eastAsia" w:ascii="宋体" w:hAnsi="宋体" w:cs="Times New Roman"/>
          <w:szCs w:val="32"/>
        </w:rPr>
      </w:pPr>
      <w:r>
        <w:rPr>
          <w:rFonts w:ascii="宋体" w:hAnsi="宋体" w:cs="Times New Roman"/>
          <w:szCs w:val="32"/>
        </w:rPr>
        <w:t>附件：</w:t>
      </w:r>
      <w:r>
        <w:rPr>
          <w:rFonts w:hint="eastAsia" w:ascii="宋体" w:hAnsi="宋体" w:cs="Times New Roman"/>
          <w:szCs w:val="32"/>
        </w:rPr>
        <w:t>1﹒</w:t>
      </w:r>
      <w:r>
        <w:rPr>
          <w:rFonts w:ascii="宋体" w:hAnsi="宋体" w:cs="Times New Roman"/>
          <w:szCs w:val="32"/>
        </w:rPr>
        <w:t>土地分类面积</w:t>
      </w:r>
      <w:r>
        <w:rPr>
          <w:rFonts w:hint="eastAsia" w:ascii="宋体" w:hAnsi="宋体" w:cs="Times New Roman"/>
          <w:szCs w:val="32"/>
        </w:rPr>
        <w:t>和征地安置人员情况</w:t>
      </w:r>
      <w:r>
        <w:rPr>
          <w:rFonts w:ascii="宋体" w:hAnsi="宋体" w:cs="Times New Roman"/>
          <w:szCs w:val="32"/>
        </w:rPr>
        <w:t>表</w:t>
      </w:r>
    </w:p>
    <w:p>
      <w:pPr>
        <w:ind w:firstLine="1590" w:firstLineChars="497"/>
        <w:rPr>
          <w:rFonts w:hint="eastAsia" w:ascii="宋体" w:hAnsi="宋体" w:cs="Times New Roman"/>
          <w:szCs w:val="32"/>
        </w:rPr>
      </w:pPr>
      <w:r>
        <w:rPr>
          <w:rFonts w:hint="eastAsia" w:ascii="宋体" w:hAnsi="宋体" w:cs="Times New Roman"/>
          <w:szCs w:val="32"/>
        </w:rPr>
        <w:t>2﹒</w:t>
      </w:r>
      <w:r>
        <w:rPr>
          <w:rFonts w:ascii="宋体" w:hAnsi="宋体" w:cs="Times New Roman"/>
          <w:szCs w:val="32"/>
        </w:rPr>
        <w:t>土地补偿费和安置补助费</w:t>
      </w:r>
      <w:r>
        <w:rPr>
          <w:rFonts w:hint="eastAsia" w:ascii="宋体" w:hAnsi="宋体" w:cs="Times New Roman"/>
          <w:szCs w:val="32"/>
        </w:rPr>
        <w:t>明细</w:t>
      </w:r>
      <w:r>
        <w:rPr>
          <w:rFonts w:ascii="宋体" w:hAnsi="宋体" w:cs="Times New Roman"/>
          <w:szCs w:val="32"/>
        </w:rPr>
        <w:t>表</w:t>
      </w:r>
    </w:p>
    <w:p>
      <w:pPr>
        <w:tabs>
          <w:tab w:val="left" w:pos="4800"/>
        </w:tabs>
        <w:rPr>
          <w:rFonts w:hint="eastAsia" w:ascii="宋体" w:hAnsi="宋体" w:eastAsia="方正黑体_GBK"/>
          <w:szCs w:val="32"/>
        </w:rPr>
        <w:sectPr>
          <w:headerReference r:id="rId5" w:type="default"/>
          <w:footerReference r:id="rId7" w:type="default"/>
          <w:headerReference r:id="rId6" w:type="even"/>
          <w:footerReference r:id="rId8" w:type="even"/>
          <w:pgSz w:w="11906" w:h="16838"/>
          <w:pgMar w:top="2098" w:right="1531" w:bottom="1984" w:left="1531" w:header="851" w:footer="1474" w:gutter="0"/>
          <w:paperSrc/>
          <w:pgBorders>
            <w:top w:val="none" w:sz="0" w:space="0"/>
            <w:left w:val="none" w:sz="0" w:space="0"/>
            <w:bottom w:val="none" w:sz="0" w:space="0"/>
            <w:right w:val="none" w:sz="0" w:space="0"/>
          </w:pgBorders>
          <w:pgNumType w:fmt="decimal"/>
          <w:cols w:space="720" w:num="1"/>
          <w:docGrid w:type="lines" w:linePitch="579" w:charSpace="0"/>
        </w:sectPr>
      </w:pPr>
    </w:p>
    <w:p>
      <w:pPr>
        <w:ind w:firstLine="0" w:firstLineChars="0"/>
        <w:rPr>
          <w:rFonts w:hint="eastAsia" w:ascii="方正黑体_GBK" w:hAnsi="方正黑体_GBK" w:eastAsia="方正黑体_GBK" w:cs="方正黑体_GBK"/>
          <w:color w:val="000000"/>
          <w:kern w:val="0"/>
          <w:szCs w:val="32"/>
          <w:lang w:bidi="ar"/>
        </w:rPr>
      </w:pPr>
      <w:r>
        <w:rPr>
          <w:rFonts w:hint="eastAsia" w:ascii="方正黑体_GBK" w:hAnsi="方正黑体_GBK" w:eastAsia="方正黑体_GBK" w:cs="方正黑体_GBK"/>
          <w:color w:val="000000"/>
          <w:kern w:val="0"/>
          <w:szCs w:val="32"/>
          <w:lang w:bidi="ar"/>
        </w:rPr>
        <w:t>附件之附件一</w:t>
      </w:r>
    </w:p>
    <w:p>
      <w:pPr>
        <w:pStyle w:val="3"/>
        <w:bidi w:val="0"/>
        <w:rPr>
          <w:sz w:val="36"/>
          <w:szCs w:val="21"/>
        </w:rPr>
      </w:pPr>
      <w:r>
        <w:rPr>
          <w:rFonts w:hint="eastAsia"/>
          <w:sz w:val="36"/>
          <w:szCs w:val="21"/>
        </w:rPr>
        <w:t>土地分类面积和征地安置人员情况表</w:t>
      </w:r>
    </w:p>
    <w:p>
      <w:pPr>
        <w:bidi w:val="0"/>
        <w:ind w:left="0" w:leftChars="0" w:right="0" w:rightChars="0" w:firstLine="0" w:firstLineChars="0"/>
        <w:jc w:val="right"/>
        <w:rPr>
          <w:sz w:val="28"/>
          <w:szCs w:val="22"/>
        </w:rPr>
      </w:pPr>
      <w:r>
        <w:rPr>
          <w:rFonts w:hint="eastAsia"/>
          <w:sz w:val="28"/>
          <w:szCs w:val="22"/>
        </w:rPr>
        <w:t>单位：公顷、人</w:t>
      </w:r>
    </w:p>
    <w:tbl>
      <w:tblPr>
        <w:tblStyle w:val="14"/>
        <w:tblW w:w="12707" w:type="dxa"/>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23" w:type="dxa"/>
          <w:bottom w:w="0" w:type="dxa"/>
          <w:right w:w="23" w:type="dxa"/>
        </w:tblCellMar>
      </w:tblPr>
      <w:tblGrid>
        <w:gridCol w:w="634"/>
        <w:gridCol w:w="1350"/>
        <w:gridCol w:w="1907"/>
        <w:gridCol w:w="1114"/>
        <w:gridCol w:w="1243"/>
        <w:gridCol w:w="1179"/>
        <w:gridCol w:w="1050"/>
        <w:gridCol w:w="1350"/>
        <w:gridCol w:w="1092"/>
        <w:gridCol w:w="943"/>
        <w:gridCol w:w="845"/>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408" w:hRule="atLeast"/>
          <w:jc w:val="center"/>
        </w:trPr>
        <w:tc>
          <w:tcPr>
            <w:tcW w:w="3891" w:type="dxa"/>
            <w:gridSpan w:val="3"/>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权属单位</w:t>
            </w:r>
          </w:p>
        </w:tc>
        <w:tc>
          <w:tcPr>
            <w:tcW w:w="111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本次征地前总面积</w:t>
            </w:r>
          </w:p>
        </w:tc>
        <w:tc>
          <w:tcPr>
            <w:tcW w:w="124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本次征地前耕地面积</w:t>
            </w:r>
          </w:p>
        </w:tc>
        <w:tc>
          <w:tcPr>
            <w:tcW w:w="561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本次征地分类面积</w:t>
            </w:r>
          </w:p>
        </w:tc>
        <w:tc>
          <w:tcPr>
            <w:tcW w:w="84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人员安置对象人数</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300" w:hRule="atLeast"/>
          <w:jc w:val="center"/>
        </w:trPr>
        <w:tc>
          <w:tcPr>
            <w:tcW w:w="3891" w:type="dxa"/>
            <w:gridSpan w:val="3"/>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1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24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179" w:type="dxa"/>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总面积</w:t>
            </w:r>
          </w:p>
        </w:tc>
        <w:tc>
          <w:tcPr>
            <w:tcW w:w="4435" w:type="dxa"/>
            <w:gridSpan w:val="4"/>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其中</w:t>
            </w:r>
          </w:p>
        </w:tc>
        <w:tc>
          <w:tcPr>
            <w:tcW w:w="8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336" w:hRule="atLeast"/>
          <w:jc w:val="center"/>
        </w:trPr>
        <w:tc>
          <w:tcPr>
            <w:tcW w:w="3891" w:type="dxa"/>
            <w:gridSpan w:val="3"/>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1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24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17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050" w:type="dxa"/>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　</w:t>
            </w:r>
          </w:p>
        </w:tc>
        <w:tc>
          <w:tcPr>
            <w:tcW w:w="135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农用地</w:t>
            </w:r>
          </w:p>
        </w:tc>
        <w:tc>
          <w:tcPr>
            <w:tcW w:w="1092" w:type="dxa"/>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建设用地</w:t>
            </w:r>
          </w:p>
        </w:tc>
        <w:tc>
          <w:tcPr>
            <w:tcW w:w="943" w:type="dxa"/>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未利</w:t>
            </w:r>
          </w:p>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用地</w:t>
            </w:r>
          </w:p>
        </w:tc>
        <w:tc>
          <w:tcPr>
            <w:tcW w:w="8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300" w:hRule="atLeast"/>
          <w:jc w:val="center"/>
        </w:trPr>
        <w:tc>
          <w:tcPr>
            <w:tcW w:w="3891" w:type="dxa"/>
            <w:gridSpan w:val="3"/>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1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24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17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0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35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其中：耕地</w:t>
            </w:r>
          </w:p>
        </w:tc>
        <w:tc>
          <w:tcPr>
            <w:tcW w:w="109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94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8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67" w:hRule="exact"/>
          <w:jc w:val="center"/>
        </w:trPr>
        <w:tc>
          <w:tcPr>
            <w:tcW w:w="634"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峰高街道</w:t>
            </w:r>
          </w:p>
        </w:tc>
        <w:tc>
          <w:tcPr>
            <w:tcW w:w="135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唐冲村4组</w:t>
            </w:r>
          </w:p>
        </w:tc>
        <w:tc>
          <w:tcPr>
            <w:tcW w:w="1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原水口村4组</w:t>
            </w:r>
          </w:p>
        </w:tc>
        <w:tc>
          <w:tcPr>
            <w:tcW w:w="111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22.3800</w:t>
            </w:r>
          </w:p>
        </w:tc>
        <w:tc>
          <w:tcPr>
            <w:tcW w:w="124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15.4533</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0.0858</w:t>
            </w:r>
          </w:p>
        </w:tc>
        <w:tc>
          <w:tcPr>
            <w:tcW w:w="10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0.0689</w:t>
            </w:r>
          </w:p>
        </w:tc>
        <w:tc>
          <w:tcPr>
            <w:tcW w:w="13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0.0521</w:t>
            </w:r>
          </w:p>
        </w:tc>
        <w:tc>
          <w:tcPr>
            <w:tcW w:w="109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0.0169</w:t>
            </w:r>
          </w:p>
        </w:tc>
        <w:tc>
          <w:tcPr>
            <w:tcW w:w="943"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4"/>
                <w:szCs w:val="24"/>
              </w:rPr>
            </w:pPr>
          </w:p>
        </w:tc>
        <w:tc>
          <w:tcPr>
            <w:tcW w:w="84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67" w:hRule="exact"/>
          <w:jc w:val="center"/>
        </w:trPr>
        <w:tc>
          <w:tcPr>
            <w:tcW w:w="6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color w:val="000000"/>
                <w:kern w:val="0"/>
                <w:sz w:val="24"/>
                <w:szCs w:val="24"/>
              </w:rPr>
            </w:pPr>
          </w:p>
        </w:tc>
        <w:tc>
          <w:tcPr>
            <w:tcW w:w="135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color w:val="000000"/>
                <w:kern w:val="0"/>
                <w:sz w:val="24"/>
                <w:szCs w:val="24"/>
              </w:rPr>
            </w:pPr>
          </w:p>
        </w:tc>
        <w:tc>
          <w:tcPr>
            <w:tcW w:w="1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原水口村5组</w:t>
            </w:r>
          </w:p>
        </w:tc>
        <w:tc>
          <w:tcPr>
            <w:tcW w:w="111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26.3467</w:t>
            </w:r>
          </w:p>
        </w:tc>
        <w:tc>
          <w:tcPr>
            <w:tcW w:w="124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16.7000</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0.0260</w:t>
            </w:r>
          </w:p>
        </w:tc>
        <w:tc>
          <w:tcPr>
            <w:tcW w:w="10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0.0260</w:t>
            </w:r>
          </w:p>
        </w:tc>
        <w:tc>
          <w:tcPr>
            <w:tcW w:w="13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0.0101</w:t>
            </w:r>
          </w:p>
        </w:tc>
        <w:tc>
          <w:tcPr>
            <w:tcW w:w="10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4"/>
                <w:szCs w:val="24"/>
              </w:rPr>
            </w:pPr>
          </w:p>
        </w:tc>
        <w:tc>
          <w:tcPr>
            <w:tcW w:w="943"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4"/>
                <w:szCs w:val="24"/>
              </w:rPr>
            </w:pPr>
          </w:p>
        </w:tc>
        <w:tc>
          <w:tcPr>
            <w:tcW w:w="84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67" w:hRule="exact"/>
          <w:jc w:val="center"/>
        </w:trPr>
        <w:tc>
          <w:tcPr>
            <w:tcW w:w="6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color w:val="000000"/>
                <w:kern w:val="0"/>
                <w:sz w:val="24"/>
                <w:szCs w:val="24"/>
              </w:rPr>
            </w:pPr>
          </w:p>
        </w:tc>
        <w:tc>
          <w:tcPr>
            <w:tcW w:w="135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color w:val="000000"/>
                <w:kern w:val="0"/>
                <w:sz w:val="24"/>
                <w:szCs w:val="24"/>
              </w:rPr>
            </w:pPr>
          </w:p>
        </w:tc>
        <w:tc>
          <w:tcPr>
            <w:tcW w:w="1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原水口村6组</w:t>
            </w:r>
          </w:p>
        </w:tc>
        <w:tc>
          <w:tcPr>
            <w:tcW w:w="111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22.1200</w:t>
            </w:r>
          </w:p>
        </w:tc>
        <w:tc>
          <w:tcPr>
            <w:tcW w:w="124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15.8133</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0.0244</w:t>
            </w:r>
          </w:p>
        </w:tc>
        <w:tc>
          <w:tcPr>
            <w:tcW w:w="10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0.0244</w:t>
            </w:r>
          </w:p>
        </w:tc>
        <w:tc>
          <w:tcPr>
            <w:tcW w:w="13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0.0207</w:t>
            </w:r>
          </w:p>
        </w:tc>
        <w:tc>
          <w:tcPr>
            <w:tcW w:w="10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4"/>
                <w:szCs w:val="24"/>
              </w:rPr>
            </w:pPr>
          </w:p>
        </w:tc>
        <w:tc>
          <w:tcPr>
            <w:tcW w:w="943"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4"/>
                <w:szCs w:val="24"/>
              </w:rPr>
            </w:pPr>
          </w:p>
        </w:tc>
        <w:tc>
          <w:tcPr>
            <w:tcW w:w="84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67" w:hRule="exact"/>
          <w:jc w:val="center"/>
        </w:trPr>
        <w:tc>
          <w:tcPr>
            <w:tcW w:w="6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color w:val="000000"/>
                <w:kern w:val="0"/>
                <w:sz w:val="24"/>
                <w:szCs w:val="24"/>
              </w:rPr>
            </w:pPr>
          </w:p>
        </w:tc>
        <w:tc>
          <w:tcPr>
            <w:tcW w:w="135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唐冲村5组</w:t>
            </w:r>
          </w:p>
        </w:tc>
        <w:tc>
          <w:tcPr>
            <w:tcW w:w="1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原云板村1组</w:t>
            </w:r>
          </w:p>
        </w:tc>
        <w:tc>
          <w:tcPr>
            <w:tcW w:w="111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28.2480</w:t>
            </w:r>
          </w:p>
        </w:tc>
        <w:tc>
          <w:tcPr>
            <w:tcW w:w="124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18.3581</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0.1585</w:t>
            </w:r>
          </w:p>
        </w:tc>
        <w:tc>
          <w:tcPr>
            <w:tcW w:w="10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0.1585</w:t>
            </w:r>
          </w:p>
        </w:tc>
        <w:tc>
          <w:tcPr>
            <w:tcW w:w="13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0.1024</w:t>
            </w:r>
          </w:p>
        </w:tc>
        <w:tc>
          <w:tcPr>
            <w:tcW w:w="10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4"/>
                <w:szCs w:val="24"/>
              </w:rPr>
            </w:pPr>
          </w:p>
        </w:tc>
        <w:tc>
          <w:tcPr>
            <w:tcW w:w="943"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4"/>
                <w:szCs w:val="24"/>
              </w:rPr>
            </w:pPr>
          </w:p>
        </w:tc>
        <w:tc>
          <w:tcPr>
            <w:tcW w:w="84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67" w:hRule="exact"/>
          <w:jc w:val="center"/>
        </w:trPr>
        <w:tc>
          <w:tcPr>
            <w:tcW w:w="6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color w:val="000000"/>
                <w:kern w:val="0"/>
                <w:sz w:val="24"/>
                <w:szCs w:val="24"/>
              </w:rPr>
            </w:pPr>
          </w:p>
        </w:tc>
        <w:tc>
          <w:tcPr>
            <w:tcW w:w="135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color w:val="000000"/>
                <w:kern w:val="0"/>
                <w:sz w:val="24"/>
                <w:szCs w:val="24"/>
              </w:rPr>
            </w:pPr>
          </w:p>
        </w:tc>
        <w:tc>
          <w:tcPr>
            <w:tcW w:w="1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原云板村7组</w:t>
            </w:r>
          </w:p>
        </w:tc>
        <w:tc>
          <w:tcPr>
            <w:tcW w:w="111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28.6600</w:t>
            </w:r>
          </w:p>
        </w:tc>
        <w:tc>
          <w:tcPr>
            <w:tcW w:w="124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19.3467</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0.9659</w:t>
            </w:r>
          </w:p>
        </w:tc>
        <w:tc>
          <w:tcPr>
            <w:tcW w:w="10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0.9415</w:t>
            </w:r>
          </w:p>
        </w:tc>
        <w:tc>
          <w:tcPr>
            <w:tcW w:w="13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0.4922</w:t>
            </w:r>
          </w:p>
        </w:tc>
        <w:tc>
          <w:tcPr>
            <w:tcW w:w="109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0.0244</w:t>
            </w:r>
          </w:p>
        </w:tc>
        <w:tc>
          <w:tcPr>
            <w:tcW w:w="943"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4"/>
                <w:szCs w:val="24"/>
              </w:rPr>
            </w:pPr>
          </w:p>
        </w:tc>
        <w:tc>
          <w:tcPr>
            <w:tcW w:w="84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67" w:hRule="exact"/>
          <w:jc w:val="center"/>
        </w:trPr>
        <w:tc>
          <w:tcPr>
            <w:tcW w:w="6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color w:val="000000"/>
                <w:kern w:val="0"/>
                <w:sz w:val="24"/>
                <w:szCs w:val="24"/>
              </w:rPr>
            </w:pPr>
          </w:p>
        </w:tc>
        <w:tc>
          <w:tcPr>
            <w:tcW w:w="13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千秋村1组</w:t>
            </w:r>
          </w:p>
        </w:tc>
        <w:tc>
          <w:tcPr>
            <w:tcW w:w="1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原千秋榜村1组</w:t>
            </w:r>
          </w:p>
        </w:tc>
        <w:tc>
          <w:tcPr>
            <w:tcW w:w="111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35.6343</w:t>
            </w:r>
          </w:p>
        </w:tc>
        <w:tc>
          <w:tcPr>
            <w:tcW w:w="124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23.8405</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0.9050</w:t>
            </w:r>
          </w:p>
        </w:tc>
        <w:tc>
          <w:tcPr>
            <w:tcW w:w="10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0.9050</w:t>
            </w:r>
          </w:p>
        </w:tc>
        <w:tc>
          <w:tcPr>
            <w:tcW w:w="13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0.5604</w:t>
            </w:r>
          </w:p>
        </w:tc>
        <w:tc>
          <w:tcPr>
            <w:tcW w:w="10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4"/>
                <w:szCs w:val="24"/>
              </w:rPr>
            </w:pPr>
          </w:p>
        </w:tc>
        <w:tc>
          <w:tcPr>
            <w:tcW w:w="943"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4"/>
                <w:szCs w:val="24"/>
              </w:rPr>
            </w:pPr>
          </w:p>
        </w:tc>
        <w:tc>
          <w:tcPr>
            <w:tcW w:w="84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67" w:hRule="exact"/>
          <w:jc w:val="center"/>
        </w:trPr>
        <w:tc>
          <w:tcPr>
            <w:tcW w:w="3891"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w:t>
            </w:r>
          </w:p>
        </w:tc>
        <w:tc>
          <w:tcPr>
            <w:tcW w:w="111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163.389</w:t>
            </w:r>
          </w:p>
        </w:tc>
        <w:tc>
          <w:tcPr>
            <w:tcW w:w="124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109.5119</w:t>
            </w:r>
          </w:p>
        </w:tc>
        <w:tc>
          <w:tcPr>
            <w:tcW w:w="1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2.1656</w:t>
            </w:r>
          </w:p>
        </w:tc>
        <w:tc>
          <w:tcPr>
            <w:tcW w:w="10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2.1243</w:t>
            </w:r>
          </w:p>
        </w:tc>
        <w:tc>
          <w:tcPr>
            <w:tcW w:w="13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1.2379</w:t>
            </w:r>
          </w:p>
        </w:tc>
        <w:tc>
          <w:tcPr>
            <w:tcW w:w="109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0.0413</w:t>
            </w:r>
          </w:p>
        </w:tc>
        <w:tc>
          <w:tcPr>
            <w:tcW w:w="943"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4"/>
                <w:szCs w:val="24"/>
              </w:rPr>
            </w:pPr>
          </w:p>
        </w:tc>
        <w:tc>
          <w:tcPr>
            <w:tcW w:w="84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15</w:t>
            </w:r>
          </w:p>
        </w:tc>
      </w:tr>
    </w:tbl>
    <w:p>
      <w:pPr>
        <w:ind w:firstLine="0" w:firstLineChars="0"/>
        <w:rPr>
          <w:rFonts w:hint="eastAsia" w:ascii="Times New Roman" w:hAnsi="Times New Roman" w:cs="Times New Roman"/>
          <w:szCs w:val="20"/>
        </w:rPr>
      </w:pPr>
      <w:r>
        <w:rPr>
          <w:rFonts w:hint="eastAsia" w:ascii="宋体" w:hAnsi="宋体" w:eastAsia="方正黑体_GBK"/>
          <w:szCs w:val="32"/>
        </w:rPr>
        <w:br w:type="page"/>
      </w:r>
      <w:r>
        <w:rPr>
          <w:rFonts w:hint="eastAsia" w:ascii="方正黑体_GBK" w:hAnsi="方正黑体_GBK" w:eastAsia="方正黑体_GBK" w:cs="方正黑体_GBK"/>
          <w:color w:val="000000"/>
          <w:kern w:val="0"/>
          <w:szCs w:val="32"/>
          <w:lang w:bidi="ar"/>
        </w:rPr>
        <w:t>附件之附件二</w:t>
      </w:r>
    </w:p>
    <w:p>
      <w:pPr>
        <w:pStyle w:val="3"/>
        <w:bidi w:val="0"/>
        <w:rPr>
          <w:sz w:val="36"/>
          <w:szCs w:val="21"/>
        </w:rPr>
      </w:pPr>
      <w:r>
        <w:rPr>
          <w:rFonts w:hint="eastAsia"/>
          <w:sz w:val="36"/>
          <w:szCs w:val="21"/>
        </w:rPr>
        <w:t>土地补偿费和安置补助费明细表</w:t>
      </w:r>
    </w:p>
    <w:p>
      <w:pPr>
        <w:bidi w:val="0"/>
        <w:jc w:val="right"/>
        <w:rPr>
          <w:rFonts w:ascii="宋体" w:hAnsi="宋体" w:eastAsia="宋体" w:cs="宋体"/>
          <w:color w:val="000000"/>
          <w:kern w:val="0"/>
          <w:szCs w:val="22"/>
        </w:rPr>
      </w:pPr>
      <w:r>
        <w:rPr>
          <w:rFonts w:hint="eastAsia"/>
          <w:sz w:val="28"/>
          <w:szCs w:val="22"/>
        </w:rPr>
        <w:t xml:space="preserve">                                                  单位：公顷、亩、元/亩、人、元/人、元</w:t>
      </w:r>
    </w:p>
    <w:tbl>
      <w:tblPr>
        <w:tblStyle w:val="14"/>
        <w:tblW w:w="12756" w:type="dxa"/>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23" w:type="dxa"/>
          <w:bottom w:w="0" w:type="dxa"/>
          <w:right w:w="23" w:type="dxa"/>
        </w:tblCellMar>
      </w:tblPr>
      <w:tblGrid>
        <w:gridCol w:w="2268"/>
        <w:gridCol w:w="771"/>
        <w:gridCol w:w="857"/>
        <w:gridCol w:w="943"/>
        <w:gridCol w:w="1136"/>
        <w:gridCol w:w="836"/>
        <w:gridCol w:w="942"/>
        <w:gridCol w:w="1029"/>
        <w:gridCol w:w="1114"/>
        <w:gridCol w:w="930"/>
        <w:gridCol w:w="837"/>
        <w:gridCol w:w="1093"/>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420" w:hRule="atLeast"/>
          <w:jc w:val="center"/>
        </w:trPr>
        <w:tc>
          <w:tcPr>
            <w:tcW w:w="226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被征土地所有权人</w:t>
            </w:r>
          </w:p>
        </w:tc>
        <w:tc>
          <w:tcPr>
            <w:tcW w:w="1628"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征地面积</w:t>
            </w:r>
          </w:p>
        </w:tc>
        <w:tc>
          <w:tcPr>
            <w:tcW w:w="94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区片综合地价标准</w:t>
            </w:r>
          </w:p>
        </w:tc>
        <w:tc>
          <w:tcPr>
            <w:tcW w:w="113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lang w:eastAsia="zh-CN"/>
              </w:rPr>
            </w:pPr>
            <w:r>
              <w:rPr>
                <w:rFonts w:hint="eastAsia" w:ascii="方正黑体_GBK" w:hAnsi="方正黑体_GBK" w:eastAsia="方正黑体_GBK" w:cs="方正黑体_GBK"/>
                <w:color w:val="000000"/>
                <w:kern w:val="0"/>
                <w:sz w:val="24"/>
                <w:szCs w:val="24"/>
              </w:rPr>
              <w:t>土地补偿金额</w:t>
            </w:r>
            <w:r>
              <w:rPr>
                <w:rFonts w:hint="eastAsia" w:ascii="方正黑体_GBK" w:hAnsi="方正黑体_GBK" w:eastAsia="方正黑体_GBK" w:cs="方正黑体_GBK"/>
                <w:color w:val="000000"/>
                <w:kern w:val="0"/>
                <w:sz w:val="24"/>
                <w:szCs w:val="24"/>
                <w:lang w:eastAsia="zh-CN"/>
              </w:rPr>
              <w:t>（</w:t>
            </w:r>
            <w:r>
              <w:rPr>
                <w:rFonts w:hint="eastAsia" w:ascii="方正黑体_GBK" w:hAnsi="方正黑体_GBK" w:eastAsia="方正黑体_GBK" w:cs="方正黑体_GBK"/>
                <w:color w:val="000000"/>
                <w:kern w:val="0"/>
                <w:sz w:val="24"/>
                <w:szCs w:val="24"/>
              </w:rPr>
              <w:t>30%</w:t>
            </w:r>
            <w:r>
              <w:rPr>
                <w:rFonts w:hint="eastAsia" w:ascii="方正黑体_GBK" w:hAnsi="方正黑体_GBK" w:eastAsia="方正黑体_GBK" w:cs="方正黑体_GBK"/>
                <w:color w:val="000000"/>
                <w:kern w:val="0"/>
                <w:sz w:val="24"/>
                <w:szCs w:val="24"/>
                <w:lang w:eastAsia="zh-CN"/>
              </w:rPr>
              <w:t>）</w:t>
            </w:r>
          </w:p>
        </w:tc>
        <w:tc>
          <w:tcPr>
            <w:tcW w:w="5688"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安置补助费(70%)</w:t>
            </w:r>
          </w:p>
        </w:tc>
        <w:tc>
          <w:tcPr>
            <w:tcW w:w="109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两费合计</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420" w:hRule="atLeast"/>
          <w:jc w:val="center"/>
        </w:trPr>
        <w:tc>
          <w:tcPr>
            <w:tcW w:w="226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628"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94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1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83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人员安置对象人数</w:t>
            </w:r>
          </w:p>
        </w:tc>
        <w:tc>
          <w:tcPr>
            <w:tcW w:w="94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安置补助费发放标准</w:t>
            </w:r>
          </w:p>
        </w:tc>
        <w:tc>
          <w:tcPr>
            <w:tcW w:w="214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支付后有结余</w:t>
            </w:r>
          </w:p>
        </w:tc>
        <w:tc>
          <w:tcPr>
            <w:tcW w:w="176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支付后无结余</w:t>
            </w:r>
          </w:p>
        </w:tc>
        <w:tc>
          <w:tcPr>
            <w:tcW w:w="109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744" w:hRule="atLeast"/>
          <w:jc w:val="center"/>
        </w:trPr>
        <w:tc>
          <w:tcPr>
            <w:tcW w:w="226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7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公顷</w:t>
            </w:r>
          </w:p>
        </w:tc>
        <w:tc>
          <w:tcPr>
            <w:tcW w:w="8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亩</w:t>
            </w:r>
          </w:p>
        </w:tc>
        <w:tc>
          <w:tcPr>
            <w:tcW w:w="94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1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83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94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c>
          <w:tcPr>
            <w:tcW w:w="102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安置补助费结余部分</w:t>
            </w:r>
          </w:p>
        </w:tc>
        <w:tc>
          <w:tcPr>
            <w:tcW w:w="11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补偿金额</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安置补助费补足部分</w:t>
            </w:r>
          </w:p>
        </w:tc>
        <w:tc>
          <w:tcPr>
            <w:tcW w:w="8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补偿金额</w:t>
            </w:r>
          </w:p>
        </w:tc>
        <w:tc>
          <w:tcPr>
            <w:tcW w:w="109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jc w:val="left"/>
              <w:rPr>
                <w:rFonts w:hint="eastAsia" w:ascii="方正黑体_GBK" w:hAnsi="方正黑体_GBK" w:eastAsia="方正黑体_GBK" w:cs="方正黑体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01" w:hRule="atLeast"/>
          <w:jc w:val="center"/>
        </w:trPr>
        <w:tc>
          <w:tcPr>
            <w:tcW w:w="22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峰高街道唐冲村4组（原水口村4组）</w:t>
            </w:r>
          </w:p>
        </w:tc>
        <w:tc>
          <w:tcPr>
            <w:tcW w:w="7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0.0858 </w:t>
            </w:r>
          </w:p>
        </w:tc>
        <w:tc>
          <w:tcPr>
            <w:tcW w:w="8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1.2870 </w:t>
            </w:r>
          </w:p>
        </w:tc>
        <w:tc>
          <w:tcPr>
            <w:tcW w:w="94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55600.00 </w:t>
            </w:r>
          </w:p>
        </w:tc>
        <w:tc>
          <w:tcPr>
            <w:tcW w:w="1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21467.16 </w:t>
            </w:r>
          </w:p>
        </w:tc>
        <w:tc>
          <w:tcPr>
            <w:tcW w:w="8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9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35000.00 </w:t>
            </w:r>
          </w:p>
        </w:tc>
        <w:tc>
          <w:tcPr>
            <w:tcW w:w="10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15090.04 </w:t>
            </w:r>
          </w:p>
        </w:tc>
        <w:tc>
          <w:tcPr>
            <w:tcW w:w="11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50090.04 </w:t>
            </w:r>
          </w:p>
        </w:tc>
        <w:tc>
          <w:tcPr>
            <w:tcW w:w="9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kern w:val="0"/>
                <w:sz w:val="21"/>
                <w:szCs w:val="21"/>
              </w:rPr>
            </w:pPr>
          </w:p>
        </w:tc>
        <w:tc>
          <w:tcPr>
            <w:tcW w:w="8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kern w:val="0"/>
                <w:sz w:val="21"/>
                <w:szCs w:val="21"/>
              </w:rPr>
            </w:pPr>
          </w:p>
        </w:tc>
        <w:tc>
          <w:tcPr>
            <w:tcW w:w="10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71557.20 </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01" w:hRule="atLeast"/>
          <w:jc w:val="center"/>
        </w:trPr>
        <w:tc>
          <w:tcPr>
            <w:tcW w:w="22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峰高街道唐冲村4组（原水口村5组）</w:t>
            </w:r>
          </w:p>
        </w:tc>
        <w:tc>
          <w:tcPr>
            <w:tcW w:w="7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0.0260 </w:t>
            </w:r>
          </w:p>
        </w:tc>
        <w:tc>
          <w:tcPr>
            <w:tcW w:w="8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0.3900 </w:t>
            </w:r>
          </w:p>
        </w:tc>
        <w:tc>
          <w:tcPr>
            <w:tcW w:w="94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55600.00 </w:t>
            </w:r>
          </w:p>
        </w:tc>
        <w:tc>
          <w:tcPr>
            <w:tcW w:w="1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6505.20 </w:t>
            </w:r>
          </w:p>
        </w:tc>
        <w:tc>
          <w:tcPr>
            <w:tcW w:w="8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9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35000.00 </w:t>
            </w:r>
          </w:p>
        </w:tc>
        <w:tc>
          <w:tcPr>
            <w:tcW w:w="102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kern w:val="0"/>
                <w:sz w:val="21"/>
                <w:szCs w:val="21"/>
              </w:rPr>
            </w:pPr>
          </w:p>
        </w:tc>
        <w:tc>
          <w:tcPr>
            <w:tcW w:w="111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kern w:val="0"/>
                <w:sz w:val="21"/>
                <w:szCs w:val="21"/>
              </w:rPr>
            </w:pPr>
          </w:p>
        </w:tc>
        <w:tc>
          <w:tcPr>
            <w:tcW w:w="9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19821.20 </w:t>
            </w:r>
          </w:p>
        </w:tc>
        <w:tc>
          <w:tcPr>
            <w:tcW w:w="8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35000.00 </w:t>
            </w:r>
          </w:p>
        </w:tc>
        <w:tc>
          <w:tcPr>
            <w:tcW w:w="10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41505.20 </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01" w:hRule="atLeast"/>
          <w:jc w:val="center"/>
        </w:trPr>
        <w:tc>
          <w:tcPr>
            <w:tcW w:w="22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峰高街道唐冲村4组（原水口村6组）</w:t>
            </w:r>
          </w:p>
        </w:tc>
        <w:tc>
          <w:tcPr>
            <w:tcW w:w="7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0.0244 </w:t>
            </w:r>
          </w:p>
        </w:tc>
        <w:tc>
          <w:tcPr>
            <w:tcW w:w="8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0.3660 </w:t>
            </w:r>
          </w:p>
        </w:tc>
        <w:tc>
          <w:tcPr>
            <w:tcW w:w="94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55600.00 </w:t>
            </w:r>
          </w:p>
        </w:tc>
        <w:tc>
          <w:tcPr>
            <w:tcW w:w="1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6104.88 </w:t>
            </w:r>
          </w:p>
        </w:tc>
        <w:tc>
          <w:tcPr>
            <w:tcW w:w="8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9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35000.00 </w:t>
            </w:r>
          </w:p>
        </w:tc>
        <w:tc>
          <w:tcPr>
            <w:tcW w:w="102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kern w:val="0"/>
                <w:sz w:val="21"/>
                <w:szCs w:val="21"/>
              </w:rPr>
            </w:pPr>
          </w:p>
        </w:tc>
        <w:tc>
          <w:tcPr>
            <w:tcW w:w="111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kern w:val="0"/>
                <w:sz w:val="21"/>
                <w:szCs w:val="21"/>
              </w:rPr>
            </w:pPr>
          </w:p>
        </w:tc>
        <w:tc>
          <w:tcPr>
            <w:tcW w:w="9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20755.28 </w:t>
            </w:r>
          </w:p>
        </w:tc>
        <w:tc>
          <w:tcPr>
            <w:tcW w:w="8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35000.00 </w:t>
            </w:r>
          </w:p>
        </w:tc>
        <w:tc>
          <w:tcPr>
            <w:tcW w:w="10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41104.88 </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01" w:hRule="atLeast"/>
          <w:jc w:val="center"/>
        </w:trPr>
        <w:tc>
          <w:tcPr>
            <w:tcW w:w="22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峰高街道唐冲村5组（原云板村1组）</w:t>
            </w:r>
          </w:p>
        </w:tc>
        <w:tc>
          <w:tcPr>
            <w:tcW w:w="7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0.1585 </w:t>
            </w:r>
          </w:p>
        </w:tc>
        <w:tc>
          <w:tcPr>
            <w:tcW w:w="8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2.3775 </w:t>
            </w:r>
          </w:p>
        </w:tc>
        <w:tc>
          <w:tcPr>
            <w:tcW w:w="94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55600.00 </w:t>
            </w:r>
          </w:p>
        </w:tc>
        <w:tc>
          <w:tcPr>
            <w:tcW w:w="1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39656.70 </w:t>
            </w:r>
          </w:p>
        </w:tc>
        <w:tc>
          <w:tcPr>
            <w:tcW w:w="8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9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35000.00 </w:t>
            </w:r>
          </w:p>
        </w:tc>
        <w:tc>
          <w:tcPr>
            <w:tcW w:w="10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57532.30 </w:t>
            </w:r>
          </w:p>
        </w:tc>
        <w:tc>
          <w:tcPr>
            <w:tcW w:w="11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92532.30 </w:t>
            </w:r>
          </w:p>
        </w:tc>
        <w:tc>
          <w:tcPr>
            <w:tcW w:w="9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kern w:val="0"/>
                <w:sz w:val="21"/>
                <w:szCs w:val="21"/>
              </w:rPr>
            </w:pPr>
          </w:p>
        </w:tc>
        <w:tc>
          <w:tcPr>
            <w:tcW w:w="8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kern w:val="0"/>
                <w:sz w:val="21"/>
                <w:szCs w:val="21"/>
              </w:rPr>
            </w:pPr>
          </w:p>
        </w:tc>
        <w:tc>
          <w:tcPr>
            <w:tcW w:w="10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132189.00 </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01" w:hRule="atLeast"/>
          <w:jc w:val="center"/>
        </w:trPr>
        <w:tc>
          <w:tcPr>
            <w:tcW w:w="22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峰高街道唐冲村5组（原云板村7组）</w:t>
            </w:r>
          </w:p>
        </w:tc>
        <w:tc>
          <w:tcPr>
            <w:tcW w:w="7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0.9659 </w:t>
            </w:r>
          </w:p>
        </w:tc>
        <w:tc>
          <w:tcPr>
            <w:tcW w:w="8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14.4885 </w:t>
            </w:r>
          </w:p>
        </w:tc>
        <w:tc>
          <w:tcPr>
            <w:tcW w:w="94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55600.00 </w:t>
            </w:r>
          </w:p>
        </w:tc>
        <w:tc>
          <w:tcPr>
            <w:tcW w:w="1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241668.18 </w:t>
            </w:r>
          </w:p>
        </w:tc>
        <w:tc>
          <w:tcPr>
            <w:tcW w:w="8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9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35000.00 </w:t>
            </w:r>
          </w:p>
        </w:tc>
        <w:tc>
          <w:tcPr>
            <w:tcW w:w="10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388892.42 </w:t>
            </w:r>
          </w:p>
        </w:tc>
        <w:tc>
          <w:tcPr>
            <w:tcW w:w="11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563892.42 </w:t>
            </w:r>
          </w:p>
        </w:tc>
        <w:tc>
          <w:tcPr>
            <w:tcW w:w="9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kern w:val="0"/>
                <w:sz w:val="21"/>
                <w:szCs w:val="21"/>
              </w:rPr>
            </w:pPr>
          </w:p>
        </w:tc>
        <w:tc>
          <w:tcPr>
            <w:tcW w:w="8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kern w:val="0"/>
                <w:sz w:val="21"/>
                <w:szCs w:val="21"/>
              </w:rPr>
            </w:pPr>
          </w:p>
        </w:tc>
        <w:tc>
          <w:tcPr>
            <w:tcW w:w="10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805560.60 </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01" w:hRule="atLeast"/>
          <w:jc w:val="center"/>
        </w:trPr>
        <w:tc>
          <w:tcPr>
            <w:tcW w:w="22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峰高街道千秋村1组（原千秋榜村1组）</w:t>
            </w:r>
          </w:p>
        </w:tc>
        <w:tc>
          <w:tcPr>
            <w:tcW w:w="7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0.9050 </w:t>
            </w:r>
          </w:p>
        </w:tc>
        <w:tc>
          <w:tcPr>
            <w:tcW w:w="85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13.5750 </w:t>
            </w:r>
          </w:p>
        </w:tc>
        <w:tc>
          <w:tcPr>
            <w:tcW w:w="94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55600.00 </w:t>
            </w:r>
          </w:p>
        </w:tc>
        <w:tc>
          <w:tcPr>
            <w:tcW w:w="11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226431.00 </w:t>
            </w:r>
          </w:p>
        </w:tc>
        <w:tc>
          <w:tcPr>
            <w:tcW w:w="8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94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35000.00 </w:t>
            </w:r>
          </w:p>
        </w:tc>
        <w:tc>
          <w:tcPr>
            <w:tcW w:w="10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318339.00 </w:t>
            </w:r>
          </w:p>
        </w:tc>
        <w:tc>
          <w:tcPr>
            <w:tcW w:w="11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528339.00 </w:t>
            </w:r>
          </w:p>
        </w:tc>
        <w:tc>
          <w:tcPr>
            <w:tcW w:w="9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kern w:val="0"/>
                <w:sz w:val="21"/>
                <w:szCs w:val="21"/>
              </w:rPr>
            </w:pPr>
          </w:p>
        </w:tc>
        <w:tc>
          <w:tcPr>
            <w:tcW w:w="8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kern w:val="0"/>
                <w:sz w:val="21"/>
                <w:szCs w:val="21"/>
              </w:rPr>
            </w:pPr>
          </w:p>
        </w:tc>
        <w:tc>
          <w:tcPr>
            <w:tcW w:w="10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 xml:space="preserve">754770.00 </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519" w:hRule="atLeast"/>
          <w:jc w:val="center"/>
        </w:trPr>
        <w:tc>
          <w:tcPr>
            <w:tcW w:w="226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w:t>
            </w:r>
          </w:p>
        </w:tc>
        <w:tc>
          <w:tcPr>
            <w:tcW w:w="7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2.1656</w:t>
            </w:r>
          </w:p>
        </w:tc>
        <w:tc>
          <w:tcPr>
            <w:tcW w:w="85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32.4840</w:t>
            </w:r>
          </w:p>
        </w:tc>
        <w:tc>
          <w:tcPr>
            <w:tcW w:w="943"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1"/>
                <w:szCs w:val="21"/>
              </w:rPr>
            </w:pPr>
          </w:p>
        </w:tc>
        <w:tc>
          <w:tcPr>
            <w:tcW w:w="113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541833.12</w:t>
            </w:r>
          </w:p>
        </w:tc>
        <w:tc>
          <w:tcPr>
            <w:tcW w:w="83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15</w:t>
            </w:r>
          </w:p>
        </w:tc>
        <w:tc>
          <w:tcPr>
            <w:tcW w:w="94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val="0"/>
              <w:ind w:left="0" w:leftChars="0" w:right="0" w:rightChars="0" w:firstLine="0" w:firstLineChars="0"/>
              <w:jc w:val="center"/>
              <w:rPr>
                <w:rFonts w:hint="eastAsia" w:ascii="方正仿宋_GBK" w:hAnsi="方正仿宋_GBK" w:eastAsia="方正仿宋_GBK" w:cs="方正仿宋_GBK"/>
                <w:color w:val="000000"/>
                <w:kern w:val="0"/>
                <w:sz w:val="21"/>
                <w:szCs w:val="21"/>
              </w:rPr>
            </w:pPr>
          </w:p>
        </w:tc>
        <w:tc>
          <w:tcPr>
            <w:tcW w:w="10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779853.76</w:t>
            </w:r>
          </w:p>
        </w:tc>
        <w:tc>
          <w:tcPr>
            <w:tcW w:w="111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1234853.76</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40576.48</w:t>
            </w:r>
          </w:p>
        </w:tc>
        <w:tc>
          <w:tcPr>
            <w:tcW w:w="8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70000.00</w:t>
            </w:r>
          </w:p>
        </w:tc>
        <w:tc>
          <w:tcPr>
            <w:tcW w:w="109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right="0" w:rightChars="0" w:firstLine="0" w:firstLineChars="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1846686.88</w:t>
            </w:r>
          </w:p>
        </w:tc>
      </w:tr>
    </w:tbl>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sectPr>
          <w:headerReference r:id="rId9" w:type="default"/>
          <w:footerReference r:id="rId11" w:type="default"/>
          <w:headerReference r:id="rId10" w:type="even"/>
          <w:footerReference r:id="rId12" w:type="even"/>
          <w:pgSz w:w="16838" w:h="11906" w:orient="landscape"/>
          <w:pgMar w:top="1531" w:right="2098" w:bottom="1531" w:left="1984" w:header="851" w:footer="1134" w:gutter="0"/>
          <w:pgBorders>
            <w:top w:val="none" w:sz="0" w:space="0"/>
            <w:left w:val="none" w:sz="0" w:space="0"/>
            <w:bottom w:val="none" w:sz="0" w:space="0"/>
            <w:right w:val="none" w:sz="0" w:space="0"/>
          </w:pgBorders>
          <w:pgNumType w:fmt="decimal"/>
          <w:cols w:space="720" w:num="1"/>
          <w:docGrid w:type="lines" w:linePitch="589" w:charSpace="0"/>
        </w:sect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cs="Times New Roman"/>
          <w:szCs w:val="32"/>
        </w:rPr>
      </w:pPr>
    </w:p>
    <w:p>
      <w:pPr>
        <w:pBdr>
          <w:top w:val="none" w:color="auto" w:sz="0" w:space="0"/>
          <w:left w:val="none" w:color="auto" w:sz="0" w:space="0"/>
          <w:bottom w:val="none" w:color="auto" w:sz="0" w:space="1"/>
          <w:right w:val="none" w:color="auto" w:sz="0" w:space="0"/>
          <w:between w:val="none" w:color="auto" w:sz="0" w:space="0"/>
        </w:pBdr>
        <w:spacing w:before="463" w:beforeLines="80"/>
        <w:rPr>
          <w:rFonts w:hint="eastAsia" w:ascii="宋体" w:hAnsi="宋体" w:eastAsia="方正黑体_GBK"/>
          <w:szCs w:val="32"/>
        </w:rPr>
        <w:sectPr>
          <w:headerReference r:id="rId13" w:type="default"/>
          <w:footerReference r:id="rId15" w:type="default"/>
          <w:headerReference r:id="rId14" w:type="even"/>
          <w:footerReference r:id="rId16" w:type="even"/>
          <w:pgSz w:w="11906" w:h="16838"/>
          <w:pgMar w:top="2098" w:right="1531" w:bottom="1984" w:left="1531" w:header="851" w:footer="1474" w:gutter="0"/>
          <w:paperSrc/>
          <w:pgBorders>
            <w:top w:val="none" w:sz="0" w:space="0"/>
            <w:left w:val="none" w:sz="0" w:space="0"/>
            <w:bottom w:val="none" w:sz="0" w:space="0"/>
            <w:right w:val="none" w:sz="0" w:space="0"/>
          </w:pgBorders>
          <w:pgNumType w:fmt="decimal"/>
          <w:cols w:space="720" w:num="1"/>
          <w:docGrid w:type="lines" w:linePitch="589" w:charSpace="0"/>
        </w:sectPr>
      </w:pPr>
    </w:p>
    <w:p>
      <w:pPr>
        <w:pStyle w:val="2"/>
        <w:rPr>
          <w:rFonts w:hint="eastAsia"/>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keepNext w:val="0"/>
        <w:keepLines w:val="0"/>
        <w:pageBreakBefore w:val="0"/>
        <w:widowControl w:val="0"/>
        <w:kinsoku/>
        <w:wordWrap/>
        <w:overflowPunct/>
        <w:topLinePunct w:val="0"/>
        <w:autoSpaceDE w:val="0"/>
        <w:autoSpaceDN w:val="0"/>
        <w:bidi w:val="0"/>
        <w:adjustRightInd w:val="0"/>
        <w:snapToGrid/>
        <w:spacing w:before="297" w:beforeLines="50"/>
        <w:textAlignment w:val="auto"/>
        <w:rPr>
          <w:rFonts w:hint="eastAsia" w:ascii="宋体" w:hAnsi="宋体" w:eastAsia="方正黑体_GBK"/>
          <w:szCs w:val="32"/>
        </w:rPr>
      </w:pPr>
    </w:p>
    <w:p>
      <w:pPr>
        <w:ind w:firstLine="280" w:firstLineChars="100"/>
        <w:rPr>
          <w:rFonts w:hint="eastAsia" w:ascii="宋体" w:hAnsi="宋体" w:eastAsia="方正仿宋_GBK" w:cs="Times New Roman"/>
          <w:sz w:val="28"/>
          <w:szCs w:val="28"/>
        </w:rPr>
      </w:pPr>
    </w:p>
    <w:p>
      <w:pPr>
        <w:widowControl w:val="0"/>
        <w:pBdr>
          <w:top w:val="single" w:color="auto" w:sz="8" w:space="1"/>
          <w:left w:val="none" w:color="auto" w:sz="0" w:space="4"/>
          <w:bottom w:val="single" w:color="auto" w:sz="8" w:space="1"/>
          <w:right w:val="none" w:color="auto" w:sz="0" w:space="4"/>
          <w:between w:val="none" w:color="auto" w:sz="0" w:space="0"/>
        </w:pBdr>
        <w:ind w:firstLine="280" w:firstLineChars="100"/>
        <w:jc w:val="both"/>
        <w:rPr>
          <w:rFonts w:hint="eastAsia" w:ascii="宋体" w:hAnsi="宋体" w:eastAsia="方正仿宋_GBK" w:cs="Times New Roman"/>
          <w:szCs w:val="32"/>
          <w:lang w:val="en-US" w:eastAsia="zh-CN"/>
        </w:rPr>
      </w:pPr>
      <w:r>
        <w:rPr>
          <w:rFonts w:hint="eastAsia" w:ascii="宋体" w:hAnsi="宋体" w:eastAsia="方正仿宋_GBK" w:cs="Times New Roman"/>
          <w:sz w:val="28"/>
          <w:szCs w:val="28"/>
        </w:rPr>
        <w:t>重庆市荣昌区人民政府办公室　　　　　　　202</w:t>
      </w:r>
      <w:r>
        <w:rPr>
          <w:rFonts w:hint="eastAsia" w:ascii="宋体" w:hAnsi="宋体" w:cs="Times New Roman"/>
          <w:sz w:val="28"/>
          <w:szCs w:val="28"/>
          <w:lang w:val="en-US" w:eastAsia="zh-CN"/>
        </w:rPr>
        <w:t>3</w:t>
      </w:r>
      <w:r>
        <w:rPr>
          <w:rFonts w:hint="eastAsia" w:ascii="宋体" w:hAnsi="宋体" w:eastAsia="方正仿宋_GBK" w:cs="Times New Roman"/>
          <w:sz w:val="28"/>
          <w:szCs w:val="28"/>
        </w:rPr>
        <w:t>年</w:t>
      </w:r>
      <w:r>
        <w:rPr>
          <w:rFonts w:hint="eastAsia" w:cs="Times New Roman"/>
          <w:sz w:val="28"/>
          <w:szCs w:val="28"/>
          <w:lang w:val="en-US" w:eastAsia="zh-CN"/>
        </w:rPr>
        <w:t>6</w:t>
      </w:r>
      <w:r>
        <w:rPr>
          <w:rFonts w:hint="eastAsia" w:ascii="宋体" w:hAnsi="宋体" w:eastAsia="方正仿宋_GBK" w:cs="Times New Roman"/>
          <w:sz w:val="28"/>
          <w:szCs w:val="28"/>
        </w:rPr>
        <w:t>月</w:t>
      </w:r>
      <w:r>
        <w:rPr>
          <w:rFonts w:hint="eastAsia" w:cs="Times New Roman"/>
          <w:sz w:val="28"/>
          <w:szCs w:val="28"/>
          <w:lang w:val="en-US" w:eastAsia="zh-CN"/>
        </w:rPr>
        <w:t>26</w:t>
      </w:r>
      <w:r>
        <w:rPr>
          <w:rFonts w:hint="eastAsia" w:ascii="宋体" w:hAnsi="宋体" w:eastAsia="方正仿宋_GBK" w:cs="Times New Roman"/>
          <w:sz w:val="28"/>
          <w:szCs w:val="28"/>
        </w:rPr>
        <w:t>日印发</w:t>
      </w:r>
    </w:p>
    <w:sectPr>
      <w:footerReference r:id="rId17" w:type="default"/>
      <w:footerReference r:id="rId18" w:type="even"/>
      <w:pgSz w:w="11906" w:h="16838"/>
      <w:pgMar w:top="2098" w:right="1531" w:bottom="1984" w:left="1531" w:header="851" w:footer="1474" w:gutter="0"/>
      <w:paperSrc/>
      <w:pgBorders>
        <w:top w:val="none" w:sz="0" w:space="0"/>
        <w:left w:val="none" w:sz="0" w:space="0"/>
        <w:bottom w:val="none" w:sz="0" w:space="0"/>
        <w:right w:val="none" w:sz="0" w:space="0"/>
      </w:pgBorders>
      <w:pgNumType w:fmt="decimal"/>
      <w:cols w:space="720" w:num="1"/>
      <w:docGrid w:type="lines" w:linePitch="5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wordWrap w:val="0"/>
                            <w:jc w:val="right"/>
                            <w:rPr>
                              <w:rFonts w:hint="default" w:eastAsia="方正仿宋_GBK"/>
                              <w:sz w:val="28"/>
                              <w:szCs w:val="28"/>
                              <w:lang w:val="en-US" w:eastAsia="zh-CN"/>
                            </w:rPr>
                          </w:pPr>
                          <w:r>
                            <w:rPr>
                              <w:rFonts w:hint="default"/>
                              <w:sz w:val="28"/>
                              <w:szCs w:val="28"/>
                              <w:lang w:val="en-US" w:eastAsia="zh-CN"/>
                            </w:rPr>
                            <w:t xml:space="preserve">— </w:t>
                          </w:r>
                          <w:r>
                            <w:rPr>
                              <w:rFonts w:hint="default"/>
                              <w:sz w:val="28"/>
                              <w:szCs w:val="28"/>
                              <w:lang w:val="en-US" w:eastAsia="zh-CN"/>
                            </w:rPr>
                            <w:fldChar w:fldCharType="begin"/>
                          </w:r>
                          <w:r>
                            <w:rPr>
                              <w:rFonts w:hint="default"/>
                              <w:sz w:val="28"/>
                              <w:szCs w:val="28"/>
                              <w:lang w:val="en-US" w:eastAsia="zh-CN"/>
                            </w:rPr>
                            <w:instrText xml:space="preserve"> PAGE  \* MERGEFORMAT </w:instrText>
                          </w:r>
                          <w:r>
                            <w:rPr>
                              <w:rFonts w:hint="default"/>
                              <w:sz w:val="28"/>
                              <w:szCs w:val="28"/>
                              <w:lang w:val="en-US" w:eastAsia="zh-CN"/>
                            </w:rPr>
                            <w:fldChar w:fldCharType="separate"/>
                          </w:r>
                          <w:r>
                            <w:rPr>
                              <w:rFonts w:hint="default"/>
                              <w:sz w:val="28"/>
                              <w:szCs w:val="28"/>
                              <w:lang w:val="en-US" w:eastAsia="zh-CN"/>
                            </w:rPr>
                            <w:t>1</w:t>
                          </w:r>
                          <w:r>
                            <w:rPr>
                              <w:rFonts w:hint="default"/>
                              <w:sz w:val="28"/>
                              <w:szCs w:val="28"/>
                              <w:lang w:val="en-US" w:eastAsia="zh-CN"/>
                            </w:rPr>
                            <w:fldChar w:fldCharType="end"/>
                          </w:r>
                          <w:r>
                            <w:rPr>
                              <w:rFonts w:hint="default"/>
                              <w:sz w:val="28"/>
                              <w:szCs w:val="28"/>
                              <w:lang w:val="en-US" w:eastAsia="zh-CN"/>
                            </w:rPr>
                            <w:t xml:space="preserve"> —</w:t>
                          </w:r>
                          <w:r>
                            <w:rPr>
                              <w:rFonts w:hint="eastAsia"/>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MQg94BAAC/AwAADgAAAGRycy9lMm9Eb2MueG1srVNBrtMwEN0jcQfL&#10;e5q0Q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IExCD3gEAAL8DAAAOAAAAAAAA&#10;AAEAIAAAAB4BAABkcnMvZTJvRG9jLnhtbFBLBQYAAAAABgAGAFkBAABuBQAAAAA=&#10;">
              <v:fill on="f" focussize="0,0"/>
              <v:stroke on="f"/>
              <v:imagedata o:title=""/>
              <o:lock v:ext="edit" aspectratio="f"/>
              <v:textbox inset="0mm,0mm,0mm,0mm" style="mso-fit-shape-to-text:t;">
                <w:txbxContent>
                  <w:p>
                    <w:pPr>
                      <w:pStyle w:val="10"/>
                      <w:wordWrap w:val="0"/>
                      <w:jc w:val="right"/>
                      <w:rPr>
                        <w:rFonts w:hint="default" w:eastAsia="方正仿宋_GBK"/>
                        <w:sz w:val="28"/>
                        <w:szCs w:val="28"/>
                        <w:lang w:val="en-US" w:eastAsia="zh-CN"/>
                      </w:rPr>
                    </w:pPr>
                    <w:r>
                      <w:rPr>
                        <w:rFonts w:hint="default"/>
                        <w:sz w:val="28"/>
                        <w:szCs w:val="28"/>
                        <w:lang w:val="en-US" w:eastAsia="zh-CN"/>
                      </w:rPr>
                      <w:t xml:space="preserve">— </w:t>
                    </w:r>
                    <w:r>
                      <w:rPr>
                        <w:rFonts w:hint="default"/>
                        <w:sz w:val="28"/>
                        <w:szCs w:val="28"/>
                        <w:lang w:val="en-US" w:eastAsia="zh-CN"/>
                      </w:rPr>
                      <w:fldChar w:fldCharType="begin"/>
                    </w:r>
                    <w:r>
                      <w:rPr>
                        <w:rFonts w:hint="default"/>
                        <w:sz w:val="28"/>
                        <w:szCs w:val="28"/>
                        <w:lang w:val="en-US" w:eastAsia="zh-CN"/>
                      </w:rPr>
                      <w:instrText xml:space="preserve"> PAGE  \* MERGEFORMAT </w:instrText>
                    </w:r>
                    <w:r>
                      <w:rPr>
                        <w:rFonts w:hint="default"/>
                        <w:sz w:val="28"/>
                        <w:szCs w:val="28"/>
                        <w:lang w:val="en-US" w:eastAsia="zh-CN"/>
                      </w:rPr>
                      <w:fldChar w:fldCharType="separate"/>
                    </w:r>
                    <w:r>
                      <w:rPr>
                        <w:rFonts w:hint="default"/>
                        <w:sz w:val="28"/>
                        <w:szCs w:val="28"/>
                        <w:lang w:val="en-US" w:eastAsia="zh-CN"/>
                      </w:rPr>
                      <w:t>1</w:t>
                    </w:r>
                    <w:r>
                      <w:rPr>
                        <w:rFonts w:hint="default"/>
                        <w:sz w:val="28"/>
                        <w:szCs w:val="28"/>
                        <w:lang w:val="en-US" w:eastAsia="zh-CN"/>
                      </w:rPr>
                      <w:fldChar w:fldCharType="end"/>
                    </w:r>
                    <w:r>
                      <w:rPr>
                        <w:rFonts w:hint="default"/>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TbWIN8BAAC/AwAADgAAAGRycy9lMm9Eb2MueG1srVPNjtMwEL4j8Q6W&#10;7zRpJ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Vfc+aEpYGff3w///x9/vWN&#10;za+S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TbWIN8BAAC/AwAADgAAAAAA&#10;AAABACAAAAAeAQAAZHJzL2Uyb0RvYy54bWxQSwUGAAAAAAYABgBZAQAAbwUAAAAA&#10;">
              <v:fill on="f" focussize="0,0"/>
              <v:stroke on="f"/>
              <v:imagedata o:title=""/>
              <o:lock v:ext="edit" aspectratio="f"/>
              <v:textbox inset="0mm,0mm,0mm,0mm" style="mso-fit-shape-to-text:t;">
                <w:txbxContent>
                  <w:p>
                    <w:pPr>
                      <w:pStyle w:val="10"/>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cs="Times New Roman"/>
      </w:rPr>
    </w:pPr>
    <w:r>
      <w:rPr>
        <w:rFonts w:cs="Times New Roman"/>
        <w:sz w:val="18"/>
      </w:rPr>
      <mc:AlternateContent>
        <mc:Choice Requires="wps">
          <w:drawing>
            <wp:anchor distT="0" distB="0" distL="114300" distR="114300" simplePos="0" relativeHeight="251659264" behindDoc="1" locked="0" layoutInCell="1" allowOverlap="1">
              <wp:simplePos x="0" y="0"/>
              <wp:positionH relativeFrom="margin">
                <wp:posOffset>-1188085</wp:posOffset>
              </wp:positionH>
              <wp:positionV relativeFrom="paragraph">
                <wp:posOffset>-935990</wp:posOffset>
              </wp:positionV>
              <wp:extent cx="1828800" cy="271780"/>
              <wp:effectExtent l="778510" t="0" r="0" b="0"/>
              <wp:wrapNone/>
              <wp:docPr id="2" name="文本框 29"/>
              <wp:cNvGraphicFramePr/>
              <a:graphic xmlns:a="http://schemas.openxmlformats.org/drawingml/2006/main">
                <a:graphicData uri="http://schemas.microsoft.com/office/word/2010/wordprocessingShape">
                  <wps:wsp>
                    <wps:cNvSpPr txBox="1"/>
                    <wps:spPr>
                      <a:xfrm rot="5400000">
                        <a:off x="0" y="0"/>
                        <a:ext cx="1828800" cy="271780"/>
                      </a:xfrm>
                      <a:prstGeom prst="rect">
                        <a:avLst/>
                      </a:prstGeom>
                      <a:noFill/>
                      <a:ln>
                        <a:noFill/>
                      </a:ln>
                    </wps:spPr>
                    <wps:txbx>
                      <w:txbxContent>
                        <w:p>
                          <w:pPr>
                            <w:pStyle w:val="10"/>
                            <w:wordWrap w:val="0"/>
                            <w:jc w:val="right"/>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3</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p>
                      </w:txbxContent>
                    </wps:txbx>
                    <wps:bodyPr wrap="none" lIns="0" tIns="0" rIns="0" bIns="0" upright="0"/>
                  </wps:wsp>
                </a:graphicData>
              </a:graphic>
            </wp:anchor>
          </w:drawing>
        </mc:Choice>
        <mc:Fallback>
          <w:pict>
            <v:shape id="文本框 29" o:spid="_x0000_s1026" o:spt="202" type="#_x0000_t202" style="position:absolute;left:0pt;margin-left:-93.55pt;margin-top:-73.7pt;height:21.4pt;width:144pt;mso-position-horizontal-relative:margin;mso-wrap-style:none;rotation:5898240f;z-index:-251657216;mso-width-relative:page;mso-height-relative:page;" filled="f" stroked="f" coordsize="21600,21600" o:gfxdata="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&#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GQb2gAAAA4BAAAPAAAAAAAAAAEAIAAAACIAAABk&#10;cnMvZG93bnJldi54bWxQSwECFAAUAAAACACHTuJAARk9JMsBAACNAwAADgAAAAAAAAABACAAAAAp&#10;AQAAZHJzL2Uyb0RvYy54bWxQSwUGAAAAAAYABgBZAQAAZgUAAAAA&#10;">
              <v:fill on="f" focussize="0,0"/>
              <v:stroke on="f"/>
              <v:imagedata o:title=""/>
              <o:lock v:ext="edit" aspectratio="f"/>
              <v:textbox inset="0mm,0mm,0mm,0mm">
                <w:txbxContent>
                  <w:p>
                    <w:pPr>
                      <w:pStyle w:val="10"/>
                      <w:wordWrap w:val="0"/>
                      <w:jc w:val="right"/>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3</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cs="Times New Roman"/>
      </w:rPr>
    </w:pPr>
    <w:r>
      <w:rPr>
        <w:rFonts w:cs="Times New Roman"/>
        <w:sz w:val="18"/>
      </w:rPr>
      <mc:AlternateContent>
        <mc:Choice Requires="wps">
          <w:drawing>
            <wp:anchor distT="0" distB="0" distL="114300" distR="114300" simplePos="0" relativeHeight="251660288" behindDoc="1" locked="0" layoutInCell="1" allowOverlap="1">
              <wp:simplePos x="0" y="0"/>
              <wp:positionH relativeFrom="margin">
                <wp:posOffset>-1188085</wp:posOffset>
              </wp:positionH>
              <wp:positionV relativeFrom="paragraph">
                <wp:posOffset>-5507990</wp:posOffset>
              </wp:positionV>
              <wp:extent cx="1828800" cy="288290"/>
              <wp:effectExtent l="770255" t="0" r="0" b="0"/>
              <wp:wrapNone/>
              <wp:docPr id="3" name="文本框 30"/>
              <wp:cNvGraphicFramePr/>
              <a:graphic xmlns:a="http://schemas.openxmlformats.org/drawingml/2006/main">
                <a:graphicData uri="http://schemas.microsoft.com/office/word/2010/wordprocessingShape">
                  <wps:wsp>
                    <wps:cNvSpPr txBox="1"/>
                    <wps:spPr>
                      <a:xfrm rot="5400000">
                        <a:off x="0" y="0"/>
                        <a:ext cx="1828800" cy="288290"/>
                      </a:xfrm>
                      <a:prstGeom prst="rect">
                        <a:avLst/>
                      </a:prstGeom>
                      <a:noFill/>
                      <a:ln>
                        <a:noFill/>
                      </a:ln>
                    </wps:spPr>
                    <wps:txbx>
                      <w:txbxContent>
                        <w:p>
                          <w:pPr>
                            <w:pStyle w:val="10"/>
                            <w:rPr>
                              <w:rFonts w:hint="eastAsia" w:ascii="宋体" w:hAnsi="宋体" w:eastAsia="宋体" w:cs="宋体"/>
                              <w:sz w:val="28"/>
                              <w:szCs w:val="28"/>
                            </w:rPr>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4</w:t>
                          </w:r>
                          <w:r>
                            <w:rPr>
                              <w:rFonts w:hint="eastAsia" w:eastAsia="宋体" w:cs="宋体"/>
                              <w:sz w:val="28"/>
                              <w:szCs w:val="28"/>
                            </w:rPr>
                            <w:fldChar w:fldCharType="end"/>
                          </w:r>
                          <w:r>
                            <w:rPr>
                              <w:rFonts w:hint="eastAsia" w:eastAsia="宋体" w:cs="宋体"/>
                              <w:sz w:val="28"/>
                              <w:szCs w:val="28"/>
                            </w:rPr>
                            <w:t xml:space="preserve"> —</w:t>
                          </w:r>
                        </w:p>
                      </w:txbxContent>
                    </wps:txbx>
                    <wps:bodyPr wrap="none" lIns="0" tIns="0" rIns="0" bIns="0" upright="0"/>
                  </wps:wsp>
                </a:graphicData>
              </a:graphic>
            </wp:anchor>
          </w:drawing>
        </mc:Choice>
        <mc:Fallback>
          <w:pict>
            <v:shape id="文本框 30" o:spid="_x0000_s1026" o:spt="202" type="#_x0000_t202" style="position:absolute;left:0pt;margin-left:-93.55pt;margin-top:-433.7pt;height:22.7pt;width:144pt;mso-position-horizontal-relative:margin;mso-wrap-style:none;rotation:5898240f;z-index:-251656192;mso-width-relative:page;mso-height-relative:page;" filled="f" stroked="f" coordsize="21600,21600" o:gfxdata="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AOjCNsAAAAOAQAADwAAAAAAAAABACAAAAAiAAAA&#10;ZHJzL2Rvd25yZXYueG1sUEsBAhQAFAAAAAgAh07iQAbw4XrLAQAAjQMAAA4AAAAAAAAAAQAgAAAA&#10;KgEAAGRycy9lMm9Eb2MueG1sUEsFBgAAAAAGAAYAWQEAAGcFAAAAAA==&#10;">
              <v:fill on="f" focussize="0,0"/>
              <v:stroke on="f"/>
              <v:imagedata o:title=""/>
              <o:lock v:ext="edit" aspectratio="f"/>
              <v:textbox inset="0mm,0mm,0mm,0mm">
                <w:txbxContent>
                  <w:p>
                    <w:pPr>
                      <w:pStyle w:val="10"/>
                      <w:rPr>
                        <w:rFonts w:hint="eastAsia" w:ascii="宋体" w:hAnsi="宋体" w:eastAsia="宋体" w:cs="宋体"/>
                        <w:sz w:val="28"/>
                        <w:szCs w:val="28"/>
                      </w:rPr>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4</w:t>
                    </w:r>
                    <w:r>
                      <w:rPr>
                        <w:rFonts w:hint="eastAsia" w:eastAsia="宋体" w:cs="宋体"/>
                        <w:sz w:val="28"/>
                        <w:szCs w:val="28"/>
                      </w:rPr>
                      <w:fldChar w:fldCharType="end"/>
                    </w:r>
                    <w:r>
                      <w:rPr>
                        <w:rFonts w:hint="eastAsia"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E2892"/>
    <w:multiLevelType w:val="singleLevel"/>
    <w:tmpl w:val="B8DE2892"/>
    <w:lvl w:ilvl="0" w:tentative="0">
      <w:start w:val="1"/>
      <w:numFmt w:val="decimal"/>
      <w:suff w:val="nothing"/>
      <w:lvlText w:val="%1．"/>
      <w:lvlJc w:val="left"/>
    </w:lvl>
  </w:abstractNum>
  <w:abstractNum w:abstractNumId="1">
    <w:nsid w:val="50E1C2D3"/>
    <w:multiLevelType w:val="singleLevel"/>
    <w:tmpl w:val="50E1C2D3"/>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0"/>
  <w:hyphenationZone w:val="360"/>
  <w:evenAndOddHeaders w:val="1"/>
  <w:drawingGridHorizontalSpacing w:val="320"/>
  <w:drawingGridVerticalSpacing w:val="295"/>
  <w:displayHorizontalDrawingGridEvery w:val="1"/>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FF80D0"/>
    <w:rsid w:val="00017CCF"/>
    <w:rsid w:val="0002526C"/>
    <w:rsid w:val="00056C91"/>
    <w:rsid w:val="000602A5"/>
    <w:rsid w:val="00062188"/>
    <w:rsid w:val="00082DF5"/>
    <w:rsid w:val="00086A2B"/>
    <w:rsid w:val="000A42B1"/>
    <w:rsid w:val="000C26E8"/>
    <w:rsid w:val="000D61B3"/>
    <w:rsid w:val="000F51DC"/>
    <w:rsid w:val="000F5742"/>
    <w:rsid w:val="00101D1F"/>
    <w:rsid w:val="001052EB"/>
    <w:rsid w:val="00135004"/>
    <w:rsid w:val="00164F5D"/>
    <w:rsid w:val="001B79C4"/>
    <w:rsid w:val="001E5E68"/>
    <w:rsid w:val="00200061"/>
    <w:rsid w:val="002030E1"/>
    <w:rsid w:val="00207E00"/>
    <w:rsid w:val="002256ED"/>
    <w:rsid w:val="002442D5"/>
    <w:rsid w:val="002661E9"/>
    <w:rsid w:val="00277FD9"/>
    <w:rsid w:val="002E0CDA"/>
    <w:rsid w:val="002E3BEE"/>
    <w:rsid w:val="002F3513"/>
    <w:rsid w:val="0030484F"/>
    <w:rsid w:val="00317064"/>
    <w:rsid w:val="003422AA"/>
    <w:rsid w:val="0036045A"/>
    <w:rsid w:val="003C1717"/>
    <w:rsid w:val="003C38B3"/>
    <w:rsid w:val="003C4807"/>
    <w:rsid w:val="00424BD8"/>
    <w:rsid w:val="00441329"/>
    <w:rsid w:val="00470471"/>
    <w:rsid w:val="00484091"/>
    <w:rsid w:val="00487A1A"/>
    <w:rsid w:val="00491BC4"/>
    <w:rsid w:val="004A2840"/>
    <w:rsid w:val="004C60D9"/>
    <w:rsid w:val="004C6A7F"/>
    <w:rsid w:val="005273E9"/>
    <w:rsid w:val="00544C11"/>
    <w:rsid w:val="00551643"/>
    <w:rsid w:val="00554D9E"/>
    <w:rsid w:val="0057221D"/>
    <w:rsid w:val="00587ABE"/>
    <w:rsid w:val="005933C4"/>
    <w:rsid w:val="00621E56"/>
    <w:rsid w:val="00636C32"/>
    <w:rsid w:val="00637726"/>
    <w:rsid w:val="00646AA6"/>
    <w:rsid w:val="00673883"/>
    <w:rsid w:val="0067519F"/>
    <w:rsid w:val="00680373"/>
    <w:rsid w:val="006C2605"/>
    <w:rsid w:val="006D5A31"/>
    <w:rsid w:val="00713D35"/>
    <w:rsid w:val="007476CB"/>
    <w:rsid w:val="00754393"/>
    <w:rsid w:val="00763931"/>
    <w:rsid w:val="007835E9"/>
    <w:rsid w:val="007B581D"/>
    <w:rsid w:val="007B69FC"/>
    <w:rsid w:val="007D72C2"/>
    <w:rsid w:val="007E08D2"/>
    <w:rsid w:val="007F3578"/>
    <w:rsid w:val="007F5DC9"/>
    <w:rsid w:val="00806464"/>
    <w:rsid w:val="008A1020"/>
    <w:rsid w:val="008A3349"/>
    <w:rsid w:val="008C75D5"/>
    <w:rsid w:val="008F082E"/>
    <w:rsid w:val="00907DD2"/>
    <w:rsid w:val="009100C3"/>
    <w:rsid w:val="00934971"/>
    <w:rsid w:val="00965B40"/>
    <w:rsid w:val="0097595C"/>
    <w:rsid w:val="00976064"/>
    <w:rsid w:val="00976553"/>
    <w:rsid w:val="009928DA"/>
    <w:rsid w:val="009A2069"/>
    <w:rsid w:val="009A745D"/>
    <w:rsid w:val="00A03A99"/>
    <w:rsid w:val="00A054BA"/>
    <w:rsid w:val="00A1653D"/>
    <w:rsid w:val="00A417E0"/>
    <w:rsid w:val="00A4521C"/>
    <w:rsid w:val="00A51191"/>
    <w:rsid w:val="00A57DDF"/>
    <w:rsid w:val="00A825CA"/>
    <w:rsid w:val="00A85CC5"/>
    <w:rsid w:val="00AD4189"/>
    <w:rsid w:val="00AD74E9"/>
    <w:rsid w:val="00AE5FE3"/>
    <w:rsid w:val="00B02838"/>
    <w:rsid w:val="00B05C12"/>
    <w:rsid w:val="00B15DDF"/>
    <w:rsid w:val="00B27ECE"/>
    <w:rsid w:val="00B647E2"/>
    <w:rsid w:val="00B67C51"/>
    <w:rsid w:val="00B8253E"/>
    <w:rsid w:val="00BA68E4"/>
    <w:rsid w:val="00C94375"/>
    <w:rsid w:val="00CA10A1"/>
    <w:rsid w:val="00CA3C3F"/>
    <w:rsid w:val="00CB080D"/>
    <w:rsid w:val="00CB3FAF"/>
    <w:rsid w:val="00CB51DC"/>
    <w:rsid w:val="00CB551D"/>
    <w:rsid w:val="00CC0F95"/>
    <w:rsid w:val="00CD7DE1"/>
    <w:rsid w:val="00D0209B"/>
    <w:rsid w:val="00D0553B"/>
    <w:rsid w:val="00D1304D"/>
    <w:rsid w:val="00D17764"/>
    <w:rsid w:val="00D21350"/>
    <w:rsid w:val="00D37D69"/>
    <w:rsid w:val="00D70144"/>
    <w:rsid w:val="00D84DE1"/>
    <w:rsid w:val="00DD4DA1"/>
    <w:rsid w:val="00DD5664"/>
    <w:rsid w:val="00DE1B8C"/>
    <w:rsid w:val="00E043E4"/>
    <w:rsid w:val="00E04C36"/>
    <w:rsid w:val="00E31D25"/>
    <w:rsid w:val="00E405D6"/>
    <w:rsid w:val="00E70FA9"/>
    <w:rsid w:val="00E85D34"/>
    <w:rsid w:val="00EC09C0"/>
    <w:rsid w:val="00EC5A5C"/>
    <w:rsid w:val="00F114B7"/>
    <w:rsid w:val="00F16E51"/>
    <w:rsid w:val="00F21AC2"/>
    <w:rsid w:val="00F24668"/>
    <w:rsid w:val="00F361AD"/>
    <w:rsid w:val="00F70ACF"/>
    <w:rsid w:val="00F8189B"/>
    <w:rsid w:val="00F878DD"/>
    <w:rsid w:val="00FA62E7"/>
    <w:rsid w:val="00FB5A90"/>
    <w:rsid w:val="00FC340D"/>
    <w:rsid w:val="00FF286B"/>
    <w:rsid w:val="2BF9DFA9"/>
    <w:rsid w:val="2FCFFD58"/>
    <w:rsid w:val="2FF5A6FA"/>
    <w:rsid w:val="36F54FAC"/>
    <w:rsid w:val="373E8ECF"/>
    <w:rsid w:val="3BEFFE33"/>
    <w:rsid w:val="4BD8357C"/>
    <w:rsid w:val="4C7D4F77"/>
    <w:rsid w:val="4FB974C3"/>
    <w:rsid w:val="5BDFBA85"/>
    <w:rsid w:val="5DD7EA76"/>
    <w:rsid w:val="5EFD1DF7"/>
    <w:rsid w:val="6CBF0059"/>
    <w:rsid w:val="7DB74FE5"/>
    <w:rsid w:val="7E574996"/>
    <w:rsid w:val="7FDB2561"/>
    <w:rsid w:val="7FEEB771"/>
    <w:rsid w:val="93FB1E84"/>
    <w:rsid w:val="B7969508"/>
    <w:rsid w:val="B9B389B4"/>
    <w:rsid w:val="BA3F71C4"/>
    <w:rsid w:val="CFFFC102"/>
    <w:rsid w:val="D9EBD1E6"/>
    <w:rsid w:val="DEFFC836"/>
    <w:rsid w:val="DFFB5D8D"/>
    <w:rsid w:val="E7FF80D0"/>
    <w:rsid w:val="E9AFD797"/>
    <w:rsid w:val="F7FF2A3F"/>
    <w:rsid w:val="FBA7558B"/>
    <w:rsid w:val="FEBC4F37"/>
    <w:rsid w:val="FF7FBB77"/>
    <w:rsid w:val="FF9FE6F5"/>
    <w:rsid w:val="FFEBBC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ind w:firstLine="632" w:firstLineChars="200"/>
      <w:jc w:val="both"/>
    </w:pPr>
    <w:rPr>
      <w:rFonts w:ascii="宋体" w:hAnsi="宋体" w:eastAsia="方正仿宋_GBK"/>
      <w:kern w:val="2"/>
      <w:sz w:val="32"/>
      <w:szCs w:val="24"/>
      <w:lang w:val="en-US" w:eastAsia="zh-CN" w:bidi="ar-SA"/>
    </w:rPr>
  </w:style>
  <w:style w:type="paragraph" w:styleId="3">
    <w:name w:val="heading 1"/>
    <w:basedOn w:val="1"/>
    <w:next w:val="1"/>
    <w:uiPriority w:val="0"/>
    <w:pPr>
      <w:keepNext w:val="0"/>
      <w:keepLines w:val="0"/>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4">
    <w:name w:val="heading 2"/>
    <w:basedOn w:val="1"/>
    <w:next w:val="1"/>
    <w:link w:val="18"/>
    <w:uiPriority w:val="0"/>
    <w:pPr>
      <w:keepNext w:val="0"/>
      <w:keepLines w:val="0"/>
      <w:spacing w:beforeLines="0" w:beforeAutospacing="0" w:afterLines="0" w:afterAutospacing="0" w:line="240" w:lineRule="auto"/>
      <w:outlineLvl w:val="1"/>
    </w:pPr>
    <w:rPr>
      <w:rFonts w:eastAsia="方正黑体_GBK"/>
    </w:rPr>
  </w:style>
  <w:style w:type="paragraph" w:styleId="5">
    <w:name w:val="heading 3"/>
    <w:basedOn w:val="1"/>
    <w:next w:val="1"/>
    <w:link w:val="19"/>
    <w:uiPriority w:val="0"/>
    <w:pPr>
      <w:keepNext w:val="0"/>
      <w:keepLines w:val="0"/>
      <w:spacing w:beforeLines="0" w:beforeAutospacing="0" w:afterLines="0" w:afterAutospacing="0" w:line="240" w:lineRule="auto"/>
      <w:outlineLvl w:val="2"/>
    </w:pPr>
    <w:rPr>
      <w:rFonts w:eastAsia="方正楷体_GBK"/>
    </w:rPr>
  </w:style>
  <w:style w:type="paragraph" w:styleId="6">
    <w:name w:val="heading 4"/>
    <w:basedOn w:val="7"/>
    <w:next w:val="1"/>
    <w:uiPriority w:val="0"/>
    <w:pPr>
      <w:keepNext w:val="0"/>
      <w:keepLines w:val="0"/>
      <w:snapToGrid w:val="0"/>
      <w:spacing w:beforeLines="0" w:beforeAutospacing="0" w:afterLines="0" w:afterAutospacing="0" w:line="720" w:lineRule="atLeast"/>
      <w:ind w:firstLine="0" w:firstLineChars="0"/>
      <w:outlineLvl w:val="3"/>
    </w:pPr>
    <w:rPr>
      <w:rFonts w:ascii="宋体" w:hAnsi="宋体" w:eastAsia="方正小标宋_GBK"/>
      <w:b w:val="0"/>
      <w:sz w:val="44"/>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7">
    <w:name w:val="Title"/>
    <w:basedOn w:val="1"/>
    <w:uiPriority w:val="0"/>
    <w:pPr>
      <w:spacing w:before="240" w:after="60"/>
      <w:jc w:val="center"/>
      <w:outlineLvl w:val="0"/>
    </w:pPr>
    <w:rPr>
      <w:rFonts w:ascii="Arial" w:hAnsi="Arial" w:cs="Arial"/>
      <w:b/>
      <w:bCs/>
      <w:sz w:val="32"/>
      <w:szCs w:val="32"/>
    </w:rPr>
  </w:style>
  <w:style w:type="paragraph" w:styleId="8">
    <w:name w:val="Body Text"/>
    <w:basedOn w:val="1"/>
    <w:uiPriority w:val="0"/>
    <w:pPr>
      <w:spacing w:after="120"/>
    </w:pPr>
  </w:style>
  <w:style w:type="paragraph" w:styleId="9">
    <w:name w:val="Body Text Indent"/>
    <w:basedOn w:val="1"/>
    <w:uiPriority w:val="0"/>
    <w:pPr>
      <w:spacing w:after="120"/>
      <w:ind w:left="420" w:leftChars="200"/>
    </w:p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rPr>
      <w:sz w:val="24"/>
    </w:rPr>
  </w:style>
  <w:style w:type="paragraph" w:styleId="13">
    <w:name w:val="index 1"/>
    <w:basedOn w:val="7"/>
    <w:next w:val="1"/>
    <w:semiHidden/>
    <w:uiPriority w:val="0"/>
    <w:pPr>
      <w:snapToGrid w:val="0"/>
      <w:spacing w:before="0" w:after="0"/>
    </w:pPr>
    <w:rPr>
      <w:rFonts w:eastAsia="方正小标宋_GBK"/>
      <w:b w:val="0"/>
      <w:bCs w:val="0"/>
      <w:sz w:val="44"/>
      <w:szCs w:val="28"/>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iPriority w:val="0"/>
  </w:style>
  <w:style w:type="character" w:customStyle="1" w:styleId="18">
    <w:name w:val="标题 2 Char"/>
    <w:link w:val="4"/>
    <w:uiPriority w:val="0"/>
    <w:rPr>
      <w:rFonts w:ascii="宋体" w:hAnsi="宋体" w:eastAsia="方正黑体_GBK"/>
    </w:rPr>
  </w:style>
  <w:style w:type="character" w:customStyle="1" w:styleId="19">
    <w:name w:val="标题 3 Char"/>
    <w:link w:val="5"/>
    <w:uiPriority w:val="0"/>
    <w:rPr>
      <w:rFonts w:eastAsia="方正楷体_GBK"/>
    </w:rPr>
  </w:style>
  <w:style w:type="paragraph" w:customStyle="1" w:styleId="20">
    <w:name w:val="_Style 17"/>
    <w:basedOn w:val="1"/>
    <w:next w:val="12"/>
    <w:uiPriority w:val="0"/>
    <w:pPr>
      <w:widowControl/>
      <w:spacing w:before="100" w:beforeAutospacing="1" w:after="100" w:afterAutospacing="1"/>
      <w:jc w:val="left"/>
    </w:pPr>
    <w:rPr>
      <w:rFonts w:ascii="宋体" w:hAnsi="宋体"/>
      <w:kern w:val="0"/>
      <w:sz w:val="24"/>
    </w:rPr>
  </w:style>
  <w:style w:type="paragraph" w:customStyle="1" w:styleId="21">
    <w:name w:val="_Style 21"/>
    <w:basedOn w:val="1"/>
    <w:next w:val="8"/>
    <w:uiPriority w:val="0"/>
    <w:pPr>
      <w:jc w:val="center"/>
    </w:pPr>
    <w:rPr>
      <w:rFonts w:eastAsia="方正小标宋_GBK"/>
      <w:sz w:val="44"/>
    </w:rPr>
  </w:style>
  <w:style w:type="paragraph" w:customStyle="1" w:styleId="22">
    <w:name w:val="Char Char Char Char Char Char Char Char Char Char Char Char Char Char Char Char"/>
    <w:basedOn w:val="1"/>
    <w:uiPriority w:val="0"/>
    <w:pPr>
      <w:tabs>
        <w:tab w:val="left" w:pos="360"/>
      </w:tabs>
    </w:pPr>
    <w:rPr>
      <w:rFonts w:eastAsia="方正仿宋_GBK"/>
      <w:sz w:val="24"/>
      <w:szCs w:val="20"/>
    </w:rPr>
  </w:style>
  <w:style w:type="paragraph" w:customStyle="1" w:styleId="23">
    <w:name w:val="目录二"/>
    <w:basedOn w:val="3"/>
    <w:next w:val="1"/>
    <w:uiPriority w:val="0"/>
    <w:pPr>
      <w:snapToGrid/>
      <w:spacing w:line="240" w:lineRule="auto"/>
      <w:ind w:firstLine="632" w:firstLineChars="200"/>
    </w:pPr>
    <w:rPr>
      <w:rFonts w:eastAsia="方正黑体_GBK"/>
      <w:sz w:val="32"/>
    </w:rPr>
  </w:style>
  <w:style w:type="paragraph" w:customStyle="1" w:styleId="24">
    <w:name w:val="目录三"/>
    <w:basedOn w:val="4"/>
    <w:next w:val="1"/>
    <w:uiPriority w:val="0"/>
    <w:rPr>
      <w:rFonts w:eastAsia="方正楷体_GBK"/>
    </w:rPr>
  </w:style>
  <w:style w:type="paragraph" w:customStyle="1" w:styleId="25">
    <w:name w:val="附件说明"/>
    <w:basedOn w:val="1"/>
    <w:next w:val="1"/>
    <w:uiPriority w:val="0"/>
    <w:pPr>
      <w:ind w:left="1580" w:leftChars="200" w:hanging="948" w:hangingChars="300"/>
    </w:pPr>
  </w:style>
  <w:style w:type="paragraph" w:customStyle="1" w:styleId="26">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7">
    <w:name w:val=" Char Char Char Char Char Char Char Char"/>
    <w:qFormat/>
    <w:uiPriority w:val="0"/>
    <w:pPr>
      <w:widowControl/>
      <w:spacing w:after="160" w:line="240" w:lineRule="exact"/>
      <w:ind w:firstLine="640" w:firstLineChars="200"/>
      <w:jc w:val="left"/>
    </w:pPr>
    <w:rPr>
      <w:rFonts w:ascii="Verdana" w:hAnsi="Verdana" w:eastAsia="仿宋_GB2312" w:cs="Verdana"/>
      <w:kern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uest\&#27169;&#26495;\2023&#27169;&#26495;\&#24220;&#21457;&#65288;&#24220;&#20844;&#12289;&#24220;&#36890;&#65289;&#19977;&#27178;&#3144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府发（府公、府通）三横竖.wpt</Template>
  <Pages>14</Pages>
  <Words>139</Words>
  <Characters>148</Characters>
  <Lines>1</Lines>
  <Paragraphs>1</Paragraphs>
  <TotalTime>0</TotalTime>
  <ScaleCrop>false</ScaleCrop>
  <LinksUpToDate>false</LinksUpToDate>
  <CharactersWithSpaces>167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2023-06-27T18:13:00Z</dcterms:created>
  <dc:creator>刘雪梅</dc:creator>
  <cp:lastModifiedBy>Administrator</cp:lastModifiedBy>
  <cp:lastPrinted>2023-06-27T19:22:15Z</cp:lastPrinted>
  <dcterms:modified xsi:type="dcterms:W3CDTF">2023-08-02T02:13:42Z</dcterms:modified>
  <dc:title>荣昌县人民政府办公室电子公文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AD75F6007C324AEAB5B125A67D95959C_13</vt:lpwstr>
  </property>
</Properties>
</file>