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rPr>
      </w:pPr>
    </w:p>
    <w:p>
      <w:pPr>
        <w:rPr>
          <w:rFonts w:hint="eastAsia" w:ascii="宋体" w:hAnsi="宋体" w:eastAsia="方正黑体_GBK"/>
        </w:rPr>
      </w:pPr>
    </w:p>
    <w:p>
      <w:pPr>
        <w:rPr>
          <w:rFonts w:hint="eastAsia" w:ascii="宋体" w:hAnsi="宋体" w:eastAsia="方正黑体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snapToGrid w:val="0"/>
        <w:spacing w:before="28" w:beforeLines="5"/>
        <w:rPr>
          <w:rFonts w:hint="eastAsia" w:ascii="宋体" w:hAnsi="宋体"/>
          <w:szCs w:val="32"/>
        </w:rPr>
      </w:pPr>
    </w:p>
    <w:p>
      <w:pPr>
        <w:rPr>
          <w:rFonts w:hint="eastAsia" w:ascii="宋体" w:hAnsi="宋体"/>
        </w:rPr>
      </w:pPr>
    </w:p>
    <w:p>
      <w:pPr>
        <w:ind w:left="0" w:leftChars="0" w:right="0" w:rightChars="0" w:firstLine="0" w:firstLineChars="0"/>
        <w:jc w:val="center"/>
        <w:rPr>
          <w:rFonts w:hint="eastAsia" w:ascii="宋体" w:hAnsi="宋体"/>
        </w:rPr>
      </w:pPr>
      <w:r>
        <w:rPr>
          <w:rFonts w:hint="eastAsia" w:ascii="宋体" w:hAnsi="宋体" w:eastAsia="方正仿宋_GBK"/>
          <w:bCs/>
          <w:szCs w:val="32"/>
        </w:rPr>
        <w:t>荣昌府办发〔</w:t>
      </w:r>
      <w:r>
        <w:rPr>
          <w:rFonts w:hint="eastAsia"/>
          <w:bCs/>
          <w:szCs w:val="32"/>
          <w:lang w:eastAsia="zh-CN"/>
        </w:rPr>
        <w:t>2023</w:t>
      </w:r>
      <w:r>
        <w:rPr>
          <w:rFonts w:hint="eastAsia" w:ascii="宋体" w:hAnsi="宋体" w:eastAsia="方正仿宋_GBK"/>
          <w:bCs/>
          <w:szCs w:val="32"/>
        </w:rPr>
        <w:t>〕</w:t>
      </w:r>
      <w:r>
        <w:rPr>
          <w:rFonts w:hint="eastAsia"/>
          <w:bCs/>
          <w:szCs w:val="32"/>
          <w:lang w:val="en-US" w:eastAsia="zh-CN"/>
        </w:rPr>
        <w:t>39</w:t>
      </w:r>
      <w:r>
        <w:rPr>
          <w:rFonts w:hint="eastAsia" w:ascii="宋体" w:hAnsi="宋体" w:eastAsia="方正仿宋_GBK"/>
          <w:bCs/>
          <w:szCs w:val="32"/>
        </w:rPr>
        <w:t>号</w:t>
      </w:r>
    </w:p>
    <w:p>
      <w:pPr>
        <w:keepNext w:val="0"/>
        <w:keepLines w:val="0"/>
        <w:pageBreakBefore w:val="0"/>
        <w:kinsoku/>
        <w:overflowPunct/>
        <w:topLinePunct w:val="0"/>
        <w:autoSpaceDE/>
        <w:autoSpaceDN/>
        <w:bidi w:val="0"/>
        <w:adjustRightInd/>
        <w:spacing w:line="540" w:lineRule="exact"/>
        <w:textAlignment w:val="auto"/>
        <w:rPr>
          <w:rFonts w:hint="eastAsia" w:ascii="宋体" w:hAnsi="宋体"/>
        </w:rPr>
      </w:pPr>
      <w:r>
        <w:rPr>
          <w:rFonts w:hint="eastAsia" w:ascii="宋体" w:hAnsi="宋体" w:eastAsia="方正小标宋_GBK"/>
          <w:b/>
          <w:color w:val="FF0000"/>
          <w:w w:val="55"/>
          <w:sz w:val="108"/>
          <w:szCs w:val="108"/>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3044190</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6.55pt;margin-top:239.7pt;height:0pt;width:442.2pt;mso-position-horizontal-relative:page;mso-position-vertical-relative:margin;z-index:251659264;mso-width-relative:page;mso-height-relative:page;" filled="f" stroked="t" coordsize="21600,21600" o:gfxdata="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J0kP2QAAAAwBAAAPAAAAAAAAAAEAIAAAACIAAABkcnMvZG93bnJldi54bWxQSwECFAAUAAAACACH&#10;TuJAV0YmVeoBAADcAwAADgAAAAAAAAABACAAAAAoAQAAZHJzL2Uyb0RvYy54bWxQSwUGAAAAAAYA&#10;BgBZAQAAhAUAAAAA&#10;">
                <v:fill on="f" focussize="0,0"/>
                <v:stroke weight="1.7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spacing w:line="540" w:lineRule="exact"/>
        <w:textAlignment w:val="auto"/>
        <w:rPr>
          <w:rFonts w:hint="eastAsia" w:ascii="宋体" w:hAnsi="宋体" w:eastAsia="方正仿宋_GBK"/>
          <w:bCs/>
          <w:szCs w:val="32"/>
        </w:rPr>
      </w:pPr>
    </w:p>
    <w:p>
      <w:pPr>
        <w:pStyle w:val="2"/>
        <w:keepNext w:val="0"/>
        <w:keepLines w:val="0"/>
        <w:pageBreakBefore w:val="0"/>
        <w:kinsoku/>
        <w:overflowPunct/>
        <w:topLinePunct w:val="0"/>
        <w:autoSpaceDE/>
        <w:autoSpaceDN/>
        <w:bidi w:val="0"/>
        <w:adjustRightInd/>
        <w:spacing w:beforeLines="0" w:afterLines="0" w:line="540" w:lineRule="exact"/>
        <w:textAlignment w:val="auto"/>
        <w:rPr>
          <w:rFonts w:hint="eastAsia"/>
          <w:lang w:eastAsia="zh-CN"/>
        </w:rPr>
      </w:pPr>
      <w:r>
        <w:rPr>
          <w:rFonts w:hint="eastAsia"/>
          <w:lang w:eastAsia="zh-CN"/>
        </w:rPr>
        <w:t>重庆市荣昌区人民政府办公室</w:t>
      </w:r>
    </w:p>
    <w:p>
      <w:pPr>
        <w:pStyle w:val="2"/>
        <w:keepNext w:val="0"/>
        <w:keepLines w:val="0"/>
        <w:pageBreakBefore w:val="0"/>
        <w:kinsoku/>
        <w:overflowPunct/>
        <w:topLinePunct w:val="0"/>
        <w:autoSpaceDE/>
        <w:autoSpaceDN/>
        <w:bidi w:val="0"/>
        <w:adjustRightInd/>
        <w:spacing w:beforeLines="0" w:afterLines="0" w:line="540" w:lineRule="exact"/>
        <w:textAlignment w:val="auto"/>
        <w:rPr>
          <w:rFonts w:hint="eastAsia"/>
          <w:lang w:val="en-US" w:eastAsia="zh-CN"/>
        </w:rPr>
      </w:pPr>
      <w:r>
        <w:rPr>
          <w:rFonts w:hint="eastAsia"/>
          <w:lang w:eastAsia="zh-CN"/>
        </w:rPr>
        <w:t>关于印发</w:t>
      </w:r>
      <w:r>
        <w:rPr>
          <w:rFonts w:hint="eastAsia"/>
          <w:lang w:val="en-US" w:eastAsia="zh-CN"/>
        </w:rPr>
        <w:t>重庆市</w:t>
      </w:r>
      <w:r>
        <w:rPr>
          <w:rFonts w:hint="eastAsia"/>
        </w:rPr>
        <w:t>荣昌区</w:t>
      </w:r>
      <w:r>
        <w:rPr>
          <w:rFonts w:hint="eastAsia"/>
          <w:lang w:val="en-US" w:eastAsia="zh-CN"/>
        </w:rPr>
        <w:t>“四院”同创</w:t>
      </w:r>
    </w:p>
    <w:p>
      <w:pPr>
        <w:pStyle w:val="2"/>
        <w:keepNext w:val="0"/>
        <w:keepLines w:val="0"/>
        <w:pageBreakBefore w:val="0"/>
        <w:kinsoku/>
        <w:overflowPunct/>
        <w:topLinePunct w:val="0"/>
        <w:autoSpaceDE/>
        <w:autoSpaceDN/>
        <w:bidi w:val="0"/>
        <w:adjustRightInd/>
        <w:spacing w:beforeLines="0" w:afterLines="0" w:line="540" w:lineRule="exact"/>
        <w:textAlignment w:val="auto"/>
        <w:rPr>
          <w:rFonts w:hint="eastAsia"/>
        </w:rPr>
      </w:pPr>
      <w:r>
        <w:rPr>
          <w:rFonts w:hint="eastAsia"/>
          <w:lang w:val="en-US" w:eastAsia="zh-CN"/>
        </w:rPr>
        <w:t>“三甲”</w:t>
      </w:r>
      <w:r>
        <w:rPr>
          <w:rFonts w:hint="eastAsia"/>
        </w:rPr>
        <w:t>实施方案</w:t>
      </w:r>
      <w:r>
        <w:rPr>
          <w:rFonts w:hint="eastAsia"/>
          <w:lang w:eastAsia="zh-CN"/>
        </w:rPr>
        <w:t>的通知</w:t>
      </w:r>
    </w:p>
    <w:p>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0" w:firstLineChars="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各镇人民政府，各街道办事处，区政府各部门，有关单位：</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重庆市</w:t>
      </w:r>
      <w:r>
        <w:rPr>
          <w:rFonts w:hint="eastAsia" w:ascii="方正仿宋_GBK" w:hAnsi="方正仿宋_GBK" w:eastAsia="方正仿宋_GBK" w:cs="方正仿宋_GBK"/>
          <w:color w:val="auto"/>
          <w:sz w:val="32"/>
          <w:szCs w:val="32"/>
          <w:highlight w:val="none"/>
          <w:lang w:eastAsia="zh-CN"/>
        </w:rPr>
        <w:t>荣昌区</w:t>
      </w:r>
      <w:r>
        <w:rPr>
          <w:rFonts w:hint="eastAsia" w:ascii="方正仿宋_GBK" w:hAnsi="方正仿宋_GBK" w:eastAsia="方正仿宋_GBK" w:cs="方正仿宋_GBK"/>
          <w:color w:val="auto"/>
          <w:sz w:val="32"/>
          <w:szCs w:val="32"/>
          <w:highlight w:val="none"/>
          <w:lang w:val="en-US" w:eastAsia="zh-CN"/>
        </w:rPr>
        <w:t>“四院”同创“三甲”</w:t>
      </w:r>
      <w:r>
        <w:rPr>
          <w:rFonts w:hint="eastAsia" w:ascii="方正仿宋_GBK" w:hAnsi="方正仿宋_GBK" w:eastAsia="方正仿宋_GBK" w:cs="方正仿宋_GBK"/>
          <w:color w:val="auto"/>
          <w:sz w:val="32"/>
          <w:szCs w:val="32"/>
          <w:highlight w:val="none"/>
          <w:lang w:eastAsia="zh-CN"/>
        </w:rPr>
        <w:t>实施方案》经区第</w:t>
      </w:r>
      <w:r>
        <w:rPr>
          <w:rFonts w:hint="eastAsia" w:ascii="方正仿宋_GBK" w:hAnsi="方正仿宋_GBK" w:eastAsia="方正仿宋_GBK" w:cs="方正仿宋_GBK"/>
          <w:color w:val="auto"/>
          <w:sz w:val="32"/>
          <w:szCs w:val="32"/>
          <w:highlight w:val="none"/>
          <w:lang w:val="en-US" w:eastAsia="zh-CN"/>
        </w:rPr>
        <w:t>十八</w:t>
      </w:r>
      <w:r>
        <w:rPr>
          <w:rFonts w:hint="eastAsia" w:ascii="方正仿宋_GBK" w:hAnsi="方正仿宋_GBK" w:eastAsia="方正仿宋_GBK" w:cs="方正仿宋_GBK"/>
          <w:color w:val="auto"/>
          <w:sz w:val="32"/>
          <w:szCs w:val="32"/>
          <w:highlight w:val="none"/>
          <w:lang w:eastAsia="zh-CN"/>
        </w:rPr>
        <w:t>届人民政府第</w:t>
      </w:r>
      <w:r>
        <w:rPr>
          <w:rFonts w:hint="eastAsia" w:ascii="方正仿宋_GBK" w:hAnsi="方正仿宋_GBK" w:eastAsia="方正仿宋_GBK" w:cs="方正仿宋_GBK"/>
          <w:color w:val="auto"/>
          <w:sz w:val="32"/>
          <w:szCs w:val="32"/>
          <w:highlight w:val="none"/>
          <w:lang w:val="en-US" w:eastAsia="zh-CN"/>
        </w:rPr>
        <w:t>34</w:t>
      </w:r>
      <w:r>
        <w:rPr>
          <w:rFonts w:hint="eastAsia" w:ascii="方正仿宋_GBK" w:hAnsi="方正仿宋_GBK" w:eastAsia="方正仿宋_GBK" w:cs="方正仿宋_GBK"/>
          <w:color w:val="auto"/>
          <w:sz w:val="32"/>
          <w:szCs w:val="32"/>
          <w:highlight w:val="none"/>
          <w:lang w:eastAsia="zh-CN"/>
        </w:rPr>
        <w:t xml:space="preserve">次常务会议审议通过，现印发给你们，请认真贯彻执行。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keepNext w:val="0"/>
        <w:keepLines w:val="0"/>
        <w:pageBreakBefore w:val="0"/>
        <w:kinsoku/>
        <w:overflowPunct/>
        <w:topLinePunct w:val="0"/>
        <w:autoSpaceDE/>
        <w:autoSpaceDN/>
        <w:bidi w:val="0"/>
        <w:adjustRightInd/>
        <w:spacing w:line="540" w:lineRule="exact"/>
        <w:textAlignment w:val="auto"/>
        <w:rPr>
          <w:rFonts w:hint="eastAsia"/>
        </w:rPr>
      </w:pPr>
    </w:p>
    <w:p>
      <w:pPr>
        <w:keepNext w:val="0"/>
        <w:keepLines w:val="0"/>
        <w:pageBreakBefore w:val="0"/>
        <w:kinsoku/>
        <w:wordWrap w:val="0"/>
        <w:overflowPunct/>
        <w:topLinePunct w:val="0"/>
        <w:autoSpaceDE/>
        <w:autoSpaceDN/>
        <w:bidi w:val="0"/>
        <w:adjustRightInd/>
        <w:spacing w:line="540" w:lineRule="exact"/>
        <w:jc w:val="right"/>
        <w:textAlignment w:val="auto"/>
        <w:rPr>
          <w:rFonts w:hint="default" w:eastAsia="方正仿宋_GBK"/>
          <w:lang w:val="en-US" w:eastAsia="zh-CN"/>
        </w:rPr>
      </w:pPr>
      <w:r>
        <w:t>重庆市荣昌区人民政府办公室</w:t>
      </w:r>
      <w:r>
        <w:rPr>
          <w:rFonts w:hint="eastAsia"/>
          <w:lang w:val="en-US" w:eastAsia="zh-CN"/>
        </w:rPr>
        <w:t xml:space="preserve">  </w:t>
      </w:r>
    </w:p>
    <w:p>
      <w:pPr>
        <w:keepNext w:val="0"/>
        <w:keepLines w:val="0"/>
        <w:pageBreakBefore w:val="0"/>
        <w:kinsoku/>
        <w:wordWrap w:val="0"/>
        <w:overflowPunct/>
        <w:topLinePunct w:val="0"/>
        <w:autoSpaceDE/>
        <w:autoSpaceDN/>
        <w:bidi w:val="0"/>
        <w:adjustRightInd/>
        <w:spacing w:line="540" w:lineRule="exact"/>
        <w:jc w:val="right"/>
        <w:textAlignment w:val="auto"/>
        <w:rPr>
          <w:rFonts w:hint="eastAsia" w:eastAsia="方正仿宋_GBK"/>
          <w:lang w:eastAsia="zh-CN"/>
        </w:rPr>
      </w:pPr>
      <w:r>
        <w:rPr>
          <w:rFonts w:hint="eastAsia"/>
          <w:lang w:eastAsia="zh-CN"/>
        </w:rPr>
        <w:t>2023</w:t>
      </w:r>
      <w:r>
        <w:t>年</w:t>
      </w:r>
      <w:r>
        <w:rPr>
          <w:rFonts w:hint="eastAsia"/>
          <w:lang w:val="en-US" w:eastAsia="zh-CN"/>
        </w:rPr>
        <w:t>6</w:t>
      </w:r>
      <w:r>
        <w:t>月</w:t>
      </w:r>
      <w:r>
        <w:rPr>
          <w:rFonts w:hint="eastAsia"/>
          <w:lang w:val="en-US" w:eastAsia="zh-CN"/>
        </w:rPr>
        <w:t>2</w:t>
      </w:r>
      <w:r>
        <w:t>日</w:t>
      </w:r>
      <w:r>
        <w:rPr>
          <w:rFonts w:hint="eastAsia"/>
          <w:lang w:eastAsia="zh-CN"/>
        </w:rPr>
        <w:t>　　　　</w:t>
      </w:r>
    </w:p>
    <w:p>
      <w:pPr>
        <w:keepNext w:val="0"/>
        <w:keepLines w:val="0"/>
        <w:pageBreakBefore w:val="0"/>
        <w:widowControl/>
        <w:kinsoku/>
        <w:overflowPunct/>
        <w:topLinePunct w:val="0"/>
        <w:autoSpaceDE/>
        <w:autoSpaceDN/>
        <w:bidi w:val="0"/>
        <w:adjustRightInd/>
        <w:spacing w:line="540" w:lineRule="exact"/>
        <w:ind w:firstLine="640" w:firstLineChars="200"/>
        <w:jc w:val="left"/>
        <w:textAlignment w:val="auto"/>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lang w:val="en-US" w:eastAsia="zh-CN"/>
        </w:rPr>
      </w:pPr>
      <w:r>
        <w:rPr>
          <w:rFonts w:hint="eastAsia"/>
          <w:lang w:val="en-US" w:eastAsia="zh-CN"/>
        </w:rPr>
        <w:br w:type="page"/>
      </w:r>
    </w:p>
    <w:p>
      <w:pPr>
        <w:bidi w:val="0"/>
        <w:rPr>
          <w:rFonts w:hint="eastAsia"/>
          <w:lang w:val="en-US" w:eastAsia="zh-CN"/>
        </w:rPr>
      </w:pPr>
    </w:p>
    <w:p>
      <w:pPr>
        <w:pStyle w:val="2"/>
        <w:bidi w:val="0"/>
        <w:rPr>
          <w:rFonts w:hint="eastAsia"/>
          <w:lang w:val="en-US" w:eastAsia="zh-CN"/>
        </w:rPr>
      </w:pPr>
      <w:r>
        <w:rPr>
          <w:rFonts w:hint="eastAsia"/>
          <w:lang w:val="en-US" w:eastAsia="zh-CN"/>
        </w:rPr>
        <w:t>重庆市</w:t>
      </w:r>
      <w:r>
        <w:rPr>
          <w:rFonts w:hint="eastAsia"/>
        </w:rPr>
        <w:t>荣昌区</w:t>
      </w:r>
      <w:r>
        <w:rPr>
          <w:rFonts w:hint="eastAsia"/>
          <w:lang w:val="en-US" w:eastAsia="zh-CN"/>
        </w:rPr>
        <w:t>“四院”同创“三甲”</w:t>
      </w:r>
    </w:p>
    <w:p>
      <w:pPr>
        <w:pStyle w:val="2"/>
        <w:bidi w:val="0"/>
        <w:rPr>
          <w:rFonts w:hint="eastAsia"/>
          <w:lang w:val="en-US" w:eastAsia="zh-CN"/>
        </w:rPr>
      </w:pPr>
      <w:r>
        <w:rPr>
          <w:rFonts w:hint="eastAsia"/>
          <w:lang w:val="en-US" w:eastAsia="zh-CN"/>
        </w:rPr>
        <w:t>实施方案</w:t>
      </w:r>
    </w:p>
    <w:p>
      <w:pPr>
        <w:bidi w:val="0"/>
        <w:rPr>
          <w:rFonts w:hint="eastAsia"/>
          <w:lang w:val="en-US" w:eastAsia="zh-CN"/>
        </w:rPr>
      </w:pPr>
    </w:p>
    <w:p>
      <w:pPr>
        <w:bidi w:val="0"/>
        <w:rPr>
          <w:rFonts w:hint="eastAsia"/>
          <w:lang w:val="en-US" w:eastAsia="zh-CN"/>
        </w:rPr>
      </w:pPr>
      <w:r>
        <w:rPr>
          <w:rFonts w:hint="eastAsia"/>
          <w:lang w:val="en-US" w:eastAsia="zh-CN"/>
        </w:rPr>
        <w:t>为加快</w:t>
      </w:r>
      <w:r>
        <w:rPr>
          <w:rFonts w:hint="default"/>
          <w:lang w:val="en-US" w:eastAsia="zh-CN"/>
        </w:rPr>
        <w:t>推动</w:t>
      </w:r>
      <w:r>
        <w:rPr>
          <w:rFonts w:hint="eastAsia"/>
          <w:lang w:val="en-US" w:eastAsia="zh-CN"/>
        </w:rPr>
        <w:t>公立医院及疾控机构高质量发展，促进</w:t>
      </w:r>
      <w:r>
        <w:rPr>
          <w:rFonts w:hint="default"/>
          <w:lang w:val="en-US" w:eastAsia="zh-CN"/>
        </w:rPr>
        <w:t>公立医院</w:t>
      </w:r>
      <w:r>
        <w:rPr>
          <w:rFonts w:hint="eastAsia"/>
          <w:lang w:val="en-US" w:eastAsia="zh-CN"/>
        </w:rPr>
        <w:t>及疾控机构</w:t>
      </w:r>
      <w:r>
        <w:rPr>
          <w:rFonts w:hint="default"/>
          <w:lang w:val="en-US" w:eastAsia="zh-CN"/>
        </w:rPr>
        <w:t>发展方式从规模扩张转向提质增效，</w:t>
      </w:r>
      <w:r>
        <w:rPr>
          <w:rFonts w:hint="eastAsia"/>
          <w:lang w:val="en-US" w:eastAsia="zh-CN"/>
        </w:rPr>
        <w:t>根据《三级综合医院》《三级中医医院》《三级妇幼保健院评审标准》《重庆市疾病预防控制机构等级评审指标体系》等文件精神，确保协同推进“四院”同创“三甲”，特制定本实施方案。</w:t>
      </w:r>
    </w:p>
    <w:p>
      <w:pPr>
        <w:pStyle w:val="3"/>
        <w:bidi w:val="0"/>
        <w:rPr>
          <w:lang w:val="en-US" w:eastAsia="zh-CN"/>
        </w:rPr>
      </w:pPr>
      <w:r>
        <w:rPr>
          <w:rFonts w:hint="eastAsia"/>
          <w:lang w:val="en-US" w:eastAsia="zh-CN"/>
        </w:rPr>
        <w:t>一、</w:t>
      </w:r>
      <w:r>
        <w:rPr>
          <w:lang w:val="en-US" w:eastAsia="zh-CN"/>
        </w:rPr>
        <w:t>指导思想</w:t>
      </w:r>
    </w:p>
    <w:p>
      <w:pPr>
        <w:bidi w:val="0"/>
        <w:rPr>
          <w:rFonts w:hint="eastAsia"/>
          <w:lang w:val="en-US" w:eastAsia="zh-CN"/>
        </w:rPr>
      </w:pPr>
      <w:r>
        <w:rPr>
          <w:rFonts w:hint="eastAsia"/>
          <w:lang w:val="en-US" w:eastAsia="zh-CN"/>
        </w:rPr>
        <w:t>坚持以习近平新时代中国特色社会主义思想为指导，深入贯彻党的二十大精神，坚持新时代党的卫生健康工作方针，把人民健康放在优先发展战略地位，推进健康中国建设，建立现代医院管理制度，加强区级医院能力建设，推动公立医院高质量发展，助推成渝双城经济圈桥头堡城市建设，辐射渝西川南地区医疗服务，为人民群众提供全方位全周期健康服务奠定基础，持续提升人民群众就医感受和满意度。</w:t>
      </w:r>
    </w:p>
    <w:p>
      <w:pPr>
        <w:pStyle w:val="3"/>
        <w:bidi w:val="0"/>
        <w:rPr>
          <w:rFonts w:hint="eastAsia"/>
          <w:lang w:val="en-US" w:eastAsia="zh-CN"/>
        </w:rPr>
      </w:pPr>
      <w:r>
        <w:rPr>
          <w:rFonts w:hint="eastAsia"/>
          <w:lang w:val="en-US" w:eastAsia="zh-CN"/>
        </w:rPr>
        <w:t>二、创建目标</w:t>
      </w:r>
    </w:p>
    <w:p>
      <w:pPr>
        <w:bidi w:val="0"/>
        <w:rPr>
          <w:rFonts w:hint="eastAsia"/>
          <w:lang w:val="en-US" w:eastAsia="zh-CN"/>
        </w:rPr>
      </w:pPr>
      <w:r>
        <w:rPr>
          <w:rFonts w:hint="eastAsia"/>
          <w:lang w:val="en-US" w:eastAsia="zh-CN"/>
        </w:rPr>
        <w:t>按照政府主导、坚持公益、创新机制、医防并重的基本原则，</w:t>
      </w:r>
      <w:r>
        <w:rPr>
          <w:rFonts w:hint="default"/>
          <w:lang w:val="en-US" w:eastAsia="zh-CN"/>
        </w:rPr>
        <w:t>以建立健全现代医院管理制度为目标，强化体系创新、技术创新、模式创新、管理创新，</w:t>
      </w:r>
      <w:bookmarkStart w:id="0" w:name="_GoBack"/>
      <w:bookmarkEnd w:id="0"/>
      <w:r>
        <w:rPr>
          <w:rFonts w:hint="eastAsia"/>
          <w:lang w:val="en-US" w:eastAsia="zh-CN"/>
        </w:rPr>
        <w:t>以党的政治建设为统领，强化4家医疗卫生单位服务体系和能力建设。2023年，区人民医院通过三级甲等综合医院评审，区中医院晋级三级中医医院；2024年，区妇幼保健院晋级三级妇幼保健院；2025年，区中医院通过三级甲等中医医院评审，区疾控中心通过三级甲等疾控机构评审。</w:t>
      </w:r>
    </w:p>
    <w:p>
      <w:pPr>
        <w:pStyle w:val="3"/>
        <w:bidi w:val="0"/>
        <w:rPr>
          <w:rFonts w:hint="eastAsia"/>
          <w:lang w:val="en-US" w:eastAsia="zh-CN"/>
        </w:rPr>
      </w:pPr>
      <w:r>
        <w:rPr>
          <w:rFonts w:hint="eastAsia"/>
          <w:lang w:val="en-US" w:eastAsia="zh-CN"/>
        </w:rPr>
        <w:t>三、主要任务</w:t>
      </w:r>
    </w:p>
    <w:p>
      <w:pPr>
        <w:pStyle w:val="4"/>
        <w:bidi w:val="0"/>
        <w:rPr>
          <w:rFonts w:hint="eastAsia"/>
          <w:lang w:val="en-US" w:eastAsia="zh-CN"/>
        </w:rPr>
      </w:pPr>
      <w:r>
        <w:rPr>
          <w:rFonts w:hint="eastAsia"/>
          <w:lang w:val="en-US" w:eastAsia="zh-CN"/>
        </w:rPr>
        <w:t>（一）高质量基础设施建设工程。</w:t>
      </w:r>
    </w:p>
    <w:p>
      <w:pPr>
        <w:bidi w:val="0"/>
        <w:rPr>
          <w:rFonts w:hint="eastAsia"/>
          <w:lang w:val="en-US" w:eastAsia="zh-CN"/>
        </w:rPr>
      </w:pPr>
      <w:r>
        <w:rPr>
          <w:rFonts w:hint="eastAsia"/>
          <w:lang w:val="en-US" w:eastAsia="zh-CN"/>
        </w:rPr>
        <w:t>1</w:t>
      </w:r>
      <w:r>
        <w:rPr>
          <w:rFonts w:hint="eastAsia" w:ascii="方正仿宋_GBK" w:hAnsi="方正仿宋_GBK" w:eastAsia="方正仿宋_GBK" w:cs="方正仿宋_GBK"/>
          <w:lang w:val="en-US" w:eastAsia="zh-CN"/>
        </w:rPr>
        <w:t>﹒</w:t>
      </w:r>
      <w:r>
        <w:rPr>
          <w:rFonts w:hint="eastAsia"/>
          <w:lang w:val="en-US" w:eastAsia="zh-CN"/>
        </w:rPr>
        <w:t>推进基础设施建设。加快</w:t>
      </w:r>
      <w:r>
        <w:rPr>
          <w:rFonts w:hint="eastAsia"/>
          <w:lang w:eastAsia="zh-CN"/>
        </w:rPr>
        <w:t>推进</w:t>
      </w:r>
      <w:r>
        <w:rPr>
          <w:rFonts w:hint="eastAsia"/>
        </w:rPr>
        <w:t>区人民医院整体迁建工程</w:t>
      </w:r>
      <w:r>
        <w:rPr>
          <w:rFonts w:hint="eastAsia"/>
          <w:lang w:val="en-US" w:eastAsia="zh-CN"/>
        </w:rPr>
        <w:t>，</w:t>
      </w:r>
      <w:r>
        <w:rPr>
          <w:rFonts w:hint="eastAsia"/>
          <w:lang w:eastAsia="zh-CN"/>
        </w:rPr>
        <w:t>力争</w:t>
      </w:r>
      <w:r>
        <w:rPr>
          <w:rFonts w:hint="eastAsia"/>
          <w:lang w:val="en-US" w:eastAsia="zh-CN"/>
        </w:rPr>
        <w:t>2025年底投入使用</w:t>
      </w:r>
      <w:r>
        <w:rPr>
          <w:rFonts w:hint="eastAsia"/>
          <w:lang w:eastAsia="zh-CN"/>
        </w:rPr>
        <w:t>。加快区中医院新院区装修和感染楼建设，</w:t>
      </w:r>
      <w:r>
        <w:rPr>
          <w:rFonts w:hint="eastAsia"/>
          <w:lang w:val="en-US" w:eastAsia="zh-CN"/>
        </w:rPr>
        <w:t>2023年6月新院区</w:t>
      </w:r>
      <w:r>
        <w:rPr>
          <w:rFonts w:hint="eastAsia"/>
          <w:lang w:eastAsia="zh-CN"/>
        </w:rPr>
        <w:t>投入使用，</w:t>
      </w:r>
      <w:r>
        <w:rPr>
          <w:rFonts w:hint="eastAsia"/>
          <w:lang w:val="en-US" w:eastAsia="zh-CN"/>
        </w:rPr>
        <w:t>2024年</w:t>
      </w:r>
      <w:r>
        <w:rPr>
          <w:rFonts w:hint="eastAsia"/>
          <w:lang w:eastAsia="zh-CN"/>
        </w:rPr>
        <w:t>感染楼投入使用</w:t>
      </w:r>
      <w:r>
        <w:rPr>
          <w:rFonts w:hint="eastAsia"/>
          <w:lang w:val="en-US" w:eastAsia="zh-CN"/>
        </w:rPr>
        <w:t>。</w:t>
      </w:r>
      <w:r>
        <w:rPr>
          <w:rFonts w:hint="eastAsia"/>
          <w:lang w:eastAsia="zh-CN"/>
        </w:rPr>
        <w:t>区妇幼保健根据业务发展，适时启动三期建设。加快区疾控中心建设，</w:t>
      </w:r>
      <w:r>
        <w:rPr>
          <w:rFonts w:hint="eastAsia"/>
          <w:lang w:val="en-US" w:eastAsia="zh-CN"/>
        </w:rPr>
        <w:t>2023年投入使用。（牵头单位：区卫生健康委；责任单位：区发展改革委、区财政局、区生态环境局、区住房城乡建委、区规划自然资源局、万灵山公司、兴荣公司）</w:t>
      </w:r>
    </w:p>
    <w:p>
      <w:pPr>
        <w:bidi w:val="0"/>
        <w:rPr>
          <w:rFonts w:hint="eastAsia"/>
          <w:lang w:val="en-US" w:eastAsia="zh-CN"/>
        </w:rPr>
      </w:pPr>
      <w:r>
        <w:rPr>
          <w:rFonts w:hint="eastAsia"/>
          <w:lang w:val="en-US" w:eastAsia="zh-CN"/>
        </w:rPr>
        <w:t>2</w:t>
      </w:r>
      <w:r>
        <w:rPr>
          <w:rFonts w:hint="eastAsia" w:ascii="方正仿宋_GBK" w:hAnsi="方正仿宋_GBK" w:eastAsia="方正仿宋_GBK" w:cs="方正仿宋_GBK"/>
          <w:lang w:val="en-US" w:eastAsia="zh-CN"/>
        </w:rPr>
        <w:t>﹒</w:t>
      </w:r>
      <w:r>
        <w:rPr>
          <w:rFonts w:hint="eastAsia"/>
          <w:lang w:val="en-US" w:eastAsia="zh-CN"/>
        </w:rPr>
        <w:t>合理配置大中型设备。区人民医院配置直线加速器、256排CT、3.0MRI、DSA等大中型设备；区中医院按照三级中医院设备配置标准配置DSA、TPS粒子植入计划系统等相应设备；区妇幼保健院配置四维彩超、核磁共振等设备；区疾控按照创建标准配齐检验等必备设备。（牵头单位：区卫生健康委；责任单位：区发展改革委、区财政局、区人民医院、区中医院、区妇幼保健院、区疾控中心）</w:t>
      </w:r>
    </w:p>
    <w:p>
      <w:pPr>
        <w:bidi w:val="0"/>
        <w:rPr>
          <w:rFonts w:hint="eastAsia"/>
          <w:lang w:val="en-US" w:eastAsia="zh-CN"/>
        </w:rPr>
      </w:pPr>
      <w:r>
        <w:rPr>
          <w:rFonts w:hint="eastAsia"/>
          <w:lang w:val="en-US" w:eastAsia="zh-CN"/>
        </w:rPr>
        <w:t>3</w:t>
      </w:r>
      <w:r>
        <w:rPr>
          <w:rFonts w:hint="eastAsia" w:ascii="方正仿宋_GBK" w:hAnsi="方正仿宋_GBK" w:eastAsia="方正仿宋_GBK" w:cs="方正仿宋_GBK"/>
          <w:lang w:val="en-US" w:eastAsia="zh-CN"/>
        </w:rPr>
        <w:t>﹒</w:t>
      </w:r>
      <w:r>
        <w:rPr>
          <w:rFonts w:hint="eastAsia"/>
          <w:lang w:val="en-US" w:eastAsia="zh-CN"/>
        </w:rPr>
        <w:t>推进美丽医院建设。持续推进区级医院及区疾控中心环境改造，开展院内卫生治理，实施植树绿化工程，开展医院“厕所革命”，提高医院及疾控中心环境品质。完善便民服务设施，实施无障碍设施建设，推进“一站式”便民和信息化服务。从聚焦“环境美”转向聚焦“服务美、人文美”，加强医院、疾控机构医德医风和文化建设，重视人文环境营造。（牵头单位：区卫生健康委；责任单位：区人民医院、区中医院、区妇幼保健院、区疾控中心）</w:t>
      </w:r>
    </w:p>
    <w:p>
      <w:pPr>
        <w:bidi w:val="0"/>
        <w:rPr>
          <w:rFonts w:hint="eastAsia"/>
          <w:lang w:val="en-US" w:eastAsia="zh-CN"/>
        </w:rPr>
      </w:pPr>
      <w:r>
        <w:rPr>
          <w:rFonts w:hint="eastAsia"/>
          <w:lang w:val="en-US" w:eastAsia="zh-CN"/>
        </w:rPr>
        <w:t>4</w:t>
      </w:r>
      <w:r>
        <w:rPr>
          <w:rFonts w:hint="eastAsia" w:ascii="方正仿宋_GBK" w:hAnsi="方正仿宋_GBK" w:eastAsia="方正仿宋_GBK" w:cs="方正仿宋_GBK"/>
          <w:lang w:val="en-US" w:eastAsia="zh-CN"/>
        </w:rPr>
        <w:t>﹒</w:t>
      </w:r>
      <w:r>
        <w:rPr>
          <w:rFonts w:hint="eastAsia"/>
          <w:lang w:val="en-US" w:eastAsia="zh-CN"/>
        </w:rPr>
        <w:t>推进智慧医院建设。推进数字化疾控中心建设。</w:t>
      </w:r>
      <w:r>
        <w:rPr>
          <w:rFonts w:hint="default"/>
          <w:lang w:val="en-US" w:eastAsia="zh-CN"/>
        </w:rPr>
        <w:t>深化5G+便民惠民服务</w:t>
      </w:r>
      <w:r>
        <w:rPr>
          <w:rFonts w:hint="eastAsia"/>
          <w:lang w:val="en-US" w:eastAsia="zh-CN"/>
        </w:rPr>
        <w:t>。</w:t>
      </w:r>
      <w:r>
        <w:rPr>
          <w:rFonts w:hint="default"/>
          <w:lang w:val="en-US" w:eastAsia="zh-CN"/>
        </w:rPr>
        <w:t>推进</w:t>
      </w:r>
      <w:r>
        <w:rPr>
          <w:rFonts w:hint="eastAsia"/>
          <w:lang w:val="en-US" w:eastAsia="zh-CN"/>
        </w:rPr>
        <w:t>3家区级医院</w:t>
      </w:r>
      <w:r>
        <w:rPr>
          <w:rFonts w:hint="default"/>
          <w:lang w:val="en-US" w:eastAsia="zh-CN"/>
        </w:rPr>
        <w:t>电子病历、智慧服务、智慧管理“三位一体”智慧医院建设和医院信息标准化建设。</w:t>
      </w:r>
      <w:r>
        <w:rPr>
          <w:rFonts w:hint="eastAsia"/>
          <w:lang w:val="en-US" w:eastAsia="zh-CN"/>
        </w:rPr>
        <w:t>扩大、优化自助服务功能，推进分时段、预约挂号、诊间支付、床旁结算等便民功能。持续</w:t>
      </w:r>
      <w:r>
        <w:rPr>
          <w:rFonts w:hint="default"/>
          <w:lang w:val="en-US" w:eastAsia="zh-CN"/>
        </w:rPr>
        <w:t>发展远程医疗和互联网诊疗</w:t>
      </w:r>
      <w:r>
        <w:rPr>
          <w:rFonts w:hint="eastAsia"/>
          <w:lang w:val="en-US" w:eastAsia="zh-CN"/>
        </w:rPr>
        <w:t>，3家医院分别打通与合作医院和基层医疗机构远程诊疗服务，形成市、区、镇（街）三级远程诊疗互联互通。</w:t>
      </w:r>
      <w:r>
        <w:rPr>
          <w:rFonts w:hint="default"/>
          <w:lang w:val="en-US" w:eastAsia="zh-CN"/>
        </w:rPr>
        <w:t>依托区人民医院</w:t>
      </w:r>
      <w:r>
        <w:rPr>
          <w:rFonts w:hint="eastAsia"/>
          <w:lang w:val="en-US" w:eastAsia="zh-CN"/>
        </w:rPr>
        <w:t>建设</w:t>
      </w:r>
      <w:r>
        <w:rPr>
          <w:rFonts w:hint="default"/>
          <w:lang w:val="en-US" w:eastAsia="zh-CN"/>
        </w:rPr>
        <w:t>全区统一</w:t>
      </w:r>
      <w:r>
        <w:rPr>
          <w:rFonts w:hint="eastAsia"/>
          <w:lang w:val="en-US" w:eastAsia="zh-CN"/>
        </w:rPr>
        <w:t>的</w:t>
      </w:r>
      <w:r>
        <w:rPr>
          <w:rFonts w:hint="default"/>
          <w:lang w:val="en-US" w:eastAsia="zh-CN"/>
        </w:rPr>
        <w:t>远程</w:t>
      </w:r>
      <w:r>
        <w:rPr>
          <w:rFonts w:hint="eastAsia"/>
          <w:lang w:val="en-US" w:eastAsia="zh-CN"/>
        </w:rPr>
        <w:t>影像、心电、检验、病理、消毒“五大中心”</w:t>
      </w:r>
      <w:r>
        <w:rPr>
          <w:rFonts w:hint="default"/>
          <w:lang w:val="en-US" w:eastAsia="zh-CN"/>
        </w:rPr>
        <w:t>。</w:t>
      </w:r>
      <w:r>
        <w:rPr>
          <w:rFonts w:hint="eastAsia"/>
          <w:lang w:val="en-US" w:eastAsia="zh-CN"/>
        </w:rPr>
        <w:t>建成互联网医院3家。2023年，区人民医院达到智慧医院4级，区中医院电子病历应用水平达到4级，3家医院预约诊疗率达到50%；2025年，区中医院、区妇幼保健院达到智慧医院3级或以上，区妇幼保健院电子病历达到4级水平；建成数字化疾控中心。（牵头单位：区卫生健康委；责任单位：区财政局、区大数据发展局、区医保局）</w:t>
      </w:r>
    </w:p>
    <w:p>
      <w:pPr>
        <w:pStyle w:val="4"/>
        <w:bidi w:val="0"/>
        <w:rPr>
          <w:rFonts w:hint="eastAsia"/>
          <w:lang w:val="en-US" w:eastAsia="zh-CN"/>
        </w:rPr>
      </w:pPr>
      <w:r>
        <w:rPr>
          <w:rFonts w:hint="eastAsia"/>
          <w:lang w:val="en-US" w:eastAsia="zh-CN"/>
        </w:rPr>
        <w:t>（二）高质量人才建设工程。</w:t>
      </w:r>
    </w:p>
    <w:p>
      <w:pPr>
        <w:bidi w:val="0"/>
        <w:rPr>
          <w:rFonts w:hint="eastAsia"/>
          <w:lang w:val="en-US" w:eastAsia="zh-CN"/>
        </w:rPr>
      </w:pPr>
      <w:r>
        <w:rPr>
          <w:rFonts w:hint="eastAsia"/>
          <w:lang w:val="en-US" w:eastAsia="zh-CN"/>
        </w:rPr>
        <w:t>5</w:t>
      </w:r>
      <w:r>
        <w:rPr>
          <w:rFonts w:hint="eastAsia" w:ascii="方正仿宋_GBK" w:hAnsi="方正仿宋_GBK" w:eastAsia="方正仿宋_GBK" w:cs="方正仿宋_GBK"/>
          <w:lang w:val="en-US" w:eastAsia="zh-CN"/>
        </w:rPr>
        <w:t>﹒</w:t>
      </w:r>
      <w:r>
        <w:rPr>
          <w:rFonts w:hint="eastAsia"/>
          <w:lang w:val="en-US" w:eastAsia="zh-CN"/>
        </w:rPr>
        <w:t>加大高层次人才引进力度。深入贯彻落实《荣昌区高层次卫生人才引进办法（试行）》，采用全职和柔性引才方式，积极引进肿瘤、感染、重症、精神、血液等紧缺性人才，到2025年，引进医学硕士研究生（副高级职称）及以上高层次人才120人以上（其中医学博士不少于5人），柔性引进医学博士研究生20人以上；引进医学专科建设方面人才5名以上。积极争取人员总量备案试点改革扩面。（牵头单位：区卫生健康委；责任单位：区委组织部、区委编办、区人力社保局）</w:t>
      </w:r>
    </w:p>
    <w:p>
      <w:pPr>
        <w:bidi w:val="0"/>
        <w:rPr>
          <w:rFonts w:hint="eastAsia"/>
          <w:lang w:val="en-US" w:eastAsia="zh-CN"/>
        </w:rPr>
      </w:pPr>
      <w:r>
        <w:rPr>
          <w:rFonts w:hint="eastAsia"/>
          <w:lang w:val="en-US" w:eastAsia="zh-CN"/>
        </w:rPr>
        <w:t>6</w:t>
      </w:r>
      <w:r>
        <w:rPr>
          <w:rFonts w:hint="eastAsia" w:ascii="方正仿宋_GBK" w:hAnsi="方正仿宋_GBK" w:eastAsia="方正仿宋_GBK" w:cs="方正仿宋_GBK"/>
          <w:lang w:val="en-US" w:eastAsia="zh-CN"/>
        </w:rPr>
        <w:t>﹒</w:t>
      </w:r>
      <w:r>
        <w:rPr>
          <w:rFonts w:hint="eastAsia"/>
          <w:lang w:val="en-US" w:eastAsia="zh-CN"/>
        </w:rPr>
        <w:t>加强学科技术带头人和科研人才培养力度。继续采取“请进来”“送出去”等灵活多样的培训方式，加大人才培养培训和资金保障力度。新增重庆市区县医学头雁人才15人、荣昌区“棠城英才特支专项·医疗卫生领域人才”10人。（牵头单位：区卫生健康委；责任单位：区委组织部、区财政局、区人力社保局）</w:t>
      </w:r>
    </w:p>
    <w:p>
      <w:pPr>
        <w:pStyle w:val="4"/>
        <w:bidi w:val="0"/>
        <w:rPr>
          <w:rFonts w:hint="eastAsia"/>
          <w:lang w:val="en-US" w:eastAsia="zh-CN"/>
        </w:rPr>
      </w:pPr>
      <w:r>
        <w:rPr>
          <w:rFonts w:hint="eastAsia"/>
          <w:lang w:val="en-US" w:eastAsia="zh-CN"/>
        </w:rPr>
        <w:t>（三）高质量能力提升工程。</w:t>
      </w:r>
    </w:p>
    <w:p>
      <w:pPr>
        <w:bidi w:val="0"/>
        <w:rPr>
          <w:rFonts w:hint="eastAsia"/>
          <w:lang w:val="en-US" w:eastAsia="zh-CN"/>
        </w:rPr>
      </w:pPr>
      <w:r>
        <w:rPr>
          <w:rFonts w:hint="eastAsia"/>
          <w:lang w:val="en-US" w:eastAsia="zh-CN"/>
        </w:rPr>
        <w:t>7</w:t>
      </w:r>
      <w:r>
        <w:rPr>
          <w:rFonts w:hint="eastAsia" w:ascii="方正仿宋_GBK" w:hAnsi="方正仿宋_GBK" w:eastAsia="方正仿宋_GBK" w:cs="方正仿宋_GBK"/>
          <w:lang w:val="en-US" w:eastAsia="zh-CN"/>
        </w:rPr>
        <w:t>﹒</w:t>
      </w:r>
      <w:r>
        <w:rPr>
          <w:rFonts w:hint="eastAsia"/>
          <w:lang w:val="en-US" w:eastAsia="zh-CN"/>
        </w:rPr>
        <w:t>加强临床学科建设。</w:t>
      </w:r>
      <w:r>
        <w:rPr>
          <w:rFonts w:hint="default"/>
          <w:lang w:val="en-US" w:eastAsia="zh-CN"/>
        </w:rPr>
        <w:t>重点发展</w:t>
      </w:r>
      <w:r>
        <w:rPr>
          <w:rFonts w:hint="eastAsia"/>
          <w:lang w:val="en-US" w:eastAsia="zh-CN"/>
        </w:rPr>
        <w:t>心血管内科、骨科、妇产科、胸外科、</w:t>
      </w:r>
      <w:r>
        <w:rPr>
          <w:rFonts w:hint="default"/>
          <w:lang w:val="en-US" w:eastAsia="zh-CN"/>
        </w:rPr>
        <w:t>重症、</w:t>
      </w:r>
      <w:r>
        <w:rPr>
          <w:rFonts w:hint="eastAsia"/>
          <w:lang w:val="en-US" w:eastAsia="zh-CN"/>
        </w:rPr>
        <w:t>神内科、消化、</w:t>
      </w:r>
      <w:r>
        <w:rPr>
          <w:rFonts w:hint="default"/>
          <w:lang w:val="en-US" w:eastAsia="zh-CN"/>
        </w:rPr>
        <w:t>肿瘤、感染、儿科、麻</w:t>
      </w:r>
      <w:r>
        <w:rPr>
          <w:rFonts w:hint="eastAsia"/>
          <w:lang w:val="en-US" w:eastAsia="zh-CN"/>
        </w:rPr>
        <w:t>醉等临床</w:t>
      </w:r>
      <w:r>
        <w:rPr>
          <w:rFonts w:hint="default"/>
          <w:lang w:val="en-US" w:eastAsia="zh-CN"/>
        </w:rPr>
        <w:t>专科，以专科发展带动诊疗能力和水平提升。</w:t>
      </w:r>
      <w:r>
        <w:rPr>
          <w:rFonts w:hint="eastAsia"/>
          <w:lang w:val="en-US" w:eastAsia="zh-CN"/>
        </w:rPr>
        <w:t>3家医院完善学科布局，区人民医院重点发展综合性学科，打造以骨科为引领的创伤救治学科群、以心血管内科为引领的微创介入学科群、以肿瘤科为引领的肿瘤防治学科群，以点带面推动学科发展；区中医院重点发展治未病、康复等特色科室，做优做强中医骨伤、肛肠、针灸、儿科、妇产科、重症医学科、脾胃病、肿瘤科、皮肤科、美容、泌尿外科、眼科等中医优势科室。加大院内制剂开发使用，推进研发成果转化。创新实施中医治未病健康服务，将中医药优势与健康管理融合，探索中医健康保障模式。区妇幼保健院重点发展妇幼保健院相关科室。2023年，区人民医院新增二级学科3个；区中医院新增一级学科3个，新增二级学科5个，70%以上的住院科室设立中医综合治疗室；区妇幼保健院新增专科门诊1个。2024年，区妇幼保健院新增专科门诊2个。2025年，区中医院、区妇幼保健院科室设置达到评审标准。力争申报国家级特色科室1个，创建市级临床重点专科1—3个，创建市级区域重点学科2个，市级特色专科3个。对成功创建的市级、国家级临床（特色、区域）重点专科，分别给予50万元、100万元一次性补助。（牵头单位：区卫生健康委；责任单位：区财政局、区人民医院、区中医院、区妇幼保健院、区疾控中心）</w:t>
      </w:r>
    </w:p>
    <w:p>
      <w:pPr>
        <w:bidi w:val="0"/>
        <w:rPr>
          <w:rFonts w:hint="eastAsia"/>
          <w:lang w:val="en-US" w:eastAsia="zh-CN"/>
        </w:rPr>
      </w:pPr>
      <w:r>
        <w:rPr>
          <w:rFonts w:hint="eastAsia"/>
          <w:lang w:val="en-US" w:eastAsia="zh-CN"/>
        </w:rPr>
        <w:t>8</w:t>
      </w:r>
      <w:r>
        <w:rPr>
          <w:rFonts w:hint="eastAsia" w:ascii="方正仿宋_GBK" w:hAnsi="方正仿宋_GBK" w:eastAsia="方正仿宋_GBK" w:cs="方正仿宋_GBK"/>
          <w:lang w:val="en-US" w:eastAsia="zh-CN"/>
        </w:rPr>
        <w:t>﹒</w:t>
      </w:r>
      <w:r>
        <w:rPr>
          <w:rFonts w:hint="eastAsia"/>
          <w:lang w:val="en-US" w:eastAsia="zh-CN"/>
        </w:rPr>
        <w:t>提升区域医疗服务能力。</w:t>
      </w:r>
      <w:r>
        <w:rPr>
          <w:rFonts w:hint="default"/>
          <w:lang w:val="en-US" w:eastAsia="zh-CN"/>
        </w:rPr>
        <w:t>大力推行日间手术，提高日间手术占择期手术的比例</w:t>
      </w:r>
      <w:r>
        <w:rPr>
          <w:rFonts w:hint="eastAsia"/>
          <w:lang w:val="en-US" w:eastAsia="zh-CN"/>
        </w:rPr>
        <w:t>。继续推进“6+N</w:t>
      </w:r>
      <w:r>
        <w:rPr>
          <w:rFonts w:hint="default"/>
          <w:lang w:val="en-US" w:eastAsia="zh-CN"/>
        </w:rPr>
        <w:t>”</w:t>
      </w:r>
      <w:r>
        <w:rPr>
          <w:rFonts w:hint="eastAsia"/>
          <w:lang w:val="en-US" w:eastAsia="zh-CN"/>
        </w:rPr>
        <w:t>中心建设模式，逐步推进咯血中心、治未病中心、康复中心、区域影像、检验、心电、病理、消毒供应、急诊、急救、肾病、体检等区域中心建设，全面提升区域医疗服务能力。提升中医药服务能力，落实中医药发展专项资金，争创全国基层中医药工作示范市（区）和名医传承工作室，开展中药院内制剂研发，深化师带徒工作，推广中医药特色技术，加强中医急诊急救能力建设，提升中医急诊急救能力。2023年，区人民医院、区妇幼保健院通过市级危重孕产妇救治中心和危重新生儿救治中心复评，区人民医院通过国家标准版胸痛中心和卒中中心复评。启动胸痛单元创建工作，为胸痛单元创建单位配备必备基础设备。2025年，力争将3家医院分别打造成为渝西川南地区医疗特色中心、中医药治未病及康复中心、妇女儿童医疗保健中心；力争区人民医院成为重庆医科大学或重庆大学的附属医院，区中医院成为重庆市中医药学院的附属医院；力争1家医院纳入市级区域医学中心创建项目。加强流行病学调查、应急处置等疾病综合防控能力建设。（牵头单位：区卫生健康委；责任单位：区财政局、区人力社保局、区医保局、区市场监管局）</w:t>
      </w:r>
    </w:p>
    <w:p>
      <w:pPr>
        <w:bidi w:val="0"/>
        <w:rPr>
          <w:rFonts w:hint="eastAsia"/>
          <w:lang w:val="en-US" w:eastAsia="zh-CN"/>
        </w:rPr>
      </w:pPr>
      <w:r>
        <w:rPr>
          <w:rFonts w:hint="eastAsia"/>
          <w:lang w:val="en-US" w:eastAsia="zh-CN"/>
        </w:rPr>
        <w:t>9</w:t>
      </w:r>
      <w:r>
        <w:rPr>
          <w:rFonts w:hint="eastAsia" w:ascii="方正仿宋_GBK" w:hAnsi="方正仿宋_GBK" w:eastAsia="方正仿宋_GBK" w:cs="方正仿宋_GBK"/>
          <w:lang w:val="en-US" w:eastAsia="zh-CN"/>
        </w:rPr>
        <w:t>﹒</w:t>
      </w:r>
      <w:r>
        <w:rPr>
          <w:rFonts w:hint="eastAsia"/>
          <w:lang w:val="en-US" w:eastAsia="zh-CN"/>
        </w:rPr>
        <w:t>提升疾病预防控制能力。加快区疾控中心检测等设备更新配置，提升疫情发现和处置水平；按照P3实验室标准建设市级生物安全实验室，提升实验室检验检测能力；与重庆医高专合作，打造渝西川南疾病预防控制人才培训基地。（牵头单位：区卫生健康委；责任单位：区财政局、区疾控中心）</w:t>
      </w:r>
    </w:p>
    <w:p>
      <w:pPr>
        <w:pStyle w:val="4"/>
        <w:bidi w:val="0"/>
        <w:rPr>
          <w:rFonts w:hint="eastAsia"/>
          <w:lang w:val="en-US" w:eastAsia="zh-CN"/>
        </w:rPr>
      </w:pPr>
      <w:r>
        <w:rPr>
          <w:rFonts w:hint="eastAsia"/>
          <w:lang w:val="en-US" w:eastAsia="zh-CN"/>
        </w:rPr>
        <w:t>（四）高质量体系建设工程。</w:t>
      </w:r>
    </w:p>
    <w:p>
      <w:pPr>
        <w:bidi w:val="0"/>
        <w:rPr>
          <w:rFonts w:hint="eastAsia"/>
          <w:lang w:val="en-US" w:eastAsia="zh-CN"/>
        </w:rPr>
      </w:pPr>
      <w:r>
        <w:rPr>
          <w:rFonts w:hint="eastAsia"/>
          <w:lang w:val="en-US" w:eastAsia="zh-CN"/>
        </w:rPr>
        <w:t>10</w:t>
      </w:r>
      <w:r>
        <w:rPr>
          <w:rFonts w:hint="eastAsia" w:ascii="方正仿宋_GBK" w:hAnsi="方正仿宋_GBK" w:eastAsia="方正仿宋_GBK" w:cs="方正仿宋_GBK"/>
          <w:lang w:val="en-US" w:eastAsia="zh-CN"/>
        </w:rPr>
        <w:t>﹒</w:t>
      </w:r>
      <w:r>
        <w:rPr>
          <w:rFonts w:hint="eastAsia"/>
          <w:lang w:val="en-US" w:eastAsia="zh-CN"/>
        </w:rPr>
        <w:t>上下联动助推医联体建设。深化3家区级医院与重庆医科大学附属第一医院、重庆大学附属肿瘤医院、重庆医科大学附属口腔医院、中山大学孙逸仙纪念医院、西南医科大学附属医院、西南医科大学附属中医院、四川大学华西第二医院及成都中医药大学合作，争取常年选派管理人员、业务技术骨干对口帮扶，指导3家医院等级创建工作。拓展区人民医院与重庆医科大学附属第二医院和成都中医药大学合作，区中医院与重庆市中医院合作。2023年4月，区人民医院请合作帮扶单位完成创建三级甲等综合医院模拟评审；3-4月，区中医院请合作单位开展晋级三级中医医院模拟评审。学习借鉴成熟的管理方法，加大医院内部运行机制改革，逐步构建健全的现代医院管理体制和运行机制，切实提升医院管理和医疗技术水平。发挥区级医院龙头作用，推动医共体内人员上下流动，推进医疗质量同质化管理，推进区域检验检查互认，推进医防融合，实施基层医疗机构特色科室建设，提升基层服务能力。（牵头单位：区卫生健康委；责任单位：区委编办、区财政局、区人力社保局）</w:t>
      </w:r>
    </w:p>
    <w:p>
      <w:pPr>
        <w:bidi w:val="0"/>
        <w:rPr>
          <w:rFonts w:hint="eastAsia"/>
          <w:lang w:val="en-US" w:eastAsia="zh-CN"/>
        </w:rPr>
      </w:pPr>
      <w:r>
        <w:rPr>
          <w:rFonts w:hint="eastAsia"/>
          <w:lang w:val="en-US" w:eastAsia="zh-CN"/>
        </w:rPr>
        <w:t>11</w:t>
      </w:r>
      <w:r>
        <w:rPr>
          <w:rFonts w:hint="eastAsia" w:ascii="方正仿宋_GBK" w:hAnsi="方正仿宋_GBK" w:eastAsia="方正仿宋_GBK" w:cs="方正仿宋_GBK"/>
          <w:lang w:val="en-US" w:eastAsia="zh-CN"/>
        </w:rPr>
        <w:t>﹒</w:t>
      </w:r>
      <w:r>
        <w:rPr>
          <w:rFonts w:hint="eastAsia"/>
          <w:lang w:val="en-US" w:eastAsia="zh-CN"/>
        </w:rPr>
        <w:t>加强医防协同。探索建立综合性医疗机构、基层医疗机构和疾控机构三位一体的多病共管防治体系，构建医防融合主要慢性病多因素协同干预与多病共管流程和适宜技术、双向转诊工作制度。深入推进公立医院公共卫生履职。继续完善健全医共体“三员一团队一中心”，构建整合型区县域卫生健康服务体系，推进公共卫生各项工作和疾病防、治、管“三位一体”健康管理长效工作机制，促进公共卫生工作质量稳步提升。（牵头单位：区卫生健康委；责任单位：区人民医院、区中医院、区妇幼保健院、区疾控中心）</w:t>
      </w:r>
    </w:p>
    <w:p>
      <w:pPr>
        <w:pStyle w:val="4"/>
        <w:bidi w:val="0"/>
        <w:rPr>
          <w:rFonts w:hint="eastAsia"/>
          <w:lang w:val="en-US" w:eastAsia="zh-CN"/>
        </w:rPr>
      </w:pPr>
      <w:r>
        <w:rPr>
          <w:rFonts w:hint="eastAsia"/>
          <w:lang w:val="en-US" w:eastAsia="zh-CN"/>
        </w:rPr>
        <w:t>（五）高质量文化提升工程。</w:t>
      </w:r>
    </w:p>
    <w:p>
      <w:pPr>
        <w:bidi w:val="0"/>
        <w:rPr>
          <w:rFonts w:hint="eastAsia"/>
          <w:lang w:val="en-US" w:eastAsia="zh-CN"/>
        </w:rPr>
      </w:pPr>
      <w:r>
        <w:rPr>
          <w:rFonts w:hint="eastAsia"/>
          <w:lang w:val="en-US" w:eastAsia="zh-CN"/>
        </w:rPr>
        <w:t>12</w:t>
      </w:r>
      <w:r>
        <w:rPr>
          <w:rFonts w:hint="eastAsia" w:ascii="方正仿宋_GBK" w:hAnsi="方正仿宋_GBK" w:eastAsia="方正仿宋_GBK" w:cs="方正仿宋_GBK"/>
          <w:lang w:val="en-US" w:eastAsia="zh-CN"/>
        </w:rPr>
        <w:t>﹒</w:t>
      </w:r>
      <w:r>
        <w:rPr>
          <w:rFonts w:hint="default"/>
          <w:lang w:val="en-US" w:eastAsia="zh-CN"/>
        </w:rPr>
        <w:t>建设特色鲜明的医院文化。</w:t>
      </w:r>
      <w:r>
        <w:rPr>
          <w:rFonts w:hint="eastAsia"/>
          <w:lang w:val="en-US" w:eastAsia="zh-CN"/>
        </w:rPr>
        <w:t>打造医院文化品牌，实施“一院一文化”品牌。</w:t>
      </w:r>
      <w:r>
        <w:rPr>
          <w:rFonts w:hint="default"/>
          <w:lang w:val="en-US" w:eastAsia="zh-CN"/>
        </w:rPr>
        <w:t>挖掘整理医院历史、文化特色和名医大家学术思想、高尚医德，提炼医院院训、愿景、使命，凝聚支撑医院高质量发展的精神力量。</w:t>
      </w:r>
      <w:r>
        <w:rPr>
          <w:rFonts w:hint="eastAsia"/>
          <w:lang w:val="en-US" w:eastAsia="zh-CN"/>
        </w:rPr>
        <w:t>区人民医院</w:t>
      </w:r>
      <w:r>
        <w:rPr>
          <w:rFonts w:hint="default"/>
          <w:lang w:val="en-US" w:eastAsia="zh-CN"/>
        </w:rPr>
        <w:t>打造医院“以文化人，以术救人”文化</w:t>
      </w:r>
      <w:r>
        <w:rPr>
          <w:rFonts w:hint="eastAsia"/>
          <w:lang w:val="en-US" w:eastAsia="zh-CN"/>
        </w:rPr>
        <w:t>品牌，</w:t>
      </w:r>
      <w:r>
        <w:rPr>
          <w:rFonts w:hint="default"/>
          <w:lang w:val="en-US" w:eastAsia="zh-CN"/>
        </w:rPr>
        <w:t>在现有9个党建品牌的基础上，新增创建2-4个党建品牌</w:t>
      </w:r>
      <w:r>
        <w:rPr>
          <w:rFonts w:hint="eastAsia"/>
          <w:lang w:val="en-US" w:eastAsia="zh-CN"/>
        </w:rPr>
        <w:t>；区中医院重点打造中医药文化传承品牌，在新院区设置中医药文化展示区，</w:t>
      </w:r>
      <w:r>
        <w:rPr>
          <w:rFonts w:hint="default"/>
          <w:lang w:val="en-US" w:eastAsia="zh-CN"/>
        </w:rPr>
        <w:t>传承传播</w:t>
      </w:r>
      <w:r>
        <w:rPr>
          <w:rFonts w:hint="eastAsia"/>
          <w:lang w:val="en-US" w:eastAsia="zh-CN"/>
        </w:rPr>
        <w:t>中医药文化。区妇幼保健院打造妇幼特色文化品牌，以妇女儿童为中心，开展妇女儿童关爱月、提供国学文化体验等活动，倡导责任、进取、诚信、真爱为核心的价值观，建设妇幼特色的医院文化。</w:t>
      </w:r>
      <w:r>
        <w:rPr>
          <w:rFonts w:hint="default"/>
          <w:lang w:val="en-US" w:eastAsia="zh-CN"/>
        </w:rPr>
        <w:t>大力弘扬伟大抗疫精神和崇高职业精神，激发医务人员对工作极端负责、对人民极端热忱、对技术精益求精的不竭动力，唱响大医精诚、医者仁心主旋律，以充满人文关怀的医疗服务赢得患者、社会的信任和尊重。</w:t>
      </w:r>
      <w:r>
        <w:rPr>
          <w:rFonts w:hint="eastAsia"/>
          <w:lang w:val="en-US" w:eastAsia="zh-CN"/>
        </w:rPr>
        <w:t>（牵头单位：区人民医院、区中医院、区妇幼保健院、区疾控中心；责任单位：区委宣传部、区卫生健康委）</w:t>
      </w:r>
    </w:p>
    <w:p>
      <w:pPr>
        <w:pStyle w:val="4"/>
        <w:bidi w:val="0"/>
        <w:rPr>
          <w:rFonts w:hint="eastAsia"/>
          <w:lang w:val="en-US" w:eastAsia="zh-CN"/>
        </w:rPr>
      </w:pPr>
      <w:r>
        <w:rPr>
          <w:rFonts w:hint="eastAsia"/>
          <w:lang w:val="en-US" w:eastAsia="zh-CN"/>
        </w:rPr>
        <w:t>（六）高质量党建品牌工程。</w:t>
      </w:r>
    </w:p>
    <w:p>
      <w:pPr>
        <w:bidi w:val="0"/>
        <w:rPr>
          <w:rFonts w:hint="eastAsia"/>
          <w:lang w:val="en-US" w:eastAsia="zh-CN"/>
        </w:rPr>
      </w:pPr>
      <w:r>
        <w:rPr>
          <w:rFonts w:hint="eastAsia"/>
          <w:lang w:val="en-US" w:eastAsia="zh-CN"/>
        </w:rPr>
        <w:t>13</w:t>
      </w:r>
      <w:r>
        <w:rPr>
          <w:rFonts w:hint="eastAsia" w:ascii="方正仿宋_GBK" w:hAnsi="方正仿宋_GBK" w:eastAsia="方正仿宋_GBK" w:cs="方正仿宋_GBK"/>
          <w:lang w:val="en-US" w:eastAsia="zh-CN"/>
        </w:rPr>
        <w:t>﹒</w:t>
      </w:r>
      <w:r>
        <w:rPr>
          <w:rFonts w:hint="eastAsia"/>
          <w:lang w:val="en-US" w:eastAsia="zh-CN"/>
        </w:rPr>
        <w:t>全面贯彻落实党委领导下的院长负责制。把学习贯彻党的二十大精神作为首要政治任务，</w:t>
      </w:r>
      <w:r>
        <w:rPr>
          <w:rFonts w:hint="default"/>
          <w:lang w:val="en-US" w:eastAsia="zh-CN"/>
        </w:rPr>
        <w:t>坚持党建引领卫生健康事业高质量发展的理念，切实加强党的政治、思想、组织、作风、廉政和制度建设。深入推进公立医院执行党委领导下的院长负责制，深化“双培育”工程</w:t>
      </w:r>
      <w:r>
        <w:rPr>
          <w:rFonts w:hint="eastAsia"/>
          <w:lang w:val="en-US" w:eastAsia="zh-CN"/>
        </w:rPr>
        <w:t>，二级以上公立医院临床医技科室党支部书记由业务骨干担任的比例达95%以上。以开展基层党支部“六化”建设、推进“五项先锋”建</w:t>
      </w:r>
      <w:r>
        <w:rPr>
          <w:rFonts w:hint="default"/>
          <w:lang w:val="en-US" w:eastAsia="zh-CN"/>
        </w:rPr>
        <w:t>设、打造“党建品牌”为抓手，深化卫生健康系统基层党组织建设，</w:t>
      </w:r>
      <w:r>
        <w:rPr>
          <w:rFonts w:hint="eastAsia"/>
          <w:lang w:val="en-US" w:eastAsia="zh-CN"/>
        </w:rPr>
        <w:t>完善党支部参与科室重大问题决策制度，党</w:t>
      </w:r>
      <w:r>
        <w:rPr>
          <w:rFonts w:hint="default"/>
          <w:lang w:val="en-US" w:eastAsia="zh-CN"/>
        </w:rPr>
        <w:t>支部标准化规范化率达</w:t>
      </w:r>
      <w:r>
        <w:rPr>
          <w:rFonts w:hint="eastAsia"/>
          <w:lang w:val="en-US" w:eastAsia="zh-CN"/>
        </w:rPr>
        <w:t>100</w:t>
      </w:r>
      <w:r>
        <w:rPr>
          <w:rFonts w:hint="default"/>
          <w:lang w:val="en-US" w:eastAsia="zh-CN"/>
        </w:rPr>
        <w:t>％。坚持全面从严治党，强化正风肃纪。加强</w:t>
      </w:r>
      <w:r>
        <w:rPr>
          <w:rFonts w:hint="eastAsia"/>
          <w:lang w:val="en-US" w:eastAsia="zh-CN"/>
        </w:rPr>
        <w:t>对</w:t>
      </w:r>
      <w:r>
        <w:rPr>
          <w:rFonts w:hint="default"/>
          <w:lang w:val="en-US" w:eastAsia="zh-CN"/>
        </w:rPr>
        <w:t>重点岗位、重点环节、重点人员的监督监督，从严查处违纪违规行为。</w:t>
      </w:r>
      <w:r>
        <w:rPr>
          <w:rFonts w:hint="eastAsia"/>
          <w:lang w:val="en-US" w:eastAsia="zh-CN"/>
        </w:rPr>
        <w:t>抓好医德医风建设。健全完善医务人员医德考评制度，将医德表现与医务人员晋职晋级、岗位聘用、评先评优和定期考核等直接挂钩。健全卫生领域信用分类分级监管，规范医疗服务行为，持续完善患者满意度“第三方”调查评价机制。开展社会主义核心价值观教育，弘扬“敬佑生命、救死扶伤、甘于奉献、大爱无疆”的职业精神，推进医院精神文明建设。关心爱护医务人员身心健康。在医师节、护士节宣传优秀医师、护士，树立典型人物，在全社会形成尊医重卫的良好氛围。（牵头单位：区卫生健康委；责任单位：区纪委监委机关、区委组织部、区委宣传部、区人力社保局）</w:t>
      </w:r>
    </w:p>
    <w:p>
      <w:pPr>
        <w:pStyle w:val="3"/>
        <w:bidi w:val="0"/>
        <w:rPr>
          <w:lang w:val="en-US" w:eastAsia="zh-CN"/>
        </w:rPr>
      </w:pPr>
      <w:r>
        <w:rPr>
          <w:rFonts w:hint="eastAsia"/>
          <w:lang w:val="en-US" w:eastAsia="zh-CN"/>
        </w:rPr>
        <w:t>四、工作步骤</w:t>
      </w:r>
    </w:p>
    <w:p>
      <w:pPr>
        <w:bidi w:val="0"/>
        <w:rPr>
          <w:lang w:val="en-US" w:eastAsia="zh-CN"/>
        </w:rPr>
      </w:pPr>
      <w:r>
        <w:rPr>
          <w:rStyle w:val="18"/>
          <w:rFonts w:hint="eastAsia"/>
          <w:lang w:val="en-US" w:eastAsia="zh-CN"/>
        </w:rPr>
        <w:t>（一）自查自评阶段（时间：2023年2月—2023年4月）。</w:t>
      </w:r>
      <w:r>
        <w:rPr>
          <w:rFonts w:hint="eastAsia"/>
          <w:lang w:val="en-US" w:eastAsia="zh-CN"/>
        </w:rPr>
        <w:t>区人民医院完成评审前自评，倒排评审工期，挂图作战；区中医院、区妇幼保健院、区疾控中心完成自评并及时完善具体实施方案，将创建任务层层分解到具体部门和科室，明确任务指标与创建时限，落实创建措施，重点从硬件设施、人才建设、学科发展、服务内涵和医院文化等方面，建立健全相关创建制度，保障创建进度按时有序高效推进。</w:t>
      </w:r>
    </w:p>
    <w:p>
      <w:pPr>
        <w:bidi w:val="0"/>
        <w:rPr>
          <w:rFonts w:hint="eastAsia"/>
          <w:lang w:val="en-US" w:eastAsia="zh-CN"/>
        </w:rPr>
      </w:pPr>
      <w:r>
        <w:rPr>
          <w:rStyle w:val="18"/>
          <w:rFonts w:hint="eastAsia"/>
          <w:lang w:val="en-US" w:eastAsia="zh-CN"/>
        </w:rPr>
        <w:t>（二）持续整改阶段（时间：2023年4月—2025年9月）。</w:t>
      </w:r>
      <w:r>
        <w:rPr>
          <w:rFonts w:hint="eastAsia"/>
          <w:lang w:val="en-US" w:eastAsia="zh-CN"/>
        </w:rPr>
        <w:t>组织专家对创建工作进行自我评价，邀请市内、外等级医院（疾控机构）评审专家对创建工作进行试评审，对存在的问题进行梳理、分析、持续改进。2023年5月前，区人民医院完成评审准备工作；2023年6月，区中医院完成晋级三级中医医院准备工作；2024年，区妇幼保健院晋级三级妇幼保健院；2025年底前，区中医院、区疾控中心完成创建评审。</w:t>
      </w:r>
    </w:p>
    <w:p>
      <w:pPr>
        <w:bidi w:val="0"/>
        <w:rPr>
          <w:rFonts w:hint="eastAsia"/>
          <w:lang w:val="en-US" w:eastAsia="zh-CN"/>
        </w:rPr>
      </w:pPr>
      <w:r>
        <w:rPr>
          <w:rStyle w:val="18"/>
          <w:rFonts w:hint="eastAsia"/>
          <w:lang w:val="en-US" w:eastAsia="zh-CN"/>
        </w:rPr>
        <w:t>（三）总结验收阶段（时间：2023年5月—2025年6月）。</w:t>
      </w:r>
      <w:r>
        <w:rPr>
          <w:rFonts w:hint="eastAsia"/>
          <w:lang w:val="en-US" w:eastAsia="zh-CN"/>
        </w:rPr>
        <w:t>2023年5月，区人民医院</w:t>
      </w:r>
      <w:r>
        <w:rPr>
          <w:lang w:val="en-US" w:eastAsia="zh-CN"/>
        </w:rPr>
        <w:t>完成创建工作的自评报告及所有资料，上报重庆市等级医院</w:t>
      </w:r>
      <w:r>
        <w:rPr>
          <w:rFonts w:hint="eastAsia"/>
          <w:lang w:val="en-US" w:eastAsia="zh-CN"/>
        </w:rPr>
        <w:t>评审办公室，制定迎检评审工作的具体方案，完成评审期间相关准备工作；2023年8月接受评审，召开创建工作总结大会。2025年底前，区中医院、区妇幼保健院、区疾控中心完成评审和晋级，召开总结大会。</w:t>
      </w:r>
    </w:p>
    <w:p>
      <w:pPr>
        <w:pStyle w:val="3"/>
        <w:bidi w:val="0"/>
        <w:rPr>
          <w:rFonts w:hint="eastAsia"/>
          <w:lang w:val="en-US" w:eastAsia="zh-CN"/>
        </w:rPr>
      </w:pPr>
      <w:r>
        <w:rPr>
          <w:rFonts w:hint="eastAsia"/>
          <w:lang w:val="en-US" w:eastAsia="zh-CN"/>
        </w:rPr>
        <w:t>五、保障措施</w:t>
      </w:r>
    </w:p>
    <w:p>
      <w:pPr>
        <w:bidi w:val="0"/>
      </w:pPr>
      <w:r>
        <w:rPr>
          <w:rStyle w:val="18"/>
          <w:rFonts w:hint="eastAsia"/>
          <w:lang w:val="en-US" w:eastAsia="zh-CN"/>
        </w:rPr>
        <w:t>（一）加强组织领导</w:t>
      </w:r>
      <w:r>
        <w:rPr>
          <w:rFonts w:hint="eastAsia"/>
          <w:lang w:val="en-US" w:eastAsia="zh-CN"/>
        </w:rPr>
        <w:t>。</w:t>
      </w:r>
      <w:r>
        <w:rPr>
          <w:rFonts w:hint="eastAsia"/>
        </w:rPr>
        <w:t>成立区政府区长任组长</w:t>
      </w:r>
      <w:r>
        <w:rPr>
          <w:rFonts w:hint="eastAsia"/>
          <w:lang w:eastAsia="zh-CN"/>
        </w:rPr>
        <w:t>、分管卫生工作的副区长任副组长，相关部门和单位为成员的</w:t>
      </w:r>
      <w:r>
        <w:rPr>
          <w:rFonts w:hint="eastAsia"/>
        </w:rPr>
        <w:t>荣昌区</w:t>
      </w:r>
      <w:r>
        <w:rPr>
          <w:rFonts w:hint="eastAsia"/>
          <w:lang w:eastAsia="zh-CN"/>
        </w:rPr>
        <w:t>“四院”同创“三甲”</w:t>
      </w:r>
      <w:r>
        <w:rPr>
          <w:rFonts w:hint="eastAsia"/>
        </w:rPr>
        <w:t>工作领导小组（</w:t>
      </w:r>
      <w:r>
        <w:rPr>
          <w:rFonts w:hint="eastAsia"/>
          <w:lang w:eastAsia="zh-CN"/>
        </w:rPr>
        <w:t>详见</w:t>
      </w:r>
      <w:r>
        <w:rPr>
          <w:rFonts w:hint="eastAsia"/>
        </w:rPr>
        <w:t>附件）</w:t>
      </w:r>
      <w:r>
        <w:rPr>
          <w:rFonts w:hint="eastAsia"/>
          <w:lang w:val="en-US" w:eastAsia="zh-CN"/>
        </w:rPr>
        <w:t>。各相关部门要紧密配合，全力支持</w:t>
      </w:r>
      <w:r>
        <w:rPr>
          <w:rFonts w:hint="eastAsia"/>
          <w:lang w:eastAsia="zh-CN"/>
        </w:rPr>
        <w:t>“四院”同创“三甲”</w:t>
      </w:r>
      <w:r>
        <w:rPr>
          <w:rFonts w:hint="eastAsia"/>
          <w:lang w:val="en-US" w:eastAsia="zh-CN"/>
        </w:rPr>
        <w:t>工作。</w:t>
      </w:r>
    </w:p>
    <w:p>
      <w:pPr>
        <w:bidi w:val="0"/>
        <w:rPr>
          <w:lang w:val="en-US" w:eastAsia="zh-CN"/>
        </w:rPr>
      </w:pPr>
      <w:r>
        <w:rPr>
          <w:rStyle w:val="18"/>
          <w:rFonts w:hint="eastAsia"/>
          <w:lang w:val="en-US" w:eastAsia="zh-CN"/>
        </w:rPr>
        <w:t>（二）广泛宣传发动</w:t>
      </w:r>
      <w:r>
        <w:rPr>
          <w:rFonts w:hint="eastAsia"/>
          <w:lang w:val="en-US" w:eastAsia="zh-CN"/>
        </w:rPr>
        <w:t>。区卫生健康委牵头，区级各部门要密切配合，营造舆论氛围，引导广大医务人员积极参与“四院”同创“三甲”工作，相关部门需及时报道创建工作的进展，取得的成绩，提炼好的经验做法，加强经验交流，保证创建工作科学有序进行。</w:t>
      </w:r>
    </w:p>
    <w:p>
      <w:pPr>
        <w:bidi w:val="0"/>
        <w:rPr>
          <w:rFonts w:hint="eastAsia"/>
          <w:lang w:val="en-US" w:eastAsia="zh-CN"/>
        </w:rPr>
      </w:pPr>
      <w:r>
        <w:rPr>
          <w:rStyle w:val="18"/>
          <w:rFonts w:hint="eastAsia"/>
          <w:lang w:val="en-US" w:eastAsia="zh-CN"/>
        </w:rPr>
        <w:t>（三）强化投入保障</w:t>
      </w:r>
      <w:r>
        <w:rPr>
          <w:rFonts w:hint="eastAsia"/>
          <w:lang w:val="en-US" w:eastAsia="zh-CN"/>
        </w:rPr>
        <w:t>。加大资金投入和政策支持力度。区财政局通过年初预算和债券等方式安排“四院”同创“三甲”基础建设项目资金，对人才引进、人才培养培训和学科建设等方面积极给予经费投入。区级相关各部门加大支持力度，将区级医院建设项目作为区内优先项目，积极支持“四院”同创“三甲”工作。加大医保支付方式改革支持力度。全面推行以总额预算付费为基础，推进临床路径管理，区级医院在创建等级医院过程中，确保医保资金的正常拨付。</w:t>
      </w:r>
    </w:p>
    <w:p>
      <w:pPr>
        <w:bidi w:val="0"/>
        <w:rPr>
          <w:rFonts w:hint="eastAsia"/>
          <w:lang w:val="en-US" w:eastAsia="zh-CN"/>
        </w:rPr>
      </w:pPr>
      <w:r>
        <w:rPr>
          <w:rStyle w:val="18"/>
          <w:rFonts w:hint="eastAsia"/>
          <w:lang w:val="en-US" w:eastAsia="zh-CN"/>
        </w:rPr>
        <w:t>（四）强化督查激励。</w:t>
      </w:r>
      <w:r>
        <w:rPr>
          <w:rFonts w:hint="eastAsia"/>
          <w:lang w:val="en-US" w:eastAsia="zh-CN"/>
        </w:rPr>
        <w:t>切实加强“四院”同创“三甲”专项督查督办工作，把等级创建工作纳入区政府督查范围。区级各部门要高度重视，加强领导，协调推进。区级医院和区疾控中心要对标对表创建要求，明确每一个岗位职责和规范标准。对影响“三甲”创建工作的单位和个人，将按照相关规定严肃追责问责。“四院”同创“三甲”期间，全区各部门、单位和个人对创建工作有突出贡献的，给予通报表扬。</w:t>
      </w:r>
    </w:p>
    <w:p>
      <w:pPr>
        <w:bidi w:val="0"/>
        <w:rPr>
          <w:rFonts w:hint="eastAsia"/>
          <w:lang w:val="en-US" w:eastAsia="zh-CN"/>
        </w:rPr>
      </w:pPr>
    </w:p>
    <w:p>
      <w:pPr>
        <w:bidi w:val="0"/>
        <w:rPr>
          <w:rFonts w:hint="eastAsia"/>
          <w:lang w:val="en-US" w:eastAsia="zh-CN"/>
        </w:rPr>
      </w:pPr>
      <w:r>
        <w:rPr>
          <w:rFonts w:hint="eastAsia"/>
          <w:lang w:val="en-US" w:eastAsia="zh-CN"/>
        </w:rPr>
        <w:t>附件：重庆市荣昌区“四院”同创“三甲”工作领导小组</w:t>
      </w:r>
    </w:p>
    <w:p>
      <w:pPr>
        <w:bidi w:val="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leftChars="0" w:right="0" w:firstLine="0" w:firstLineChars="0"/>
        <w:jc w:val="both"/>
        <w:textAlignment w:val="auto"/>
        <w:rPr>
          <w:rFonts w:hint="eastAsia" w:ascii="方正仿宋_GBK" w:hAnsi="方正仿宋_GBK" w:eastAsia="方正仿宋_GBK" w:cs="方正仿宋_GBK"/>
          <w:b/>
          <w:bCs/>
          <w:color w:val="auto"/>
          <w:kern w:val="0"/>
          <w:sz w:val="32"/>
          <w:szCs w:val="32"/>
          <w:u w:val="none"/>
          <w:lang w:val="en-US" w:eastAsia="zh-CN" w:bidi="ar"/>
        </w:rPr>
      </w:pPr>
    </w:p>
    <w:p>
      <w:pPr>
        <w:pStyle w:val="3"/>
        <w:bidi w:val="0"/>
        <w:ind w:left="0" w:leftChars="0" w:firstLine="0" w:firstLineChars="0"/>
        <w:rPr>
          <w:rFonts w:hint="eastAsia"/>
          <w:lang w:val="en-US" w:eastAsia="zh-CN"/>
        </w:rPr>
      </w:pPr>
      <w:r>
        <w:rPr>
          <w:rFonts w:hint="eastAsia"/>
          <w:lang w:val="en-US" w:eastAsia="zh-CN"/>
        </w:rPr>
        <w:br w:type="page"/>
      </w: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p>
    <w:p>
      <w:pPr>
        <w:pStyle w:val="2"/>
        <w:bidi w:val="0"/>
        <w:rPr>
          <w:rFonts w:hint="eastAsia"/>
          <w:lang w:val="en-US" w:eastAsia="zh-CN"/>
        </w:rPr>
      </w:pPr>
      <w:r>
        <w:rPr>
          <w:rFonts w:hint="eastAsia"/>
          <w:lang w:val="en-US" w:eastAsia="zh-CN"/>
        </w:rPr>
        <w:t>重庆市荣昌区“四院”同创“三甲”</w:t>
      </w:r>
    </w:p>
    <w:p>
      <w:pPr>
        <w:pStyle w:val="2"/>
        <w:bidi w:val="0"/>
        <w:rPr>
          <w:rFonts w:hint="eastAsia"/>
          <w:lang w:val="en-US" w:eastAsia="zh-CN"/>
        </w:rPr>
      </w:pPr>
      <w:r>
        <w:rPr>
          <w:rFonts w:hint="eastAsia"/>
          <w:lang w:val="en-US" w:eastAsia="zh-CN"/>
        </w:rPr>
        <w:t>工作领导小组</w:t>
      </w:r>
    </w:p>
    <w:p>
      <w:pPr>
        <w:keepNext w:val="0"/>
        <w:keepLines w:val="0"/>
        <w:pageBreakBefore w:val="0"/>
        <w:widowControl w:val="0"/>
        <w:kinsoku/>
        <w:wordWrap/>
        <w:overflowPunct/>
        <w:topLinePunct w:val="0"/>
        <w:autoSpaceDE/>
        <w:autoSpaceDN/>
        <w:bidi w:val="0"/>
        <w:adjustRightInd/>
        <w:snapToGrid w:val="0"/>
        <w:textAlignment w:val="auto"/>
        <w:rPr>
          <w:rFonts w:hint="eastAsia"/>
          <w:lang w:eastAsia="zh-CN"/>
        </w:rPr>
      </w:pPr>
    </w:p>
    <w:p>
      <w:pPr>
        <w:pStyle w:val="3"/>
        <w:bidi w:val="0"/>
        <w:rPr>
          <w:rFonts w:hint="eastAsia"/>
          <w:lang w:eastAsia="zh-CN"/>
        </w:rPr>
      </w:pPr>
      <w:r>
        <w:rPr>
          <w:rFonts w:hint="eastAsia"/>
          <w:lang w:eastAsia="zh-CN"/>
        </w:rPr>
        <w:t>一、领导小组成员</w:t>
      </w:r>
    </w:p>
    <w:p>
      <w:pPr>
        <w:bidi w:val="0"/>
        <w:rPr>
          <w:rFonts w:hint="eastAsia"/>
          <w:lang w:val="en-US" w:eastAsia="zh-CN"/>
        </w:rPr>
      </w:pPr>
      <w:r>
        <w:rPr>
          <w:rStyle w:val="18"/>
          <w:rFonts w:hint="eastAsia"/>
          <w:lang w:eastAsia="zh-CN"/>
        </w:rPr>
        <w:t>组</w:t>
      </w:r>
      <w:r>
        <w:rPr>
          <w:rStyle w:val="18"/>
          <w:rFonts w:hint="eastAsia"/>
          <w:lang w:val="en-US" w:eastAsia="zh-CN"/>
        </w:rPr>
        <w:t xml:space="preserve">  </w:t>
      </w:r>
      <w:r>
        <w:rPr>
          <w:rStyle w:val="18"/>
          <w:rFonts w:hint="eastAsia"/>
          <w:lang w:eastAsia="zh-CN"/>
        </w:rPr>
        <w:t>长：</w:t>
      </w:r>
      <w:r>
        <w:rPr>
          <w:rFonts w:hint="eastAsia"/>
          <w:lang w:eastAsia="zh-CN"/>
        </w:rPr>
        <w:t>万</w:t>
      </w:r>
      <w:r>
        <w:rPr>
          <w:rFonts w:hint="eastAsia"/>
          <w:lang w:val="en-US" w:eastAsia="zh-CN"/>
        </w:rPr>
        <w:t xml:space="preserve">  </w:t>
      </w:r>
      <w:r>
        <w:rPr>
          <w:rFonts w:hint="eastAsia"/>
          <w:lang w:eastAsia="zh-CN"/>
        </w:rPr>
        <w:t>容</w:t>
      </w:r>
      <w:r>
        <w:rPr>
          <w:rFonts w:hint="eastAsia"/>
          <w:lang w:val="en-US" w:eastAsia="zh-CN"/>
        </w:rPr>
        <w:t xml:space="preserve">    区政府区长</w:t>
      </w:r>
    </w:p>
    <w:p>
      <w:pPr>
        <w:bidi w:val="0"/>
        <w:rPr>
          <w:rFonts w:hint="eastAsia"/>
          <w:lang w:val="en-US" w:eastAsia="zh-CN"/>
        </w:rPr>
      </w:pPr>
      <w:r>
        <w:rPr>
          <w:rStyle w:val="18"/>
          <w:rFonts w:hint="eastAsia"/>
          <w:lang w:val="en-US" w:eastAsia="zh-CN"/>
        </w:rPr>
        <w:t>副组长：</w:t>
      </w:r>
      <w:r>
        <w:rPr>
          <w:rFonts w:hint="eastAsia"/>
          <w:lang w:val="en-US" w:eastAsia="zh-CN"/>
        </w:rPr>
        <w:t>陶晓锋    区政府副区长</w:t>
      </w:r>
    </w:p>
    <w:p>
      <w:pPr>
        <w:bidi w:val="0"/>
        <w:rPr>
          <w:rFonts w:hint="eastAsia"/>
          <w:lang w:val="en-US" w:eastAsia="zh-CN"/>
        </w:rPr>
      </w:pPr>
      <w:r>
        <w:rPr>
          <w:rStyle w:val="18"/>
          <w:rFonts w:hint="eastAsia"/>
          <w:lang w:val="en-US" w:eastAsia="zh-CN"/>
        </w:rPr>
        <w:t>成  员：</w:t>
      </w:r>
      <w:r>
        <w:rPr>
          <w:rFonts w:hint="eastAsia"/>
          <w:lang w:val="en-US" w:eastAsia="zh-CN"/>
        </w:rPr>
        <w:t>区政府办公室、区委编办、区发展改革委、区教委、区科技局、区经济信息委、区财政局、区住房城乡建委、区规划自然资源局、区生态环境局、区人力社保局、区卫生健康委、区市场监管局、区医保局、区大数据发展局、区税务局、区融媒体中心、区人民医院、区中医院、区妇幼保健院、区疾控中心主要负责人。</w:t>
      </w:r>
    </w:p>
    <w:p>
      <w:pPr>
        <w:bidi w:val="0"/>
        <w:rPr>
          <w:rFonts w:hint="eastAsia"/>
          <w:lang w:val="en-US" w:eastAsia="zh-CN"/>
        </w:rPr>
      </w:pPr>
      <w:r>
        <w:rPr>
          <w:rFonts w:hint="eastAsia"/>
          <w:lang w:val="en-US" w:eastAsia="zh-CN"/>
        </w:rPr>
        <w:t>领导小组办公室设在区卫生健康委，区政府副区长陶晓锋兼任办公室主任，区卫生健康委主任唐敏兼任办公室常务副主任，区卫生健康委分管负责人、区人民医院、区中医院、区妇幼保健院、区疾控中心主要负责人任副主任，负责创建日常工作。</w:t>
      </w:r>
    </w:p>
    <w:p>
      <w:pPr>
        <w:pStyle w:val="3"/>
        <w:bidi w:val="0"/>
        <w:rPr>
          <w:rFonts w:hint="eastAsia"/>
          <w:lang w:val="en-US" w:eastAsia="zh-CN"/>
        </w:rPr>
      </w:pPr>
      <w:r>
        <w:rPr>
          <w:rFonts w:hint="eastAsia"/>
          <w:lang w:val="en-US" w:eastAsia="zh-CN"/>
        </w:rPr>
        <w:t>二、领导小组职责</w:t>
      </w:r>
    </w:p>
    <w:p>
      <w:pPr>
        <w:bidi w:val="0"/>
        <w:rPr>
          <w:rFonts w:hint="eastAsia"/>
          <w:lang w:val="en-US" w:eastAsia="zh-CN"/>
        </w:rPr>
      </w:pPr>
      <w:r>
        <w:rPr>
          <w:rFonts w:hint="eastAsia"/>
          <w:lang w:val="en-US" w:eastAsia="zh-CN"/>
        </w:rPr>
        <w:t>领导小组负责研究区级医院等级创建重大事项，协调解决创建过程中的困难和问题；负责市级协调及市级汇报；负责督促区级医院落实市级和区两级做出的各项决定和措施。</w:t>
      </w:r>
    </w:p>
    <w:p>
      <w:pPr>
        <w:bidi w:val="0"/>
        <w:rPr>
          <w:rFonts w:hint="eastAsia"/>
          <w:lang w:val="en-US" w:eastAsia="zh-CN"/>
        </w:rPr>
      </w:pPr>
      <w:r>
        <w:rPr>
          <w:rFonts w:hint="eastAsia"/>
          <w:lang w:val="en-US" w:eastAsia="zh-CN"/>
        </w:rPr>
        <w:br w:type="page"/>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176" w:beforeLines="30"/>
        <w:textAlignment w:val="auto"/>
        <w:rPr>
          <w:rFonts w:hint="eastAsia" w:ascii="宋体" w:hAnsi="宋体" w:eastAsia="方正小标宋_GBK"/>
          <w:szCs w:val="32"/>
        </w:rPr>
      </w:pPr>
    </w:p>
    <w:p>
      <w:pPr>
        <w:pBdr>
          <w:top w:val="single" w:color="auto" w:sz="8" w:space="1"/>
        </w:pBdr>
        <w:adjustRightInd w:val="0"/>
        <w:ind w:left="140" w:hanging="140" w:hangingChars="50"/>
        <w:rPr>
          <w:rFonts w:hint="eastAsia"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adjustRightInd w:val="0"/>
        <w:ind w:left="141" w:leftChars="44" w:firstLine="980" w:firstLineChars="35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top w:val="single" w:color="auto" w:sz="6" w:space="1"/>
          <w:bottom w:val="single" w:color="auto" w:sz="8" w:space="1"/>
        </w:pBdr>
        <w:tabs>
          <w:tab w:val="right" w:pos="8844"/>
        </w:tabs>
        <w:adjustRightInd w:val="0"/>
        <w:ind w:firstLine="280" w:firstLineChars="100"/>
        <w:rPr>
          <w:rFonts w:hint="eastAsia"/>
          <w:lang w:val="en-US" w:eastAsia="zh-CN"/>
        </w:rPr>
      </w:pPr>
      <w:r>
        <w:rPr>
          <w:rFonts w:hint="eastAsia" w:ascii="宋体" w:hAnsi="宋体" w:eastAsia="方正仿宋_GBK"/>
          <w:sz w:val="28"/>
          <w:szCs w:val="28"/>
        </w:rPr>
        <w:t>重庆市荣昌区人民政府办公室　　　　 　　　</w:t>
      </w:r>
      <w:r>
        <w:rPr>
          <w:rFonts w:hint="eastAsia"/>
          <w:sz w:val="28"/>
          <w:szCs w:val="28"/>
          <w:lang w:eastAsia="zh-CN"/>
        </w:rPr>
        <w:t>2023</w:t>
      </w:r>
      <w:r>
        <w:rPr>
          <w:rFonts w:hint="eastAsia" w:ascii="宋体" w:hAnsi="宋体" w:eastAsia="方正仿宋_GBK"/>
          <w:sz w:val="28"/>
          <w:szCs w:val="28"/>
        </w:rPr>
        <w:t>年</w:t>
      </w:r>
      <w:r>
        <w:rPr>
          <w:rFonts w:hint="eastAsia"/>
          <w:sz w:val="28"/>
          <w:szCs w:val="28"/>
          <w:lang w:val="en-US" w:eastAsia="zh-CN"/>
        </w:rPr>
        <w:t>6</w:t>
      </w:r>
      <w:r>
        <w:rPr>
          <w:rFonts w:hint="eastAsia" w:ascii="宋体" w:hAnsi="宋体" w:eastAsia="方正仿宋_GBK"/>
          <w:sz w:val="28"/>
          <w:szCs w:val="28"/>
        </w:rPr>
        <w:t>月</w:t>
      </w:r>
      <w:r>
        <w:rPr>
          <w:rFonts w:hint="eastAsia"/>
          <w:sz w:val="28"/>
          <w:szCs w:val="28"/>
          <w:lang w:val="en-US" w:eastAsia="zh-CN"/>
        </w:rPr>
        <w:t>5</w:t>
      </w:r>
      <w:r>
        <w:rPr>
          <w:rFonts w:hint="eastAsia" w:ascii="宋体" w:hAnsi="宋体" w:eastAsia="方正仿宋_GBK"/>
          <w:sz w:val="28"/>
          <w:szCs w:val="28"/>
        </w:rPr>
        <w:t>日印发</w:t>
      </w:r>
      <w:r>
        <w:rPr>
          <w:rFonts w:ascii="宋体" w:hAnsi="宋体" w:eastAsia="方正仿宋_GBK"/>
          <w:sz w:val="28"/>
          <w:szCs w:val="28"/>
        </w:rPr>
        <w:tab/>
      </w:r>
    </w:p>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EKDd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5gQoN3gEAAL8DAAAOAAAAAAAA&#10;AAEAIAAAAB4BAABkcnMvZTJvRG9jLnhtbFBLBQYAAAAABgAGAFkBAABuBQAAAAA=&#10;">
              <v:fill on="f" focussize="0,0"/>
              <v:stroke on="f"/>
              <v:imagedata o:title=""/>
              <o:lock v:ext="edit" aspectratio="f"/>
              <v:textbox inset="0mm,0mm,0mm,0mm" style="mso-fit-shape-to-text:t;">
                <w:txbxContent>
                  <w:p>
                    <w:pPr>
                      <w:pStyle w:val="9"/>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pPr>
                      <w:pStyle w:val="9"/>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evenAndOddHeaders w:val="1"/>
  <w:drawingGridHorizontalSpacing w:val="320"/>
  <w:drawingGridVerticalSpacing w:val="290"/>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2511"/>
    <w:rsid w:val="00017CCF"/>
    <w:rsid w:val="0002526C"/>
    <w:rsid w:val="00056C91"/>
    <w:rsid w:val="000602A5"/>
    <w:rsid w:val="00062188"/>
    <w:rsid w:val="00082DF5"/>
    <w:rsid w:val="00086A2B"/>
    <w:rsid w:val="000A42B1"/>
    <w:rsid w:val="000C26E8"/>
    <w:rsid w:val="000D61B3"/>
    <w:rsid w:val="000F51DC"/>
    <w:rsid w:val="000F5742"/>
    <w:rsid w:val="00101D1F"/>
    <w:rsid w:val="001052EB"/>
    <w:rsid w:val="00135004"/>
    <w:rsid w:val="00164F5D"/>
    <w:rsid w:val="001B79C4"/>
    <w:rsid w:val="001E5E68"/>
    <w:rsid w:val="00200061"/>
    <w:rsid w:val="002030E1"/>
    <w:rsid w:val="00207E00"/>
    <w:rsid w:val="002256ED"/>
    <w:rsid w:val="002442D5"/>
    <w:rsid w:val="002661E9"/>
    <w:rsid w:val="00277FD9"/>
    <w:rsid w:val="002E0CDA"/>
    <w:rsid w:val="002E3BEE"/>
    <w:rsid w:val="002F3513"/>
    <w:rsid w:val="0030484F"/>
    <w:rsid w:val="00317064"/>
    <w:rsid w:val="003422AA"/>
    <w:rsid w:val="0036045A"/>
    <w:rsid w:val="003C1717"/>
    <w:rsid w:val="003C38B3"/>
    <w:rsid w:val="003C4807"/>
    <w:rsid w:val="00424BD8"/>
    <w:rsid w:val="00441329"/>
    <w:rsid w:val="00470471"/>
    <w:rsid w:val="00484091"/>
    <w:rsid w:val="00487A1A"/>
    <w:rsid w:val="00491BC4"/>
    <w:rsid w:val="004A2840"/>
    <w:rsid w:val="004C60D9"/>
    <w:rsid w:val="004C6A7F"/>
    <w:rsid w:val="005273E9"/>
    <w:rsid w:val="00544C11"/>
    <w:rsid w:val="00551643"/>
    <w:rsid w:val="00554D9E"/>
    <w:rsid w:val="0057221D"/>
    <w:rsid w:val="00587ABE"/>
    <w:rsid w:val="005933C4"/>
    <w:rsid w:val="00621E56"/>
    <w:rsid w:val="00636C32"/>
    <w:rsid w:val="00637726"/>
    <w:rsid w:val="00646AA6"/>
    <w:rsid w:val="00673883"/>
    <w:rsid w:val="0067519F"/>
    <w:rsid w:val="00680373"/>
    <w:rsid w:val="006C2605"/>
    <w:rsid w:val="006D5A31"/>
    <w:rsid w:val="00713D35"/>
    <w:rsid w:val="007476CB"/>
    <w:rsid w:val="00754393"/>
    <w:rsid w:val="00763931"/>
    <w:rsid w:val="007835E9"/>
    <w:rsid w:val="007B581D"/>
    <w:rsid w:val="007B69FC"/>
    <w:rsid w:val="007D72C2"/>
    <w:rsid w:val="007E08D2"/>
    <w:rsid w:val="007F3578"/>
    <w:rsid w:val="007F5DC9"/>
    <w:rsid w:val="00806464"/>
    <w:rsid w:val="008A1020"/>
    <w:rsid w:val="008A3349"/>
    <w:rsid w:val="008C75D5"/>
    <w:rsid w:val="008F082E"/>
    <w:rsid w:val="00907DD2"/>
    <w:rsid w:val="009100C3"/>
    <w:rsid w:val="00934971"/>
    <w:rsid w:val="00965B40"/>
    <w:rsid w:val="0097595C"/>
    <w:rsid w:val="00976064"/>
    <w:rsid w:val="00976553"/>
    <w:rsid w:val="009928DA"/>
    <w:rsid w:val="009A2069"/>
    <w:rsid w:val="009A745D"/>
    <w:rsid w:val="00A03A99"/>
    <w:rsid w:val="00A054BA"/>
    <w:rsid w:val="00A1653D"/>
    <w:rsid w:val="00A417E0"/>
    <w:rsid w:val="00A4521C"/>
    <w:rsid w:val="00A51191"/>
    <w:rsid w:val="00A57DDF"/>
    <w:rsid w:val="00A825CA"/>
    <w:rsid w:val="00A85CC5"/>
    <w:rsid w:val="00AD4189"/>
    <w:rsid w:val="00AD74E9"/>
    <w:rsid w:val="00AE5FE3"/>
    <w:rsid w:val="00B02838"/>
    <w:rsid w:val="00B05C12"/>
    <w:rsid w:val="00B15DDF"/>
    <w:rsid w:val="00B27ECE"/>
    <w:rsid w:val="00B647E2"/>
    <w:rsid w:val="00B67C51"/>
    <w:rsid w:val="00B8253E"/>
    <w:rsid w:val="00BA68E4"/>
    <w:rsid w:val="00C94375"/>
    <w:rsid w:val="00CA10A1"/>
    <w:rsid w:val="00CA3C3F"/>
    <w:rsid w:val="00CB080D"/>
    <w:rsid w:val="00CB3FAF"/>
    <w:rsid w:val="00CB51DC"/>
    <w:rsid w:val="00CB551D"/>
    <w:rsid w:val="00CC0F95"/>
    <w:rsid w:val="00CD7DE1"/>
    <w:rsid w:val="00D0209B"/>
    <w:rsid w:val="00D0553B"/>
    <w:rsid w:val="00D1304D"/>
    <w:rsid w:val="00D17764"/>
    <w:rsid w:val="00D21350"/>
    <w:rsid w:val="00D37D69"/>
    <w:rsid w:val="00D70144"/>
    <w:rsid w:val="00D84DE1"/>
    <w:rsid w:val="00DD4DA1"/>
    <w:rsid w:val="00DD5664"/>
    <w:rsid w:val="00DE1B8C"/>
    <w:rsid w:val="00E043E4"/>
    <w:rsid w:val="00E04C36"/>
    <w:rsid w:val="00E31D25"/>
    <w:rsid w:val="00E405D6"/>
    <w:rsid w:val="00E70FA9"/>
    <w:rsid w:val="00E85D34"/>
    <w:rsid w:val="00EC09C0"/>
    <w:rsid w:val="00EC5A5C"/>
    <w:rsid w:val="00F114B7"/>
    <w:rsid w:val="00F16E51"/>
    <w:rsid w:val="00F21AC2"/>
    <w:rsid w:val="00F24668"/>
    <w:rsid w:val="00F361AD"/>
    <w:rsid w:val="00F70ACF"/>
    <w:rsid w:val="00F8189B"/>
    <w:rsid w:val="00F878DD"/>
    <w:rsid w:val="00FA62E7"/>
    <w:rsid w:val="00FB5A90"/>
    <w:rsid w:val="00FC340D"/>
    <w:rsid w:val="00FF286B"/>
    <w:rsid w:val="1D916E10"/>
    <w:rsid w:val="2BF9DFA9"/>
    <w:rsid w:val="2FCFFD58"/>
    <w:rsid w:val="373E8ECF"/>
    <w:rsid w:val="5AC94B6F"/>
    <w:rsid w:val="5BDFBA85"/>
    <w:rsid w:val="5DD7EA76"/>
    <w:rsid w:val="5FDF2C78"/>
    <w:rsid w:val="77DF2511"/>
    <w:rsid w:val="7B7F2D5A"/>
    <w:rsid w:val="7F8B0B83"/>
    <w:rsid w:val="B7969508"/>
    <w:rsid w:val="BA3F71C4"/>
    <w:rsid w:val="DEFFC836"/>
    <w:rsid w:val="DFFB5D8D"/>
    <w:rsid w:val="E6AFDC1A"/>
    <w:rsid w:val="EAFD4D1D"/>
    <w:rsid w:val="EB4B77F5"/>
    <w:rsid w:val="F7FF2A3F"/>
    <w:rsid w:val="FB3DA5F6"/>
    <w:rsid w:val="FBA7558B"/>
    <w:rsid w:val="FF7FB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宋体" w:hAnsi="宋体" w:eastAsia="方正仿宋_GBK" w:cs="Times New Roman"/>
      <w:kern w:val="2"/>
      <w:sz w:val="32"/>
      <w:szCs w:val="24"/>
      <w:lang w:val="en-US" w:eastAsia="zh-CN" w:bidi="ar-SA"/>
    </w:rPr>
  </w:style>
  <w:style w:type="paragraph" w:styleId="2">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17"/>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8"/>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qFormat/>
    <w:uiPriority w:val="0"/>
    <w:pPr>
      <w:keepNext w:val="0"/>
      <w:keepLines w:val="0"/>
      <w:snapToGrid w:val="0"/>
      <w:spacing w:beforeLines="0" w:beforeAutospacing="0" w:afterLines="0" w:afterAutospacing="0" w:line="720" w:lineRule="atLeast"/>
      <w:ind w:firstLine="0" w:firstLineChars="0"/>
      <w:outlineLvl w:val="3"/>
    </w:pPr>
    <w:rPr>
      <w:rFonts w:ascii="宋体" w:hAnsi="宋体" w:eastAsia="方正小标宋_GBK"/>
      <w:b w:val="0"/>
      <w:sz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rPr>
      <w:sz w:val="24"/>
    </w:rPr>
  </w:style>
  <w:style w:type="paragraph" w:styleId="12">
    <w:name w:val="index 1"/>
    <w:basedOn w:val="6"/>
    <w:next w:val="1"/>
    <w:semiHidden/>
    <w:uiPriority w:val="0"/>
    <w:pPr>
      <w:snapToGrid w:val="0"/>
      <w:spacing w:before="0" w:after="0"/>
    </w:pPr>
    <w:rPr>
      <w:rFonts w:eastAsia="方正小标宋_GBK"/>
      <w:b w:val="0"/>
      <w:bCs w:val="0"/>
      <w:sz w:val="44"/>
      <w:szCs w:val="28"/>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标题 2 Char"/>
    <w:link w:val="3"/>
    <w:uiPriority w:val="0"/>
    <w:rPr>
      <w:rFonts w:ascii="宋体" w:hAnsi="宋体" w:eastAsia="方正黑体_GBK"/>
    </w:rPr>
  </w:style>
  <w:style w:type="character" w:customStyle="1" w:styleId="18">
    <w:name w:val="标题 3 Char"/>
    <w:link w:val="4"/>
    <w:uiPriority w:val="0"/>
    <w:rPr>
      <w:rFonts w:eastAsia="方正楷体_GBK"/>
    </w:rPr>
  </w:style>
  <w:style w:type="paragraph" w:customStyle="1" w:styleId="19">
    <w:name w:val="_Style 17"/>
    <w:basedOn w:val="1"/>
    <w:next w:val="11"/>
    <w:uiPriority w:val="0"/>
    <w:pPr>
      <w:widowControl/>
      <w:spacing w:before="100" w:beforeAutospacing="1" w:after="100" w:afterAutospacing="1"/>
      <w:jc w:val="left"/>
    </w:pPr>
    <w:rPr>
      <w:rFonts w:ascii="宋体" w:hAnsi="宋体"/>
      <w:kern w:val="0"/>
      <w:sz w:val="24"/>
    </w:rPr>
  </w:style>
  <w:style w:type="paragraph" w:customStyle="1" w:styleId="20">
    <w:name w:val="_Style 21"/>
    <w:basedOn w:val="1"/>
    <w:next w:val="7"/>
    <w:uiPriority w:val="0"/>
    <w:pPr>
      <w:jc w:val="center"/>
    </w:pPr>
    <w:rPr>
      <w:rFonts w:eastAsia="方正小标宋_GBK"/>
      <w:sz w:val="44"/>
    </w:rPr>
  </w:style>
  <w:style w:type="paragraph" w:customStyle="1" w:styleId="21">
    <w:name w:val="Char Char Char Char Char Char Char Char Char Char Char Char Char Char Char Char"/>
    <w:basedOn w:val="1"/>
    <w:qFormat/>
    <w:uiPriority w:val="0"/>
    <w:pPr>
      <w:tabs>
        <w:tab w:val="left" w:pos="360"/>
      </w:tabs>
    </w:pPr>
    <w:rPr>
      <w:rFonts w:eastAsia="方正仿宋_GBK"/>
      <w:sz w:val="24"/>
      <w:szCs w:val="20"/>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目录二"/>
    <w:basedOn w:val="2"/>
    <w:next w:val="1"/>
    <w:uiPriority w:val="0"/>
    <w:pPr>
      <w:snapToGrid/>
      <w:spacing w:line="240" w:lineRule="auto"/>
      <w:ind w:firstLine="632" w:firstLineChars="200"/>
    </w:pPr>
    <w:rPr>
      <w:rFonts w:eastAsia="方正黑体_GBK"/>
      <w:sz w:val="32"/>
    </w:rPr>
  </w:style>
  <w:style w:type="paragraph" w:customStyle="1" w:styleId="24">
    <w:name w:val="目录三"/>
    <w:basedOn w:val="3"/>
    <w:next w:val="1"/>
    <w:uiPriority w:val="0"/>
    <w:rPr>
      <w:rFonts w:eastAsia="方正楷体_GBK"/>
    </w:rPr>
  </w:style>
  <w:style w:type="paragraph" w:customStyle="1" w:styleId="25">
    <w:name w:val="附件说明"/>
    <w:basedOn w:val="1"/>
    <w:next w:val="1"/>
    <w:uiPriority w:val="0"/>
    <w:pPr>
      <w:ind w:left="1580" w:leftChars="200" w:hanging="948" w:hangingChars="300"/>
    </w:pPr>
  </w:style>
  <w:style w:type="paragraph" w:customStyle="1" w:styleId="26">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27169;&#26495;\2023&#27169;&#26495;\&#24220;&#21150;&#21457;&#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府办发横竖.wpt</Template>
  <Pages>5</Pages>
  <Words>158</Words>
  <Characters>167</Characters>
  <Lines>1</Lines>
  <Paragraphs>1</Paragraphs>
  <TotalTime>4</TotalTime>
  <ScaleCrop>false</ScaleCrop>
  <LinksUpToDate>false</LinksUpToDate>
  <CharactersWithSpaces>184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2023-06-05T16:58:00Z</dcterms:created>
  <dc:creator>刘雪梅</dc:creator>
  <cp:lastModifiedBy>阿亮</cp:lastModifiedBy>
  <dcterms:modified xsi:type="dcterms:W3CDTF">2024-07-16T06:14:07Z</dcterms:modified>
  <dc:title>荣昌县人民政府办公室电子公文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676CD518FB854AE4A32FF91A3E543227_13</vt:lpwstr>
  </property>
</Properties>
</file>