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黑体_GBK"/>
        </w:rPr>
      </w:pPr>
      <w:bookmarkStart w:id="0" w:name="_GoBack"/>
      <w:bookmarkEnd w:id="0"/>
    </w:p>
    <w:p>
      <w:pPr>
        <w:rPr>
          <w:rFonts w:hint="eastAsia" w:ascii="宋体" w:hAnsi="宋体" w:eastAsia="方正黑体_GBK"/>
        </w:rPr>
      </w:pPr>
    </w:p>
    <w:p>
      <w:pPr>
        <w:rPr>
          <w:rFonts w:hint="eastAsia" w:ascii="宋体" w:hAnsi="宋体" w:eastAsia="方正黑体_GBK"/>
        </w:rPr>
      </w:pPr>
    </w:p>
    <w:p>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snapToGrid w:val="0"/>
        <w:spacing w:before="28" w:beforeLines="5"/>
        <w:rPr>
          <w:rFonts w:hint="eastAsia" w:ascii="宋体" w:hAnsi="宋体"/>
          <w:szCs w:val="32"/>
        </w:rPr>
      </w:pPr>
    </w:p>
    <w:p>
      <w:pPr>
        <w:rPr>
          <w:rFonts w:hint="eastAsia" w:ascii="宋体" w:hAnsi="宋体"/>
        </w:rPr>
      </w:pPr>
    </w:p>
    <w:p>
      <w:pPr>
        <w:ind w:left="0" w:leftChars="0" w:right="0" w:rightChars="0" w:firstLine="0" w:firstLineChars="0"/>
        <w:jc w:val="center"/>
        <w:rPr>
          <w:rFonts w:hint="eastAsia" w:ascii="宋体" w:hAnsi="宋体"/>
        </w:rPr>
      </w:pPr>
      <w:r>
        <w:rPr>
          <w:rFonts w:hint="eastAsia" w:ascii="宋体" w:hAnsi="宋体" w:eastAsia="方正仿宋_GBK"/>
          <w:bCs/>
          <w:szCs w:val="32"/>
        </w:rPr>
        <w:t>荣昌府办发〔</w:t>
      </w:r>
      <w:r>
        <w:rPr>
          <w:rFonts w:hint="eastAsia"/>
          <w:bCs/>
          <w:szCs w:val="32"/>
          <w:lang w:eastAsia="zh-CN"/>
        </w:rPr>
        <w:t>2024</w:t>
      </w:r>
      <w:r>
        <w:rPr>
          <w:rFonts w:hint="eastAsia" w:ascii="宋体" w:hAnsi="宋体" w:eastAsia="方正仿宋_GBK"/>
          <w:bCs/>
          <w:szCs w:val="32"/>
        </w:rPr>
        <w:t>〕</w:t>
      </w:r>
      <w:r>
        <w:rPr>
          <w:rFonts w:hint="eastAsia" w:ascii="宋体" w:hAnsi="宋体"/>
          <w:bCs/>
          <w:szCs w:val="32"/>
          <w:lang w:val="en-US" w:eastAsia="zh-CN"/>
        </w:rPr>
        <w:t>4</w:t>
      </w:r>
      <w:r>
        <w:rPr>
          <w:rFonts w:hint="eastAsia" w:ascii="宋体" w:hAnsi="宋体" w:eastAsia="方正仿宋_GBK"/>
          <w:bCs/>
          <w:szCs w:val="32"/>
        </w:rPr>
        <w:t>号</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rPr>
      </w:pPr>
      <w:r>
        <w:rPr>
          <w:rFonts w:hint="eastAsia" w:ascii="宋体" w:hAnsi="宋体" w:eastAsia="方正小标宋_GBK"/>
          <w:b/>
          <w:color w:val="FF0000"/>
          <w:w w:val="55"/>
          <w:sz w:val="108"/>
          <w:szCs w:val="108"/>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3044190</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6.55pt;margin-top:239.7pt;height:0pt;width:442.2pt;mso-position-horizontal-relative:page;mso-position-vertical-relative:margin;z-index:251659264;mso-width-relative:page;mso-height-relative:page;" filled="f" stroked="t" coordsize="21600,21600" o:gfxdata="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ydJ&#10;D9kAAAAMAQAADwAAAAAAAAABACAAAAAiAAAAZHJzL2Rvd25yZXYueG1sUEsBAhQAFAAAAAgAh07i&#10;QFMYrWToAQAA3AMAAA4AAAAAAAAAAQAgAAAAKAEAAGRycy9lMm9Eb2MueG1sUEsFBgAAAAAGAAYA&#10;WQEAAII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方正仿宋_GBK"/>
          <w:bCs/>
          <w:szCs w:val="32"/>
        </w:rPr>
      </w:pPr>
    </w:p>
    <w:p>
      <w:pPr>
        <w:pStyle w:val="3"/>
        <w:bidi w:val="0"/>
        <w:rPr>
          <w:rFonts w:hint="eastAsia"/>
          <w:lang w:val="en-US" w:eastAsia="zh-CN"/>
        </w:rPr>
      </w:pPr>
      <w:r>
        <w:rPr>
          <w:rFonts w:hint="eastAsia"/>
          <w:lang w:val="en-US" w:eastAsia="zh-CN"/>
        </w:rPr>
        <w:t>重庆市荣昌区人民政府办公室</w:t>
      </w:r>
    </w:p>
    <w:p>
      <w:pPr>
        <w:pStyle w:val="3"/>
        <w:bidi w:val="0"/>
        <w:rPr>
          <w:rFonts w:hint="eastAsia"/>
          <w:lang w:val="en-US" w:eastAsia="zh-CN"/>
        </w:rPr>
      </w:pPr>
      <w:r>
        <w:rPr>
          <w:rFonts w:hint="eastAsia"/>
          <w:lang w:val="en-US" w:eastAsia="zh-CN"/>
        </w:rPr>
        <w:t>关于印发荣昌区行政规范性文件争议协调</w:t>
      </w:r>
    </w:p>
    <w:p>
      <w:pPr>
        <w:pStyle w:val="3"/>
        <w:bidi w:val="0"/>
        <w:rPr>
          <w:rFonts w:hint="eastAsia"/>
          <w:lang w:val="en-US" w:eastAsia="zh-CN"/>
        </w:rPr>
      </w:pPr>
      <w:r>
        <w:rPr>
          <w:rFonts w:hint="eastAsia"/>
          <w:lang w:val="en-US" w:eastAsia="zh-CN"/>
        </w:rPr>
        <w:t>处理工作规则的通知</w:t>
      </w:r>
    </w:p>
    <w:p>
      <w:pPr>
        <w:bidi w:val="0"/>
        <w:rPr>
          <w:rFonts w:hint="eastAsia"/>
        </w:rPr>
      </w:pPr>
    </w:p>
    <w:p>
      <w:pPr>
        <w:bidi w:val="0"/>
        <w:ind w:left="0" w:leftChars="0" w:firstLine="0" w:firstLineChars="0"/>
        <w:rPr>
          <w:rFonts w:hint="eastAsia"/>
          <w:lang w:val="en-US" w:eastAsia="zh-CN"/>
        </w:rPr>
      </w:pPr>
      <w:r>
        <w:rPr>
          <w:rFonts w:hint="eastAsia"/>
          <w:lang w:val="en-US" w:eastAsia="zh-CN"/>
        </w:rPr>
        <w:t>各镇人民政府，各街道办事处，区政府各部门，有关单位：</w:t>
      </w:r>
    </w:p>
    <w:p>
      <w:pPr>
        <w:bidi w:val="0"/>
        <w:rPr>
          <w:rFonts w:hint="eastAsia"/>
          <w:lang w:val="en-US" w:eastAsia="zh-CN"/>
        </w:rPr>
      </w:pPr>
      <w:r>
        <w:rPr>
          <w:rFonts w:hint="eastAsia"/>
          <w:lang w:val="en-US" w:eastAsia="zh-CN"/>
        </w:rPr>
        <w:t>《荣昌区行政规范性文件争议协调处理工作规则》已经区政府同意，现印发给你们，请遵照执行。</w:t>
      </w:r>
    </w:p>
    <w:p>
      <w:pPr>
        <w:bidi w:val="0"/>
        <w:rPr>
          <w:rFonts w:hint="eastAsia"/>
        </w:rPr>
      </w:pPr>
    </w:p>
    <w:p>
      <w:pPr>
        <w:wordWrap w:val="0"/>
        <w:bidi w:val="0"/>
        <w:jc w:val="right"/>
        <w:rPr>
          <w:rFonts w:hint="default" w:eastAsia="方正仿宋_GBK"/>
          <w:lang w:val="en-US" w:eastAsia="zh-CN"/>
        </w:rPr>
      </w:pPr>
      <w:r>
        <w:t>重庆市荣昌区人民政府办公室</w:t>
      </w:r>
      <w:r>
        <w:rPr>
          <w:rFonts w:hint="eastAsia"/>
          <w:lang w:val="en-US" w:eastAsia="zh-CN"/>
        </w:rPr>
        <w:t xml:space="preserve">  </w:t>
      </w:r>
    </w:p>
    <w:p>
      <w:pPr>
        <w:wordWrap w:val="0"/>
        <w:bidi w:val="0"/>
        <w:jc w:val="right"/>
        <w:rPr>
          <w:rFonts w:hint="eastAsia" w:eastAsia="方正仿宋_GBK"/>
          <w:lang w:eastAsia="zh-CN"/>
        </w:rPr>
      </w:pPr>
      <w:r>
        <w:rPr>
          <w:rFonts w:hint="eastAsia"/>
          <w:lang w:eastAsia="zh-CN"/>
        </w:rPr>
        <w:t>2024</w:t>
      </w:r>
      <w:r>
        <w:t>年</w:t>
      </w:r>
      <w:r>
        <w:rPr>
          <w:rFonts w:hint="eastAsia"/>
          <w:lang w:val="en-US" w:eastAsia="zh-CN"/>
        </w:rPr>
        <w:t>1</w:t>
      </w:r>
      <w:r>
        <w:t>月</w:t>
      </w:r>
      <w:r>
        <w:rPr>
          <w:rFonts w:hint="eastAsia"/>
          <w:lang w:val="en-US" w:eastAsia="zh-CN"/>
        </w:rPr>
        <w:t>8</w:t>
      </w:r>
      <w:r>
        <w:t>日</w:t>
      </w:r>
      <w:r>
        <w:rPr>
          <w:rFonts w:hint="eastAsia"/>
          <w:lang w:eastAsia="zh-CN"/>
        </w:rPr>
        <w:t>　　　　</w:t>
      </w:r>
    </w:p>
    <w:p>
      <w:pPr>
        <w:widowControl/>
        <w:ind w:firstLine="640" w:firstLineChars="200"/>
        <w:jc w:val="left"/>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bidi w:val="0"/>
        <w:rPr>
          <w:rFonts w:hint="eastAsia"/>
        </w:rPr>
      </w:pPr>
    </w:p>
    <w:p>
      <w:pPr>
        <w:bidi w:val="0"/>
        <w:rPr>
          <w:rFonts w:hint="eastAsia"/>
        </w:rPr>
      </w:pPr>
    </w:p>
    <w:p>
      <w:pPr>
        <w:pStyle w:val="3"/>
        <w:bidi w:val="0"/>
        <w:rPr>
          <w:rFonts w:hint="eastAsia"/>
          <w:lang w:val="en-US" w:eastAsia="zh-CN"/>
        </w:rPr>
      </w:pPr>
      <w:r>
        <w:rPr>
          <w:rFonts w:hint="eastAsia"/>
          <w:lang w:val="en-US" w:eastAsia="zh-CN"/>
        </w:rPr>
        <w:t>荣昌区行政规范性文件争议协调处理</w:t>
      </w:r>
    </w:p>
    <w:p>
      <w:pPr>
        <w:pStyle w:val="3"/>
        <w:bidi w:val="0"/>
        <w:rPr>
          <w:rFonts w:hint="eastAsia"/>
          <w:lang w:val="en-US" w:eastAsia="zh-CN"/>
        </w:rPr>
      </w:pPr>
      <w:r>
        <w:rPr>
          <w:rFonts w:hint="eastAsia"/>
          <w:lang w:val="en-US" w:eastAsia="zh-CN"/>
        </w:rPr>
        <w:t>工作规则</w:t>
      </w:r>
    </w:p>
    <w:p>
      <w:pPr>
        <w:bidi w:val="0"/>
        <w:rPr>
          <w:lang w:val="en-US" w:eastAsia="zh-CN"/>
        </w:rPr>
      </w:pPr>
    </w:p>
    <w:p>
      <w:pPr>
        <w:bidi w:val="0"/>
        <w:rPr>
          <w:rFonts w:hint="eastAsia"/>
          <w:lang w:val="en-US" w:eastAsia="zh-CN"/>
        </w:rPr>
      </w:pPr>
      <w:r>
        <w:rPr>
          <w:rStyle w:val="18"/>
          <w:rFonts w:hint="eastAsia"/>
          <w:lang w:val="en-US" w:eastAsia="zh-CN"/>
        </w:rPr>
        <w:t xml:space="preserve">第一条  </w:t>
      </w:r>
      <w:r>
        <w:rPr>
          <w:rFonts w:hint="eastAsia"/>
          <w:lang w:val="en-US" w:eastAsia="zh-CN"/>
        </w:rPr>
        <w:t>为加强行政规范性文件管理，及时有效解决行政规范性文件制定争议，提高行政规范性文件制定效能，根据《重庆市行政规范性文件管理办法》等有关规定，结合荣昌区实际，制定本工作规则。</w:t>
      </w:r>
    </w:p>
    <w:p>
      <w:pPr>
        <w:bidi w:val="0"/>
        <w:rPr>
          <w:rFonts w:hint="eastAsia"/>
          <w:lang w:val="en-US" w:eastAsia="zh-CN"/>
        </w:rPr>
      </w:pPr>
      <w:r>
        <w:rPr>
          <w:rStyle w:val="18"/>
          <w:rFonts w:hint="eastAsia" w:cs="Times New Roman"/>
          <w:b w:val="0"/>
          <w:lang w:val="en-US" w:eastAsia="zh-CN"/>
        </w:rPr>
        <w:t xml:space="preserve">第二条  </w:t>
      </w:r>
      <w:r>
        <w:rPr>
          <w:rFonts w:hint="eastAsia"/>
          <w:lang w:val="en-US" w:eastAsia="zh-CN"/>
        </w:rPr>
        <w:t>本工作规则所称行政规范性文件（以下简称“规范性文件”）争议协调，是指对规范性文件制定过程中的争议进行协调处理的活动。</w:t>
      </w:r>
    </w:p>
    <w:p>
      <w:pPr>
        <w:bidi w:val="0"/>
        <w:rPr>
          <w:rFonts w:hint="eastAsia"/>
          <w:lang w:val="en-US" w:eastAsia="zh-CN"/>
        </w:rPr>
      </w:pPr>
      <w:r>
        <w:rPr>
          <w:rFonts w:hint="eastAsia"/>
          <w:lang w:val="en-US" w:eastAsia="zh-CN"/>
        </w:rPr>
        <w:t>协调处理活动分为自主协调处理和第三方评估协调处理。</w:t>
      </w:r>
    </w:p>
    <w:p>
      <w:pPr>
        <w:bidi w:val="0"/>
        <w:rPr>
          <w:rFonts w:hint="eastAsia"/>
          <w:lang w:val="en-US" w:eastAsia="zh-CN"/>
        </w:rPr>
      </w:pPr>
      <w:r>
        <w:rPr>
          <w:rStyle w:val="18"/>
          <w:rFonts w:hint="eastAsia" w:cs="Times New Roman"/>
          <w:b w:val="0"/>
          <w:lang w:val="en-US" w:eastAsia="zh-CN"/>
        </w:rPr>
        <w:t xml:space="preserve">第三条  </w:t>
      </w:r>
      <w:r>
        <w:rPr>
          <w:rFonts w:hint="eastAsia"/>
          <w:lang w:val="en-US" w:eastAsia="zh-CN"/>
        </w:rPr>
        <w:t>区政府领导本行政区域内规范性文件争议协调工作，区司法局承担争议协调结果执行的监督检查工作。</w:t>
      </w:r>
    </w:p>
    <w:p>
      <w:pPr>
        <w:bidi w:val="0"/>
        <w:rPr>
          <w:rFonts w:hint="eastAsia"/>
          <w:lang w:val="en-US" w:eastAsia="zh-CN"/>
        </w:rPr>
      </w:pPr>
      <w:r>
        <w:rPr>
          <w:rFonts w:hint="eastAsia"/>
          <w:lang w:val="en-US" w:eastAsia="zh-CN"/>
        </w:rPr>
        <w:t>起草单位承担具体的争议协调处理工作；规范性文件由两个及两个以上单位共同起草的，由牵头起草单位负责争议协调处理的具体工作。</w:t>
      </w:r>
    </w:p>
    <w:p>
      <w:pPr>
        <w:bidi w:val="0"/>
        <w:rPr>
          <w:rFonts w:hint="eastAsia"/>
          <w:lang w:val="en-US" w:eastAsia="zh-CN"/>
        </w:rPr>
      </w:pPr>
      <w:r>
        <w:rPr>
          <w:rStyle w:val="18"/>
          <w:rFonts w:hint="eastAsia" w:cs="Times New Roman"/>
          <w:b w:val="0"/>
          <w:lang w:val="en-US" w:eastAsia="zh-CN"/>
        </w:rPr>
        <w:t>第四条</w:t>
      </w:r>
      <w:r>
        <w:rPr>
          <w:rFonts w:hint="eastAsia"/>
          <w:lang w:val="en-US" w:eastAsia="zh-CN"/>
        </w:rPr>
        <w:t xml:space="preserve">  规范性文件存在下列情形之一，可以开展协调处理工作：</w:t>
      </w:r>
    </w:p>
    <w:p>
      <w:pPr>
        <w:bidi w:val="0"/>
        <w:rPr>
          <w:rFonts w:hint="eastAsia"/>
          <w:lang w:val="en-US" w:eastAsia="zh-CN"/>
        </w:rPr>
      </w:pPr>
      <w:r>
        <w:rPr>
          <w:rFonts w:hint="eastAsia"/>
          <w:lang w:val="en-US" w:eastAsia="zh-CN"/>
        </w:rPr>
        <w:t>（一）因规范性文件制定职责发生争议的；</w:t>
      </w:r>
    </w:p>
    <w:p>
      <w:pPr>
        <w:bidi w:val="0"/>
        <w:rPr>
          <w:rFonts w:hint="eastAsia"/>
          <w:lang w:val="en-US" w:eastAsia="zh-CN"/>
        </w:rPr>
      </w:pPr>
      <w:r>
        <w:rPr>
          <w:rFonts w:hint="eastAsia"/>
          <w:lang w:val="en-US" w:eastAsia="zh-CN"/>
        </w:rPr>
        <w:t>（二）规范性文件的调整范围存在争议的；</w:t>
      </w:r>
    </w:p>
    <w:p>
      <w:pPr>
        <w:bidi w:val="0"/>
        <w:rPr>
          <w:rFonts w:hint="eastAsia"/>
          <w:lang w:val="en-US" w:eastAsia="zh-CN"/>
        </w:rPr>
      </w:pPr>
      <w:r>
        <w:rPr>
          <w:rFonts w:hint="eastAsia"/>
          <w:lang w:val="en-US" w:eastAsia="zh-CN"/>
        </w:rPr>
        <w:t>（三）对规范性文件的主要制度和重要规范的必要性、可行性有争议的；</w:t>
      </w:r>
    </w:p>
    <w:p>
      <w:pPr>
        <w:bidi w:val="0"/>
        <w:rPr>
          <w:rFonts w:hint="eastAsia"/>
          <w:lang w:val="en-US" w:eastAsia="zh-CN"/>
        </w:rPr>
      </w:pPr>
      <w:r>
        <w:rPr>
          <w:rFonts w:hint="eastAsia"/>
          <w:lang w:val="en-US" w:eastAsia="zh-CN"/>
        </w:rPr>
        <w:t>（四）对规范性文件调整的公民、法人和其他组织权利义务关系存在争议的；</w:t>
      </w:r>
    </w:p>
    <w:p>
      <w:pPr>
        <w:bidi w:val="0"/>
        <w:rPr>
          <w:rFonts w:hint="eastAsia"/>
        </w:rPr>
      </w:pPr>
      <w:r>
        <w:rPr>
          <w:rFonts w:hint="eastAsia"/>
        </w:rPr>
        <w:t>（五）其他</w:t>
      </w:r>
      <w:r>
        <w:rPr>
          <w:rFonts w:hint="eastAsia"/>
          <w:lang w:eastAsia="zh-CN"/>
        </w:rPr>
        <w:t>规范性文件</w:t>
      </w:r>
      <w:r>
        <w:rPr>
          <w:rFonts w:hint="eastAsia"/>
        </w:rPr>
        <w:t>制定争议事项。</w:t>
      </w:r>
    </w:p>
    <w:p>
      <w:pPr>
        <w:bidi w:val="0"/>
      </w:pPr>
      <w:r>
        <w:rPr>
          <w:rStyle w:val="18"/>
          <w:rFonts w:hint="eastAsia" w:cs="Times New Roman"/>
          <w:b w:val="0"/>
          <w:lang w:val="en-US" w:eastAsia="zh-CN"/>
        </w:rPr>
        <w:t xml:space="preserve">第五条  </w:t>
      </w:r>
      <w:r>
        <w:rPr>
          <w:rFonts w:hint="eastAsia"/>
          <w:lang w:val="en-US" w:eastAsia="zh-CN"/>
        </w:rPr>
        <w:t>规范性文件</w:t>
      </w:r>
      <w:r>
        <w:rPr>
          <w:rFonts w:hint="default"/>
          <w:lang w:val="en-US" w:eastAsia="zh-CN"/>
        </w:rPr>
        <w:t>协调</w:t>
      </w:r>
      <w:r>
        <w:rPr>
          <w:rFonts w:hint="eastAsia"/>
          <w:lang w:val="en-US" w:eastAsia="zh-CN"/>
        </w:rPr>
        <w:t>责任单位在协调</w:t>
      </w:r>
      <w:r>
        <w:rPr>
          <w:rFonts w:hint="default"/>
          <w:lang w:val="en-US" w:eastAsia="zh-CN"/>
        </w:rPr>
        <w:t>时应当充分听取各方面意见。参加协调的有关单位应当出具书面意见，说明理由和依据。在规定时间内不出具书面意见且未说明原因的，视为无意见。在协调过程中，参加协调的同一单位对其提出的书面意见有新的意见，应当再次出具书面意见，并说明变更的理由和依据。</w:t>
      </w:r>
    </w:p>
    <w:p>
      <w:pPr>
        <w:bidi w:val="0"/>
        <w:rPr>
          <w:rFonts w:hint="eastAsia"/>
        </w:rPr>
      </w:pPr>
      <w:r>
        <w:rPr>
          <w:rFonts w:hint="default"/>
          <w:lang w:val="en-US" w:eastAsia="zh-CN"/>
        </w:rPr>
        <w:t>负责协调的</w:t>
      </w:r>
      <w:r>
        <w:rPr>
          <w:rFonts w:hint="eastAsia"/>
          <w:lang w:val="en-US" w:eastAsia="zh-CN"/>
        </w:rPr>
        <w:t>责任</w:t>
      </w:r>
      <w:r>
        <w:rPr>
          <w:rFonts w:hint="default"/>
          <w:lang w:val="en-US" w:eastAsia="zh-CN"/>
        </w:rPr>
        <w:t>单位进行协调</w:t>
      </w:r>
      <w:r>
        <w:rPr>
          <w:rFonts w:hint="eastAsia"/>
          <w:lang w:val="en-US" w:eastAsia="zh-CN"/>
        </w:rPr>
        <w:t>时</w:t>
      </w:r>
      <w:r>
        <w:rPr>
          <w:rFonts w:hint="default"/>
          <w:lang w:val="en-US" w:eastAsia="zh-CN"/>
        </w:rPr>
        <w:t>应当做好协调记录，必要时形成协调纪要。</w:t>
      </w:r>
    </w:p>
    <w:p>
      <w:pPr>
        <w:bidi w:val="0"/>
        <w:rPr>
          <w:rFonts w:hint="eastAsia"/>
          <w:lang w:val="en-US" w:eastAsia="zh-CN"/>
        </w:rPr>
      </w:pPr>
      <w:r>
        <w:rPr>
          <w:rStyle w:val="18"/>
          <w:rFonts w:hint="eastAsia" w:cs="Times New Roman"/>
          <w:b w:val="0"/>
          <w:lang w:val="en-US" w:eastAsia="zh-CN"/>
        </w:rPr>
        <w:t>第六条</w:t>
      </w:r>
      <w:r>
        <w:rPr>
          <w:rFonts w:hint="eastAsia"/>
          <w:lang w:val="en-US" w:eastAsia="zh-CN"/>
        </w:rPr>
        <w:t xml:space="preserve">  规范性文件起草单位可以选择自主协调处理，也可以委托教学科研单位、社会组织等第三方开展评估协调处理。</w:t>
      </w:r>
    </w:p>
    <w:p>
      <w:pPr>
        <w:bidi w:val="0"/>
        <w:rPr>
          <w:rFonts w:hint="eastAsia"/>
          <w:lang w:val="en-US" w:eastAsia="zh-CN"/>
        </w:rPr>
      </w:pPr>
      <w:r>
        <w:rPr>
          <w:rStyle w:val="18"/>
          <w:rFonts w:hint="eastAsia" w:cs="Times New Roman"/>
          <w:b w:val="0"/>
          <w:lang w:val="en-US" w:eastAsia="zh-CN"/>
        </w:rPr>
        <w:t>第七条</w:t>
      </w:r>
      <w:r>
        <w:rPr>
          <w:rFonts w:hint="eastAsia"/>
          <w:lang w:val="en-US" w:eastAsia="zh-CN"/>
        </w:rPr>
        <w:t xml:space="preserve">  自主协调处理由规范性文件起草单位负责具体工作，可以采取召开座谈会、书面协商、调查论证等方式进行协商，必要时组织相关单位负责人参加协调会议，或者邀请相关专家、政府法律顾问等对争议事项进行论证。</w:t>
      </w:r>
    </w:p>
    <w:p>
      <w:pPr>
        <w:bidi w:val="0"/>
        <w:rPr>
          <w:rFonts w:hint="eastAsia"/>
          <w:lang w:val="en-US" w:eastAsia="zh-CN"/>
        </w:rPr>
      </w:pPr>
      <w:r>
        <w:rPr>
          <w:rFonts w:hint="eastAsia"/>
          <w:lang w:val="en-US" w:eastAsia="zh-CN"/>
        </w:rPr>
        <w:t>规范性文件制定机关在依据法律、法规、规章制定规范性文件过程中发生的涉及“三定”方案的争议，应征求区委编办意见。</w:t>
      </w:r>
    </w:p>
    <w:p>
      <w:pPr>
        <w:bidi w:val="0"/>
        <w:rPr>
          <w:rFonts w:hint="eastAsia"/>
          <w:lang w:val="en-US" w:eastAsia="zh-CN"/>
        </w:rPr>
      </w:pPr>
      <w:r>
        <w:rPr>
          <w:rFonts w:hint="eastAsia"/>
          <w:lang w:val="en-US" w:eastAsia="zh-CN"/>
        </w:rPr>
        <w:t>自主协调处理中的论证工作可以与规范性文件专家论证工作一并开展。</w:t>
      </w:r>
    </w:p>
    <w:p>
      <w:pPr>
        <w:bidi w:val="0"/>
        <w:rPr>
          <w:rFonts w:hint="eastAsia"/>
          <w:lang w:val="en-US" w:eastAsia="zh-CN"/>
        </w:rPr>
      </w:pPr>
      <w:r>
        <w:rPr>
          <w:rStyle w:val="18"/>
          <w:rFonts w:hint="eastAsia" w:cs="Times New Roman"/>
          <w:b w:val="0"/>
          <w:lang w:val="en-US" w:eastAsia="zh-CN"/>
        </w:rPr>
        <w:t>第八条</w:t>
      </w:r>
      <w:r>
        <w:rPr>
          <w:rFonts w:hint="eastAsia"/>
          <w:lang w:val="en-US" w:eastAsia="zh-CN"/>
        </w:rPr>
        <w:t xml:space="preserve">  第三方评估协调由规范性文件起草单位依法进行委托，根据工作需要，可以将委托事项委托给1至3家第三方进行评估。</w:t>
      </w:r>
    </w:p>
    <w:p>
      <w:pPr>
        <w:bidi w:val="0"/>
        <w:rPr>
          <w:rFonts w:hint="eastAsia"/>
          <w:lang w:val="en-US" w:eastAsia="zh-CN"/>
        </w:rPr>
      </w:pPr>
      <w:r>
        <w:rPr>
          <w:rFonts w:hint="eastAsia"/>
          <w:lang w:val="en-US" w:eastAsia="zh-CN"/>
        </w:rPr>
        <w:t>选择第三方时，应当做到公开、透明，并与受委托的第三方签订委托协议，提出具体委托事项和要求。</w:t>
      </w:r>
    </w:p>
    <w:p>
      <w:pPr>
        <w:bidi w:val="0"/>
        <w:rPr>
          <w:rFonts w:hint="eastAsia"/>
          <w:lang w:val="en-US" w:eastAsia="zh-CN"/>
        </w:rPr>
      </w:pPr>
      <w:r>
        <w:rPr>
          <w:rFonts w:hint="eastAsia"/>
          <w:lang w:val="en-US" w:eastAsia="zh-CN"/>
        </w:rPr>
        <w:t>受委托的第三方不得将评估工作转委托给其他机构或者个人。</w:t>
      </w:r>
    </w:p>
    <w:p>
      <w:pPr>
        <w:bidi w:val="0"/>
        <w:rPr>
          <w:rFonts w:hint="eastAsia"/>
          <w:lang w:val="en-US" w:eastAsia="zh-CN"/>
        </w:rPr>
      </w:pPr>
      <w:r>
        <w:rPr>
          <w:rFonts w:hint="eastAsia"/>
          <w:lang w:val="en-US" w:eastAsia="zh-CN"/>
        </w:rPr>
        <w:t>委托第三方开展评估的，根据评估任务工作量、难易程度等情况合理确定评估经费，在委托协议中作出具体规定。</w:t>
      </w:r>
    </w:p>
    <w:p>
      <w:pPr>
        <w:bidi w:val="0"/>
        <w:rPr>
          <w:rFonts w:hint="eastAsia"/>
          <w:lang w:val="en-US" w:eastAsia="zh-CN"/>
        </w:rPr>
      </w:pPr>
      <w:r>
        <w:rPr>
          <w:rStyle w:val="18"/>
          <w:rFonts w:hint="eastAsia" w:cs="Times New Roman"/>
          <w:b w:val="0"/>
          <w:lang w:val="en-US" w:eastAsia="zh-CN"/>
        </w:rPr>
        <w:t>第九条</w:t>
      </w:r>
      <w:r>
        <w:rPr>
          <w:rFonts w:hint="eastAsia"/>
          <w:lang w:val="en-US" w:eastAsia="zh-CN"/>
        </w:rPr>
        <w:t xml:space="preserve">  委托第三方评估，按照以下程序进行：</w:t>
      </w:r>
    </w:p>
    <w:p>
      <w:pPr>
        <w:bidi w:val="0"/>
        <w:rPr>
          <w:rFonts w:hint="eastAsia"/>
          <w:lang w:val="en-US" w:eastAsia="zh-CN"/>
        </w:rPr>
      </w:pPr>
      <w:r>
        <w:rPr>
          <w:rFonts w:hint="eastAsia"/>
          <w:lang w:val="en-US" w:eastAsia="zh-CN"/>
        </w:rPr>
        <w:t>（一）选择评估主体。根据评估事项确定条件要求，择优选定第三方，签订委托协议。</w:t>
      </w:r>
    </w:p>
    <w:p>
      <w:pPr>
        <w:bidi w:val="0"/>
        <w:rPr>
          <w:rFonts w:hint="eastAsia"/>
          <w:lang w:val="en-US" w:eastAsia="zh-CN"/>
        </w:rPr>
      </w:pPr>
      <w:r>
        <w:rPr>
          <w:rFonts w:hint="eastAsia"/>
          <w:lang w:val="en-US" w:eastAsia="zh-CN"/>
        </w:rPr>
        <w:t>（二）制定评估方案。第三方按照委托协议的要求提出评估方案，确定评估步骤和标准，明确评估方法。评估方案经委托方审核同意后，由评估方组织实施。</w:t>
      </w:r>
    </w:p>
    <w:p>
      <w:pPr>
        <w:bidi w:val="0"/>
        <w:rPr>
          <w:rFonts w:hint="eastAsia"/>
          <w:lang w:val="en-US" w:eastAsia="zh-CN"/>
        </w:rPr>
      </w:pPr>
      <w:r>
        <w:rPr>
          <w:rFonts w:hint="eastAsia"/>
          <w:lang w:val="en-US" w:eastAsia="zh-CN"/>
        </w:rPr>
        <w:t>（三）开展科学评估。第三方按照评估方案收集与评估事项相关的信息资料，归纳基本情况，进行研究论证，形成评估报告。</w:t>
      </w:r>
    </w:p>
    <w:p>
      <w:pPr>
        <w:bidi w:val="0"/>
        <w:rPr>
          <w:rFonts w:hint="eastAsia"/>
          <w:lang w:val="en-US" w:eastAsia="zh-CN"/>
        </w:rPr>
      </w:pPr>
      <w:r>
        <w:rPr>
          <w:rFonts w:hint="eastAsia"/>
          <w:lang w:val="en-US" w:eastAsia="zh-CN"/>
        </w:rPr>
        <w:t>（四）验收评估成果。委托方对第三方开展评估的情况及其成果进行验收，第三方应严格按照评估方案确定的评估步骤、标准和方法进行评估。验收中发现不符合评估方案要求的，应当要求第三方限期补充评估或者重新进行评估。逾期仍未能通过验收的，委托方可以终止协议。</w:t>
      </w:r>
    </w:p>
    <w:p>
      <w:pPr>
        <w:bidi w:val="0"/>
        <w:rPr>
          <w:rFonts w:hint="eastAsia"/>
          <w:lang w:val="en-US" w:eastAsia="zh-CN"/>
        </w:rPr>
      </w:pPr>
      <w:r>
        <w:rPr>
          <w:rFonts w:hint="eastAsia"/>
          <w:lang w:val="en-US" w:eastAsia="zh-CN"/>
        </w:rPr>
        <w:t>（五）交付评估成果。对符合约定要求的评估成果履行成果交接、评估经费支付等手续。委托方应当加强对评估经费的管理，评估经费的拨付应当按照有关财务管理规定严格审批。</w:t>
      </w:r>
    </w:p>
    <w:p>
      <w:pPr>
        <w:bidi w:val="0"/>
        <w:rPr>
          <w:rFonts w:hint="eastAsia"/>
          <w:lang w:val="en-US" w:eastAsia="zh-CN"/>
        </w:rPr>
      </w:pPr>
      <w:r>
        <w:rPr>
          <w:rStyle w:val="18"/>
          <w:rFonts w:hint="eastAsia" w:cs="Times New Roman"/>
          <w:b w:val="0"/>
          <w:lang w:val="en-US" w:eastAsia="zh-CN"/>
        </w:rPr>
        <w:t>第十条</w:t>
      </w:r>
      <w:r>
        <w:rPr>
          <w:rFonts w:hint="eastAsia"/>
          <w:lang w:val="en-US" w:eastAsia="zh-CN"/>
        </w:rPr>
        <w:t xml:space="preserve">  第三方可以根据评估需要，采取问卷调查、个案分析、比较分析、成本效益分析等方法进行评估，形成第三方评估报告。</w:t>
      </w:r>
    </w:p>
    <w:p>
      <w:pPr>
        <w:bidi w:val="0"/>
        <w:rPr>
          <w:rFonts w:hint="eastAsia"/>
          <w:lang w:val="en-US" w:eastAsia="zh-CN"/>
        </w:rPr>
      </w:pPr>
      <w:r>
        <w:rPr>
          <w:rFonts w:hint="eastAsia"/>
          <w:lang w:val="en-US" w:eastAsia="zh-CN"/>
        </w:rPr>
        <w:t>第三方评估报告应当包括以下内容：</w:t>
      </w:r>
    </w:p>
    <w:p>
      <w:pPr>
        <w:bidi w:val="0"/>
        <w:rPr>
          <w:rFonts w:hint="eastAsia"/>
          <w:lang w:val="en-US" w:eastAsia="zh-CN"/>
        </w:rPr>
      </w:pPr>
      <w:r>
        <w:rPr>
          <w:rFonts w:hint="eastAsia"/>
          <w:lang w:val="en-US" w:eastAsia="zh-CN"/>
        </w:rPr>
        <w:t>（一）评估工作的基本情况；</w:t>
      </w:r>
    </w:p>
    <w:p>
      <w:pPr>
        <w:bidi w:val="0"/>
        <w:rPr>
          <w:rFonts w:hint="eastAsia"/>
          <w:lang w:val="en-US" w:eastAsia="zh-CN"/>
        </w:rPr>
      </w:pPr>
      <w:r>
        <w:rPr>
          <w:rFonts w:hint="eastAsia"/>
          <w:lang w:val="en-US" w:eastAsia="zh-CN"/>
        </w:rPr>
        <w:t>（二）评估内容分析和依据；</w:t>
      </w:r>
    </w:p>
    <w:p>
      <w:pPr>
        <w:bidi w:val="0"/>
        <w:rPr>
          <w:rFonts w:hint="eastAsia"/>
          <w:lang w:val="en-US" w:eastAsia="zh-CN"/>
        </w:rPr>
      </w:pPr>
      <w:r>
        <w:rPr>
          <w:rFonts w:hint="eastAsia"/>
          <w:lang w:val="en-US" w:eastAsia="zh-CN"/>
        </w:rPr>
        <w:t>（三）评估结论及意见建议；</w:t>
      </w:r>
    </w:p>
    <w:p>
      <w:pPr>
        <w:bidi w:val="0"/>
        <w:rPr>
          <w:rFonts w:hint="eastAsia"/>
          <w:lang w:val="en-US" w:eastAsia="zh-CN"/>
        </w:rPr>
      </w:pPr>
      <w:r>
        <w:rPr>
          <w:rFonts w:hint="eastAsia"/>
          <w:lang w:val="en-US" w:eastAsia="zh-CN"/>
        </w:rPr>
        <w:t>（四）参加评估人员的签名和评估机构盖章；</w:t>
      </w:r>
    </w:p>
    <w:p>
      <w:pPr>
        <w:bidi w:val="0"/>
        <w:rPr>
          <w:rFonts w:hint="eastAsia"/>
          <w:lang w:val="en-US" w:eastAsia="zh-CN"/>
        </w:rPr>
      </w:pPr>
      <w:r>
        <w:rPr>
          <w:rFonts w:hint="eastAsia"/>
          <w:lang w:val="en-US" w:eastAsia="zh-CN"/>
        </w:rPr>
        <w:t>（五）其他需要说明的问题。</w:t>
      </w:r>
    </w:p>
    <w:p>
      <w:pPr>
        <w:bidi w:val="0"/>
        <w:rPr>
          <w:rFonts w:hint="eastAsia"/>
          <w:lang w:val="en-US" w:eastAsia="zh-CN"/>
        </w:rPr>
      </w:pPr>
      <w:r>
        <w:rPr>
          <w:rStyle w:val="18"/>
          <w:rFonts w:hint="eastAsia" w:cs="Times New Roman"/>
          <w:b w:val="0"/>
          <w:lang w:val="en-US" w:eastAsia="zh-CN"/>
        </w:rPr>
        <w:t>第十一条</w:t>
      </w:r>
      <w:r>
        <w:rPr>
          <w:rFonts w:hint="eastAsia"/>
          <w:lang w:val="en-US" w:eastAsia="zh-CN"/>
        </w:rPr>
        <w:t xml:space="preserve">  第三方开展评估工作，应当做到依法、客观、独立、公正，不得进行可能影响评估合法性、客观性、独立性、公正性的活动，不得弄虚作假和抄袭剽窃。</w:t>
      </w:r>
    </w:p>
    <w:p>
      <w:pPr>
        <w:bidi w:val="0"/>
        <w:rPr>
          <w:rFonts w:hint="eastAsia"/>
          <w:lang w:val="en-US" w:eastAsia="zh-CN"/>
        </w:rPr>
      </w:pPr>
      <w:r>
        <w:rPr>
          <w:rFonts w:hint="eastAsia"/>
          <w:lang w:val="en-US" w:eastAsia="zh-CN"/>
        </w:rPr>
        <w:t>有违规违约行为经查证属实的，委托方可以根据情况，采取要求改正、取消委托等办法处理。</w:t>
      </w:r>
    </w:p>
    <w:p>
      <w:pPr>
        <w:bidi w:val="0"/>
        <w:rPr>
          <w:rFonts w:hint="eastAsia"/>
          <w:lang w:val="en-US" w:eastAsia="zh-CN"/>
        </w:rPr>
      </w:pPr>
      <w:r>
        <w:rPr>
          <w:rStyle w:val="18"/>
          <w:rFonts w:hint="eastAsia" w:cs="Times New Roman"/>
          <w:b w:val="0"/>
          <w:lang w:val="en-US" w:eastAsia="zh-CN"/>
        </w:rPr>
        <w:t>第十二条</w:t>
      </w:r>
      <w:r>
        <w:rPr>
          <w:rFonts w:hint="eastAsia"/>
          <w:lang w:val="en-US" w:eastAsia="zh-CN"/>
        </w:rPr>
        <w:t xml:space="preserve">  起草单位应组织相关单位，对采纳第三方评估报告情况进行研究。</w:t>
      </w:r>
    </w:p>
    <w:p>
      <w:pPr>
        <w:bidi w:val="0"/>
        <w:rPr>
          <w:rFonts w:hint="eastAsia"/>
          <w:lang w:val="en-US" w:eastAsia="zh-CN"/>
        </w:rPr>
      </w:pPr>
      <w:r>
        <w:rPr>
          <w:rStyle w:val="18"/>
          <w:rFonts w:hint="eastAsia" w:cs="Times New Roman"/>
          <w:b w:val="0"/>
          <w:lang w:val="en-US" w:eastAsia="zh-CN"/>
        </w:rPr>
        <w:t>第十三条</w:t>
      </w:r>
      <w:r>
        <w:rPr>
          <w:rFonts w:hint="eastAsia"/>
          <w:lang w:val="en-US" w:eastAsia="zh-CN"/>
        </w:rPr>
        <w:t xml:space="preserve">  规范性文件争议协调和处理情况，应当在起草说明中载明。</w:t>
      </w:r>
    </w:p>
    <w:p>
      <w:pPr>
        <w:bidi w:val="0"/>
        <w:rPr>
          <w:rFonts w:hint="eastAsia"/>
          <w:lang w:val="en-US" w:eastAsia="zh-CN"/>
        </w:rPr>
      </w:pPr>
      <w:r>
        <w:rPr>
          <w:rFonts w:hint="eastAsia"/>
          <w:lang w:val="en-US" w:eastAsia="zh-CN"/>
        </w:rPr>
        <w:t>经协调，相关单位仍不能达成形成一致意见的，由起草单位报请共同的上级行政机关决定，必要时向本级党委请示报告。</w:t>
      </w:r>
    </w:p>
    <w:p>
      <w:pPr>
        <w:bidi w:val="0"/>
        <w:rPr>
          <w:rFonts w:hint="eastAsia"/>
          <w:lang w:val="en-US" w:eastAsia="zh-CN"/>
        </w:rPr>
      </w:pPr>
      <w:r>
        <w:rPr>
          <w:rFonts w:hint="eastAsia"/>
          <w:lang w:val="en-US" w:eastAsia="zh-CN"/>
        </w:rPr>
        <w:t>协调结果应符合法律、法规、规章等规定，不得损害公民、法人和其他组织合法权益。</w:t>
      </w:r>
    </w:p>
    <w:p>
      <w:pPr>
        <w:bidi w:val="0"/>
        <w:rPr>
          <w:rFonts w:hint="eastAsia"/>
          <w:lang w:val="en-US" w:eastAsia="zh-CN"/>
        </w:rPr>
      </w:pPr>
      <w:r>
        <w:rPr>
          <w:rStyle w:val="18"/>
          <w:rFonts w:hint="eastAsia" w:cs="Times New Roman"/>
          <w:b w:val="0"/>
          <w:lang w:val="en-US" w:eastAsia="zh-CN"/>
        </w:rPr>
        <w:t>第十四条</w:t>
      </w:r>
      <w:r>
        <w:rPr>
          <w:rFonts w:hint="eastAsia"/>
          <w:lang w:val="en-US" w:eastAsia="zh-CN"/>
        </w:rPr>
        <w:t xml:space="preserve">  自主协调处理时间原则上不超过30日，第三方评估协调处理时间原则上不超过60日。</w:t>
      </w:r>
    </w:p>
    <w:p>
      <w:pPr>
        <w:bidi w:val="0"/>
        <w:rPr>
          <w:rFonts w:hint="eastAsia"/>
          <w:lang w:val="en-US" w:eastAsia="zh-CN"/>
        </w:rPr>
      </w:pPr>
      <w:r>
        <w:rPr>
          <w:rStyle w:val="18"/>
          <w:rFonts w:hint="eastAsia" w:cs="Times New Roman"/>
          <w:b w:val="0"/>
          <w:lang w:val="en-US" w:eastAsia="zh-CN"/>
        </w:rPr>
        <w:t xml:space="preserve">第十五条 </w:t>
      </w:r>
      <w:r>
        <w:rPr>
          <w:rFonts w:hint="eastAsia"/>
          <w:lang w:val="en-US" w:eastAsia="zh-CN"/>
        </w:rPr>
        <w:t xml:space="preserve"> 起草单位应在协调处理结果形成后7个工作日内，将协调处理情况书面报送区司法局。</w:t>
      </w:r>
    </w:p>
    <w:p>
      <w:pPr>
        <w:bidi w:val="0"/>
        <w:rPr>
          <w:rFonts w:hint="eastAsia"/>
          <w:lang w:val="en-US" w:eastAsia="zh-CN"/>
        </w:rPr>
      </w:pPr>
      <w:r>
        <w:rPr>
          <w:rStyle w:val="18"/>
          <w:rFonts w:hint="eastAsia" w:cs="Times New Roman"/>
          <w:b w:val="0"/>
          <w:lang w:val="en-US" w:eastAsia="zh-CN"/>
        </w:rPr>
        <w:t xml:space="preserve">第十六条 </w:t>
      </w:r>
      <w:r>
        <w:rPr>
          <w:rFonts w:hint="eastAsia"/>
          <w:lang w:val="en-US" w:eastAsia="zh-CN"/>
        </w:rPr>
        <w:t xml:space="preserve"> 相关单位应当积极配合、协助规范性文件争议协调处理工作，自觉执行协调结果。</w:t>
      </w:r>
    </w:p>
    <w:p>
      <w:pPr>
        <w:bidi w:val="0"/>
        <w:rPr>
          <w:rFonts w:hint="eastAsia"/>
          <w:lang w:val="en-US" w:eastAsia="zh-CN"/>
        </w:rPr>
      </w:pPr>
      <w:r>
        <w:rPr>
          <w:rStyle w:val="18"/>
          <w:rFonts w:hint="eastAsia" w:cs="Times New Roman"/>
          <w:b w:val="0"/>
          <w:lang w:val="en-US" w:eastAsia="zh-CN"/>
        </w:rPr>
        <w:t xml:space="preserve">第十七条 </w:t>
      </w:r>
      <w:r>
        <w:rPr>
          <w:rFonts w:hint="eastAsia"/>
          <w:lang w:val="en-US" w:eastAsia="zh-CN"/>
        </w:rPr>
        <w:t xml:space="preserve"> 评估事项涉及的规范性文件印发实施后，起草单位可以根据需要，将第三方评估报告向社会公开，涉及国家秘密、商业秘密或者个人隐私的除外。</w:t>
      </w:r>
    </w:p>
    <w:p>
      <w:pPr>
        <w:bidi w:val="0"/>
        <w:rPr>
          <w:rFonts w:hint="eastAsia"/>
          <w:lang w:val="en-US" w:eastAsia="zh-CN"/>
        </w:rPr>
      </w:pPr>
      <w:r>
        <w:rPr>
          <w:rFonts w:hint="eastAsia"/>
          <w:lang w:val="en-US" w:eastAsia="zh-CN"/>
        </w:rPr>
        <w:t>参加第三方评估工作的单位及个人，对在评估工作中知悉的国家秘密、商业秘密和个人隐私，应当予以保密。</w:t>
      </w:r>
    </w:p>
    <w:p>
      <w:pPr>
        <w:bidi w:val="0"/>
        <w:rPr>
          <w:rFonts w:hint="eastAsia"/>
          <w:lang w:val="en-US" w:eastAsia="zh-CN"/>
        </w:rPr>
      </w:pPr>
      <w:r>
        <w:rPr>
          <w:rFonts w:hint="eastAsia"/>
          <w:lang w:val="en-US" w:eastAsia="zh-CN"/>
        </w:rPr>
        <w:t>第三方未经委托方同意，不得对外披露评估情况，不得公开或对外引用评估报告。</w:t>
      </w:r>
    </w:p>
    <w:p>
      <w:pPr>
        <w:bidi w:val="0"/>
        <w:rPr>
          <w:rFonts w:hint="eastAsia"/>
          <w:lang w:val="en-US" w:eastAsia="zh-CN"/>
        </w:rPr>
      </w:pPr>
      <w:r>
        <w:rPr>
          <w:rStyle w:val="18"/>
          <w:rFonts w:hint="eastAsia" w:cs="Times New Roman"/>
          <w:b w:val="0"/>
          <w:lang w:val="en-US" w:eastAsia="zh-CN"/>
        </w:rPr>
        <w:t>第十八条</w:t>
      </w:r>
      <w:r>
        <w:rPr>
          <w:rFonts w:hint="eastAsia"/>
          <w:lang w:val="en-US" w:eastAsia="zh-CN"/>
        </w:rPr>
        <w:t xml:space="preserve">  下列行为之一的，由有权机关依法依纪对协调处理机关主要负责人和直接责任人进行处理；涉嫌犯罪的，依法移送司法机关追究刑事责任：</w:t>
      </w:r>
    </w:p>
    <w:p>
      <w:pPr>
        <w:bidi w:val="0"/>
        <w:rPr>
          <w:rFonts w:hint="eastAsia"/>
          <w:lang w:val="en-US" w:eastAsia="zh-CN"/>
        </w:rPr>
      </w:pPr>
      <w:r>
        <w:rPr>
          <w:rFonts w:hint="eastAsia"/>
          <w:lang w:val="en-US" w:eastAsia="zh-CN"/>
        </w:rPr>
        <w:t>（一）协调结果严重失实，导致区政府决策失误的；</w:t>
      </w:r>
    </w:p>
    <w:p>
      <w:pPr>
        <w:bidi w:val="0"/>
        <w:rPr>
          <w:rFonts w:hint="eastAsia"/>
          <w:lang w:val="en-US" w:eastAsia="zh-CN"/>
        </w:rPr>
      </w:pPr>
      <w:r>
        <w:rPr>
          <w:rFonts w:hint="eastAsia"/>
          <w:lang w:val="en-US" w:eastAsia="zh-CN"/>
        </w:rPr>
        <w:t>（二）未按规定开展协调处理工作，导致规范性文件失效造成严重后果的；</w:t>
      </w:r>
    </w:p>
    <w:p>
      <w:pPr>
        <w:bidi w:val="0"/>
        <w:rPr>
          <w:rFonts w:hint="eastAsia"/>
          <w:lang w:val="en-US" w:eastAsia="zh-CN"/>
        </w:rPr>
      </w:pPr>
      <w:r>
        <w:rPr>
          <w:rFonts w:hint="eastAsia"/>
          <w:lang w:val="en-US" w:eastAsia="zh-CN"/>
        </w:rPr>
        <w:t>（三）未按规定对涉及国家秘密、商业秘密和个人隐私依法予以保密的；</w:t>
      </w:r>
    </w:p>
    <w:p>
      <w:pPr>
        <w:bidi w:val="0"/>
        <w:rPr>
          <w:rFonts w:hint="eastAsia"/>
          <w:lang w:val="en-US" w:eastAsia="zh-CN"/>
        </w:rPr>
      </w:pPr>
      <w:r>
        <w:rPr>
          <w:rFonts w:hint="eastAsia"/>
          <w:lang w:val="en-US" w:eastAsia="zh-CN"/>
        </w:rPr>
        <w:t>（四）按规定应当追究责任的其它情形。</w:t>
      </w:r>
    </w:p>
    <w:p>
      <w:pPr>
        <w:bidi w:val="0"/>
        <w:rPr>
          <w:rFonts w:hint="eastAsia"/>
          <w:lang w:val="en-US" w:eastAsia="zh-CN"/>
        </w:rPr>
      </w:pPr>
      <w:r>
        <w:rPr>
          <w:rStyle w:val="18"/>
          <w:rFonts w:hint="eastAsia" w:cs="Times New Roman"/>
          <w:b w:val="0"/>
          <w:lang w:val="en-US" w:eastAsia="zh-CN"/>
        </w:rPr>
        <w:t>第十九条</w:t>
      </w:r>
      <w:r>
        <w:rPr>
          <w:rFonts w:hint="eastAsia"/>
          <w:lang w:val="en-US" w:eastAsia="zh-CN"/>
        </w:rPr>
        <w:t xml:space="preserve">  委托第三方评估所需经费，按照国家有关预算管理的规定列支。</w:t>
      </w:r>
    </w:p>
    <w:p>
      <w:pPr>
        <w:bidi w:val="0"/>
        <w:rPr>
          <w:rFonts w:hint="eastAsia"/>
          <w:lang w:val="en-US" w:eastAsia="zh-CN"/>
        </w:rPr>
      </w:pPr>
      <w:r>
        <w:rPr>
          <w:rStyle w:val="18"/>
          <w:rFonts w:hint="eastAsia" w:cs="Times New Roman"/>
          <w:b w:val="0"/>
          <w:lang w:val="en-US" w:eastAsia="zh-CN"/>
        </w:rPr>
        <w:t xml:space="preserve">第二十条 </w:t>
      </w:r>
      <w:r>
        <w:rPr>
          <w:rFonts w:hint="eastAsia"/>
          <w:lang w:val="en-US" w:eastAsia="zh-CN"/>
        </w:rPr>
        <w:t xml:space="preserve"> 本工作规则自印发之日起施行。原《重庆市荣昌区人民政府办公室关于印发荣昌区行政规范性文件争议协调处理工作规则的通知》（荣昌府办发〔2023〕17号）同时废止。</w:t>
      </w:r>
    </w:p>
    <w:p>
      <w:pPr>
        <w:bidi w:val="0"/>
        <w:rPr>
          <w:rFonts w:hint="eastAsia"/>
        </w:rPr>
      </w:pPr>
      <w:r>
        <w:rPr>
          <w:rFonts w:hint="eastAsia"/>
        </w:rPr>
        <w:br w:type="page"/>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rPr>
          <w:rFonts w:hint="eastAsia" w:ascii="宋体" w:hAnsi="宋体" w:eastAsia="方正黑体_GBK"/>
          <w:szCs w:val="32"/>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方正黑体_GBK"/>
          <w:szCs w:val="32"/>
        </w:rPr>
      </w:pPr>
    </w:p>
    <w:p>
      <w:pPr>
        <w:pBdr>
          <w:top w:val="single" w:color="auto" w:sz="8" w:space="1"/>
        </w:pBdr>
        <w:adjustRightInd w:val="0"/>
        <w:ind w:left="140" w:hanging="140" w:hangingChars="50"/>
        <w:rPr>
          <w:rFonts w:hint="eastAsia" w:ascii="宋体" w:hAnsi="宋体" w:eastAsia="方正仿宋_GBK"/>
          <w:sz w:val="28"/>
          <w:szCs w:val="28"/>
        </w:rPr>
      </w:pPr>
      <w:r>
        <w:rPr>
          <w:rFonts w:hint="eastAsia" w:ascii="宋体" w:hAnsi="宋体" w:eastAsia="方正仿宋_GBK"/>
          <w:sz w:val="28"/>
          <w:szCs w:val="28"/>
        </w:rPr>
        <w:t>　抄送：区纪委监委机关，区法院，区检察院，区人武部，区委办公室，</w:t>
      </w:r>
    </w:p>
    <w:p>
      <w:pPr>
        <w:adjustRightInd w:val="0"/>
        <w:ind w:left="141" w:leftChars="44" w:firstLine="980" w:firstLineChars="350"/>
        <w:rPr>
          <w:rFonts w:hint="eastAsia" w:ascii="宋体" w:hAnsi="宋体" w:eastAsia="方正仿宋_GBK"/>
          <w:sz w:val="28"/>
          <w:szCs w:val="28"/>
        </w:rPr>
      </w:pPr>
      <w:r>
        <w:rPr>
          <w:rFonts w:hint="eastAsia" w:ascii="宋体" w:hAnsi="宋体" w:eastAsia="方正仿宋_GBK"/>
          <w:sz w:val="28"/>
          <w:szCs w:val="28"/>
        </w:rPr>
        <w:t>区人大办公室，区政协办公室。</w:t>
      </w:r>
    </w:p>
    <w:p>
      <w:pPr>
        <w:pBdr>
          <w:top w:val="single" w:color="auto" w:sz="6" w:space="1"/>
          <w:bottom w:val="single" w:color="auto" w:sz="8" w:space="1"/>
        </w:pBdr>
        <w:tabs>
          <w:tab w:val="right" w:pos="8844"/>
        </w:tabs>
        <w:adjustRightInd w:val="0"/>
        <w:ind w:firstLine="280" w:firstLineChars="100"/>
        <w:rPr>
          <w:rFonts w:hint="eastAsia"/>
          <w:lang w:val="en-US" w:eastAsia="zh-CN"/>
        </w:rPr>
      </w:pPr>
      <w:r>
        <w:rPr>
          <w:rFonts w:hint="eastAsia" w:ascii="宋体" w:hAnsi="宋体" w:eastAsia="方正仿宋_GBK"/>
          <w:sz w:val="28"/>
          <w:szCs w:val="28"/>
        </w:rPr>
        <w:t>重庆市荣昌区人民政府办公室　　　　　　　</w:t>
      </w:r>
      <w:r>
        <w:rPr>
          <w:rFonts w:hint="eastAsia"/>
          <w:sz w:val="28"/>
          <w:szCs w:val="28"/>
          <w:lang w:eastAsia="zh-CN"/>
        </w:rPr>
        <w:t>2024</w:t>
      </w:r>
      <w:r>
        <w:rPr>
          <w:rFonts w:hint="eastAsia" w:ascii="宋体" w:hAnsi="宋体" w:eastAsia="方正仿宋_GBK"/>
          <w:sz w:val="28"/>
          <w:szCs w:val="28"/>
        </w:rPr>
        <w:t>年</w:t>
      </w:r>
      <w:r>
        <w:rPr>
          <w:rFonts w:hint="eastAsia" w:ascii="宋体" w:hAnsi="宋体"/>
          <w:sz w:val="28"/>
          <w:szCs w:val="28"/>
          <w:lang w:val="en-US" w:eastAsia="zh-CN"/>
        </w:rPr>
        <w:t>1</w:t>
      </w:r>
      <w:r>
        <w:rPr>
          <w:rFonts w:hint="eastAsia" w:ascii="宋体" w:hAnsi="宋体" w:eastAsia="方正仿宋_GBK"/>
          <w:sz w:val="28"/>
          <w:szCs w:val="28"/>
        </w:rPr>
        <w:t>月</w:t>
      </w:r>
      <w:r>
        <w:rPr>
          <w:rFonts w:hint="eastAsia" w:ascii="宋体" w:hAnsi="宋体"/>
          <w:sz w:val="28"/>
          <w:szCs w:val="28"/>
          <w:lang w:val="en-US" w:eastAsia="zh-CN"/>
        </w:rPr>
        <w:t>17</w:t>
      </w:r>
      <w:r>
        <w:rPr>
          <w:rFonts w:hint="eastAsia" w:ascii="宋体" w:hAnsi="宋体" w:eastAsia="方正仿宋_GBK"/>
          <w:sz w:val="28"/>
          <w:szCs w:val="28"/>
        </w:rPr>
        <w:t>日印发</w:t>
      </w:r>
      <w:r>
        <w:rPr>
          <w:rFonts w:ascii="宋体" w:hAnsi="宋体" w:eastAsia="方正仿宋_GBK"/>
          <w:sz w:val="28"/>
          <w:szCs w:val="28"/>
        </w:rPr>
        <w:tab/>
      </w:r>
    </w:p>
    <w:sectPr>
      <w:headerReference r:id="rId5" w:type="default"/>
      <w:footerReference r:id="rId7" w:type="default"/>
      <w:headerReference r:id="rId6" w:type="even"/>
      <w:footerReference r:id="rId8" w:type="even"/>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EKDd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5gQoN3gEAAL8DAAAOAAAAAAAA&#10;AAEAIAAAAB4BAABkcnMvZTJvRG9jLnhtbFBLBQYAAAAABgAGAFkBAABuBQAAAAA=&#10;">
              <v:fill on="f" focussize="0,0"/>
              <v:stroke on="f"/>
              <v:imagedata o:title=""/>
              <o:lock v:ext="edit" aspectratio="f"/>
              <v:textbox inset="0mm,0mm,0mm,0mm" style="mso-fit-shape-to-text:t;">
                <w:txbxContent>
                  <w:p>
                    <w:pPr>
                      <w:pStyle w:val="9"/>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TMrt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KTMrt8BAAC/AwAADgAAAAAA&#10;AAABACAAAAAeAQAAZHJzL2Uyb0RvYy54bWxQSwUGAAAAAAYABgBZAQAAbwUAAAAA&#10;">
              <v:fill on="f" focussize="0,0"/>
              <v:stroke on="f"/>
              <v:imagedata o:title=""/>
              <o:lock v:ext="edit" aspectratio="f"/>
              <v:textbox inset="0mm,0mm,0mm,0mm" style="mso-fit-shape-to-text:t;">
                <w:txbxContent>
                  <w:p>
                    <w:pPr>
                      <w:pStyle w:val="9"/>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0"/>
  <w:hyphenationZone w:val="360"/>
  <w:evenAndOddHeaders w:val="1"/>
  <w:drawingGridHorizontalSpacing w:val="320"/>
  <w:drawingGridVerticalSpacing w:val="290"/>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DDCA4"/>
    <w:rsid w:val="00017CCF"/>
    <w:rsid w:val="0002526C"/>
    <w:rsid w:val="00056C91"/>
    <w:rsid w:val="000602A5"/>
    <w:rsid w:val="00062188"/>
    <w:rsid w:val="00082DF5"/>
    <w:rsid w:val="00086A2B"/>
    <w:rsid w:val="000A42B1"/>
    <w:rsid w:val="000C26E8"/>
    <w:rsid w:val="000D61B3"/>
    <w:rsid w:val="000F51DC"/>
    <w:rsid w:val="000F5742"/>
    <w:rsid w:val="00101D1F"/>
    <w:rsid w:val="001052EB"/>
    <w:rsid w:val="00135004"/>
    <w:rsid w:val="00164F5D"/>
    <w:rsid w:val="001B79C4"/>
    <w:rsid w:val="001E5E68"/>
    <w:rsid w:val="00200061"/>
    <w:rsid w:val="002030E1"/>
    <w:rsid w:val="00207E00"/>
    <w:rsid w:val="002256ED"/>
    <w:rsid w:val="002442D5"/>
    <w:rsid w:val="002661E9"/>
    <w:rsid w:val="00277FD9"/>
    <w:rsid w:val="002E0CDA"/>
    <w:rsid w:val="002E3BEE"/>
    <w:rsid w:val="002F3513"/>
    <w:rsid w:val="0030484F"/>
    <w:rsid w:val="00317064"/>
    <w:rsid w:val="003422AA"/>
    <w:rsid w:val="0036045A"/>
    <w:rsid w:val="003C1717"/>
    <w:rsid w:val="003C38B3"/>
    <w:rsid w:val="003C4807"/>
    <w:rsid w:val="00424BD8"/>
    <w:rsid w:val="00441329"/>
    <w:rsid w:val="00470471"/>
    <w:rsid w:val="00484091"/>
    <w:rsid w:val="00487A1A"/>
    <w:rsid w:val="00491BC4"/>
    <w:rsid w:val="004A2840"/>
    <w:rsid w:val="004C60D9"/>
    <w:rsid w:val="004C6A7F"/>
    <w:rsid w:val="005273E9"/>
    <w:rsid w:val="00544C11"/>
    <w:rsid w:val="00551643"/>
    <w:rsid w:val="00554D9E"/>
    <w:rsid w:val="0057221D"/>
    <w:rsid w:val="00587ABE"/>
    <w:rsid w:val="005933C4"/>
    <w:rsid w:val="00621E56"/>
    <w:rsid w:val="00636C32"/>
    <w:rsid w:val="00637726"/>
    <w:rsid w:val="00646AA6"/>
    <w:rsid w:val="00673883"/>
    <w:rsid w:val="0067519F"/>
    <w:rsid w:val="00680373"/>
    <w:rsid w:val="006C2605"/>
    <w:rsid w:val="006D5A31"/>
    <w:rsid w:val="00713D35"/>
    <w:rsid w:val="007476CB"/>
    <w:rsid w:val="00754393"/>
    <w:rsid w:val="00763931"/>
    <w:rsid w:val="007835E9"/>
    <w:rsid w:val="007B581D"/>
    <w:rsid w:val="007B69FC"/>
    <w:rsid w:val="007D72C2"/>
    <w:rsid w:val="007E08D2"/>
    <w:rsid w:val="007F3578"/>
    <w:rsid w:val="007F5DC9"/>
    <w:rsid w:val="00806464"/>
    <w:rsid w:val="008A1020"/>
    <w:rsid w:val="008A3349"/>
    <w:rsid w:val="008C75D5"/>
    <w:rsid w:val="008F082E"/>
    <w:rsid w:val="00907DD2"/>
    <w:rsid w:val="009100C3"/>
    <w:rsid w:val="00934971"/>
    <w:rsid w:val="00965B40"/>
    <w:rsid w:val="0097595C"/>
    <w:rsid w:val="00976064"/>
    <w:rsid w:val="00976553"/>
    <w:rsid w:val="009928DA"/>
    <w:rsid w:val="009A2069"/>
    <w:rsid w:val="009A745D"/>
    <w:rsid w:val="00A03A99"/>
    <w:rsid w:val="00A054BA"/>
    <w:rsid w:val="00A1653D"/>
    <w:rsid w:val="00A417E0"/>
    <w:rsid w:val="00A4521C"/>
    <w:rsid w:val="00A51191"/>
    <w:rsid w:val="00A57DDF"/>
    <w:rsid w:val="00A825CA"/>
    <w:rsid w:val="00A85CC5"/>
    <w:rsid w:val="00AD4189"/>
    <w:rsid w:val="00AD74E9"/>
    <w:rsid w:val="00AE5FE3"/>
    <w:rsid w:val="00B02838"/>
    <w:rsid w:val="00B05C12"/>
    <w:rsid w:val="00B15DDF"/>
    <w:rsid w:val="00B27ECE"/>
    <w:rsid w:val="00B647E2"/>
    <w:rsid w:val="00B67C51"/>
    <w:rsid w:val="00B8253E"/>
    <w:rsid w:val="00BA68E4"/>
    <w:rsid w:val="00C94375"/>
    <w:rsid w:val="00CA10A1"/>
    <w:rsid w:val="00CA3C3F"/>
    <w:rsid w:val="00CB080D"/>
    <w:rsid w:val="00CB3FAF"/>
    <w:rsid w:val="00CB51DC"/>
    <w:rsid w:val="00CB551D"/>
    <w:rsid w:val="00CC0F95"/>
    <w:rsid w:val="00CD7DE1"/>
    <w:rsid w:val="00D0209B"/>
    <w:rsid w:val="00D0553B"/>
    <w:rsid w:val="00D1304D"/>
    <w:rsid w:val="00D17764"/>
    <w:rsid w:val="00D21350"/>
    <w:rsid w:val="00D37D69"/>
    <w:rsid w:val="00D70144"/>
    <w:rsid w:val="00D84DE1"/>
    <w:rsid w:val="00DD4DA1"/>
    <w:rsid w:val="00DD5664"/>
    <w:rsid w:val="00DE1B8C"/>
    <w:rsid w:val="00E043E4"/>
    <w:rsid w:val="00E04C36"/>
    <w:rsid w:val="00E31D25"/>
    <w:rsid w:val="00E405D6"/>
    <w:rsid w:val="00E70FA9"/>
    <w:rsid w:val="00E85D34"/>
    <w:rsid w:val="00EC09C0"/>
    <w:rsid w:val="00EC5A5C"/>
    <w:rsid w:val="00F114B7"/>
    <w:rsid w:val="00F16E51"/>
    <w:rsid w:val="00F21AC2"/>
    <w:rsid w:val="00F24668"/>
    <w:rsid w:val="00F361AD"/>
    <w:rsid w:val="00F70ACF"/>
    <w:rsid w:val="00F8189B"/>
    <w:rsid w:val="00F878DD"/>
    <w:rsid w:val="00FA62E7"/>
    <w:rsid w:val="00FB5A90"/>
    <w:rsid w:val="00FC340D"/>
    <w:rsid w:val="00FF286B"/>
    <w:rsid w:val="276C4F2C"/>
    <w:rsid w:val="2BF9DFA9"/>
    <w:rsid w:val="2FCFFD58"/>
    <w:rsid w:val="373E8ECF"/>
    <w:rsid w:val="573F92C6"/>
    <w:rsid w:val="5BDFBA85"/>
    <w:rsid w:val="5C6F0D69"/>
    <w:rsid w:val="5DD7EA76"/>
    <w:rsid w:val="5FDF2C78"/>
    <w:rsid w:val="76FDDCA4"/>
    <w:rsid w:val="7B7F2D5A"/>
    <w:rsid w:val="7E9F2691"/>
    <w:rsid w:val="7F8B0B83"/>
    <w:rsid w:val="B7969508"/>
    <w:rsid w:val="BA3F71C4"/>
    <w:rsid w:val="DEFFC836"/>
    <w:rsid w:val="DFFB5D8D"/>
    <w:rsid w:val="E6AFDC1A"/>
    <w:rsid w:val="E6FFA3AF"/>
    <w:rsid w:val="EAFD4D1D"/>
    <w:rsid w:val="EB4B77F5"/>
    <w:rsid w:val="F7FF2A3F"/>
    <w:rsid w:val="FBA7558B"/>
    <w:rsid w:val="FBD3D37F"/>
    <w:rsid w:val="FF7FBB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ind w:firstLine="632" w:firstLineChars="200"/>
      <w:jc w:val="both"/>
    </w:pPr>
    <w:rPr>
      <w:rFonts w:ascii="Times New Roman" w:hAnsi="Times New Roman" w:eastAsia="方正仿宋_GBK"/>
      <w:kern w:val="2"/>
      <w:sz w:val="32"/>
      <w:szCs w:val="24"/>
      <w:lang w:val="en-US" w:eastAsia="zh-CN" w:bidi="ar-SA"/>
    </w:rPr>
  </w:style>
  <w:style w:type="paragraph" w:styleId="3">
    <w:name w:val="heading 1"/>
    <w:basedOn w:val="1"/>
    <w:next w:val="1"/>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link w:val="18"/>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19"/>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7"/>
    <w:next w:val="1"/>
    <w:uiPriority w:val="0"/>
    <w:pPr>
      <w:keepNext w:val="0"/>
      <w:keepLines w:val="0"/>
      <w:snapToGrid w:val="0"/>
      <w:spacing w:beforeLines="0" w:beforeAutospacing="0" w:afterLines="0" w:afterAutospacing="0" w:line="720" w:lineRule="atLeast"/>
      <w:ind w:firstLine="0" w:firstLineChars="0"/>
      <w:outlineLvl w:val="3"/>
    </w:pPr>
    <w:rPr>
      <w:rFonts w:ascii="宋体" w:hAnsi="宋体" w:eastAsia="方正小标宋_GBK"/>
      <w:b w:val="0"/>
      <w:sz w:val="44"/>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7">
    <w:name w:val="Title"/>
    <w:basedOn w:val="1"/>
    <w:uiPriority w:val="0"/>
    <w:pPr>
      <w:spacing w:before="240" w:after="60"/>
      <w:jc w:val="center"/>
      <w:outlineLvl w:val="0"/>
    </w:pPr>
    <w:rPr>
      <w:rFonts w:ascii="Arial" w:hAnsi="Arial" w:cs="Arial"/>
      <w:b/>
      <w:bCs/>
      <w:sz w:val="32"/>
      <w:szCs w:val="32"/>
    </w:rPr>
  </w:style>
  <w:style w:type="paragraph" w:styleId="8">
    <w:name w:val="Body Text"/>
    <w:basedOn w:val="1"/>
    <w:uiPriority w:val="0"/>
    <w:pPr>
      <w:spacing w:after="12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rPr>
      <w:sz w:val="24"/>
    </w:rPr>
  </w:style>
  <w:style w:type="paragraph" w:styleId="12">
    <w:name w:val="index 1"/>
    <w:basedOn w:val="7"/>
    <w:next w:val="1"/>
    <w:semiHidden/>
    <w:uiPriority w:val="0"/>
    <w:pPr>
      <w:snapToGrid w:val="0"/>
      <w:spacing w:before="0" w:after="0"/>
    </w:pPr>
    <w:rPr>
      <w:rFonts w:eastAsia="方正小标宋_GBK"/>
      <w:b w:val="0"/>
      <w:bCs w:val="0"/>
      <w:sz w:val="44"/>
      <w:szCs w:val="28"/>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page number"/>
    <w:basedOn w:val="15"/>
    <w:uiPriority w:val="0"/>
  </w:style>
  <w:style w:type="character" w:customStyle="1" w:styleId="18">
    <w:name w:val="标题 2 Char"/>
    <w:link w:val="4"/>
    <w:uiPriority w:val="0"/>
    <w:rPr>
      <w:rFonts w:ascii="宋体" w:hAnsi="宋体" w:eastAsia="方正黑体_GBK"/>
    </w:rPr>
  </w:style>
  <w:style w:type="character" w:customStyle="1" w:styleId="19">
    <w:name w:val="标题 3 Char"/>
    <w:link w:val="5"/>
    <w:uiPriority w:val="0"/>
    <w:rPr>
      <w:rFonts w:eastAsia="方正楷体_GBK"/>
    </w:rPr>
  </w:style>
  <w:style w:type="paragraph" w:customStyle="1" w:styleId="20">
    <w:name w:val="_Style 17"/>
    <w:basedOn w:val="1"/>
    <w:next w:val="11"/>
    <w:uiPriority w:val="0"/>
    <w:pPr>
      <w:widowControl/>
      <w:spacing w:before="100" w:beforeAutospacing="1" w:after="100" w:afterAutospacing="1"/>
      <w:jc w:val="left"/>
    </w:pPr>
    <w:rPr>
      <w:rFonts w:ascii="宋体" w:hAnsi="宋体"/>
      <w:kern w:val="0"/>
      <w:sz w:val="24"/>
    </w:rPr>
  </w:style>
  <w:style w:type="paragraph" w:customStyle="1" w:styleId="21">
    <w:name w:val="_Style 21"/>
    <w:basedOn w:val="1"/>
    <w:next w:val="8"/>
    <w:uiPriority w:val="0"/>
    <w:pPr>
      <w:jc w:val="center"/>
    </w:pPr>
    <w:rPr>
      <w:rFonts w:eastAsia="方正小标宋_GBK"/>
      <w:sz w:val="44"/>
    </w:rPr>
  </w:style>
  <w:style w:type="paragraph" w:customStyle="1" w:styleId="22">
    <w:name w:val="Char Char Char Char Char Char Char Char Char Char Char Char Char Char Char Char"/>
    <w:basedOn w:val="1"/>
    <w:uiPriority w:val="0"/>
    <w:pPr>
      <w:tabs>
        <w:tab w:val="left" w:pos="360"/>
      </w:tabs>
    </w:pPr>
    <w:rPr>
      <w:rFonts w:eastAsia="方正仿宋_GBK"/>
      <w:sz w:val="24"/>
      <w:szCs w:val="20"/>
    </w:rPr>
  </w:style>
  <w:style w:type="paragraph" w:customStyle="1" w:styleId="23">
    <w:name w:val="Default"/>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24">
    <w:name w:val="目录二"/>
    <w:basedOn w:val="3"/>
    <w:next w:val="1"/>
    <w:uiPriority w:val="0"/>
    <w:pPr>
      <w:snapToGrid/>
      <w:spacing w:line="240" w:lineRule="auto"/>
      <w:ind w:firstLine="632" w:firstLineChars="200"/>
    </w:pPr>
    <w:rPr>
      <w:rFonts w:eastAsia="方正黑体_GBK"/>
      <w:sz w:val="32"/>
    </w:rPr>
  </w:style>
  <w:style w:type="paragraph" w:customStyle="1" w:styleId="25">
    <w:name w:val="目录三"/>
    <w:basedOn w:val="4"/>
    <w:next w:val="1"/>
    <w:uiPriority w:val="0"/>
    <w:rPr>
      <w:rFonts w:eastAsia="方正楷体_GBK"/>
    </w:rPr>
  </w:style>
  <w:style w:type="paragraph" w:customStyle="1" w:styleId="26">
    <w:name w:val="附件说明"/>
    <w:basedOn w:val="1"/>
    <w:next w:val="1"/>
    <w:uiPriority w:val="0"/>
    <w:pPr>
      <w:ind w:left="1580" w:leftChars="200" w:hanging="948" w:hangingChars="300"/>
    </w:pPr>
  </w:style>
  <w:style w:type="paragraph" w:customStyle="1" w:styleId="27">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
    <w:name w:val="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home\guest\&#27169;&#26495;\2023&#27169;&#26495;\&#24220;&#21150;&#21457;&#27178;&#3144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府办发横竖.wpt</Template>
  <Pages>5</Pages>
  <Words>158</Words>
  <Characters>167</Characters>
  <Lines>1</Lines>
  <Paragraphs>1</Paragraphs>
  <TotalTime>1.33333333333333</TotalTime>
  <ScaleCrop>false</ScaleCrop>
  <LinksUpToDate>false</LinksUpToDate>
  <CharactersWithSpaces>184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2024-01-18T02:17:00Z</dcterms:created>
  <dc:creator>刘雪梅</dc:creator>
  <cp:lastModifiedBy>阿亮</cp:lastModifiedBy>
  <dcterms:modified xsi:type="dcterms:W3CDTF">2024-02-21T08:12:52Z</dcterms:modified>
  <dc:title>荣昌县人民政府办公室电子公文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37E1F0F382C74125B5C84EAEA5A9CFE2_13</vt:lpwstr>
  </property>
</Properties>
</file>