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atLeast"/>
        <w:jc w:val="both"/>
        <w:textAlignment w:val="auto"/>
        <w:rPr>
          <w:rFonts w:hint="eastAsia" w:ascii="宋体" w:hAnsi="宋体" w:eastAsia="方正小标宋_GBK" w:cs="宋体"/>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eastAsia="方正小标宋_GBK" w:cs="宋体"/>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ascii="宋体" w:hAnsi="宋体" w:eastAsia="方正小标宋_GBK" w:cs="宋体"/>
          <w:kern w:val="0"/>
          <w:sz w:val="44"/>
          <w:szCs w:val="44"/>
          <w:shd w:val="clear" w:color="auto" w:fill="FFFFFF"/>
        </w:rPr>
      </w:pPr>
      <w:r>
        <w:rPr>
          <w:rFonts w:hint="eastAsia" w:ascii="宋体" w:hAnsi="宋体" w:eastAsia="方正小标宋_GBK" w:cs="宋体"/>
          <w:kern w:val="0"/>
          <w:sz w:val="44"/>
          <w:szCs w:val="44"/>
          <w:shd w:val="clear" w:color="auto" w:fill="FFFFFF"/>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eastAsia="方正小标宋_GBK" w:cs="方正小标宋_GBK"/>
          <w:sz w:val="44"/>
          <w:szCs w:val="44"/>
        </w:rPr>
      </w:pPr>
      <w:r>
        <w:rPr>
          <w:rFonts w:hint="eastAsia" w:ascii="宋体" w:hAnsi="宋体" w:eastAsia="方正小标宋_GBK" w:cs="宋体"/>
          <w:kern w:val="0"/>
          <w:sz w:val="44"/>
          <w:szCs w:val="44"/>
          <w:shd w:val="clear" w:color="auto" w:fill="FFFFFF"/>
        </w:rPr>
        <w:t>关于印发</w:t>
      </w:r>
      <w:r>
        <w:rPr>
          <w:rFonts w:hint="eastAsia" w:ascii="宋体" w:hAnsi="宋体" w:eastAsia="方正小标宋_GBK" w:cs="方正小标宋_GBK"/>
          <w:sz w:val="44"/>
          <w:szCs w:val="44"/>
        </w:rPr>
        <w:t>荣昌区体育场地基础设施建设</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ascii="宋体" w:hAnsi="宋体" w:eastAsia="方正小标宋_GBK" w:cs="宋体"/>
          <w:kern w:val="0"/>
          <w:sz w:val="44"/>
          <w:szCs w:val="44"/>
          <w:shd w:val="clear" w:color="auto" w:fill="FFFFFF"/>
        </w:rPr>
      </w:pPr>
      <w:r>
        <w:rPr>
          <w:rFonts w:hint="eastAsia" w:ascii="宋体" w:hAnsi="宋体" w:eastAsia="方正小标宋_GBK" w:cs="方正小标宋_GBK"/>
          <w:sz w:val="44"/>
          <w:szCs w:val="44"/>
        </w:rPr>
        <w:t>实施办法的通知</w:t>
      </w:r>
    </w:p>
    <w:p>
      <w:pPr>
        <w:keepNext w:val="0"/>
        <w:keepLines w:val="0"/>
        <w:pageBreakBefore w:val="0"/>
        <w:kinsoku/>
        <w:overflowPunct/>
        <w:topLinePunct w:val="0"/>
        <w:autoSpaceDE/>
        <w:autoSpaceDN/>
        <w:bidi w:val="0"/>
        <w:snapToGrid w:val="0"/>
        <w:spacing w:line="600" w:lineRule="exact"/>
        <w:jc w:val="center"/>
        <w:textAlignment w:val="auto"/>
        <w:rPr>
          <w:rFonts w:hint="eastAsia" w:ascii="宋体" w:hAnsi="宋体" w:cs="方正仿宋_GBK"/>
          <w:szCs w:val="32"/>
        </w:rPr>
      </w:pPr>
      <w:r>
        <w:rPr>
          <w:rFonts w:hint="eastAsia" w:ascii="宋体" w:hAnsi="宋体" w:cs="方正仿宋_GBK"/>
          <w:szCs w:val="32"/>
        </w:rPr>
        <w:t>荣昌府办发〔2020〕24号</w:t>
      </w:r>
    </w:p>
    <w:p>
      <w:pPr>
        <w:keepNext w:val="0"/>
        <w:keepLines w:val="0"/>
        <w:pageBreakBefore w:val="0"/>
        <w:kinsoku/>
        <w:overflowPunct/>
        <w:topLinePunct w:val="0"/>
        <w:autoSpaceDE/>
        <w:autoSpaceDN/>
        <w:bidi w:val="0"/>
        <w:spacing w:line="600" w:lineRule="exact"/>
        <w:jc w:val="center"/>
        <w:textAlignment w:val="auto"/>
        <w:rPr>
          <w:rFonts w:hint="eastAsia" w:ascii="宋体" w:hAnsi="宋体" w:cs="方正仿宋_GBK"/>
          <w:szCs w:val="32"/>
        </w:rPr>
      </w:pPr>
    </w:p>
    <w:p>
      <w:pPr>
        <w:keepNext w:val="0"/>
        <w:keepLines w:val="0"/>
        <w:pageBreakBefore w:val="0"/>
        <w:kinsoku/>
        <w:overflowPunct/>
        <w:topLinePunct w:val="0"/>
        <w:autoSpaceDE/>
        <w:autoSpaceDN/>
        <w:bidi w:val="0"/>
        <w:spacing w:line="600" w:lineRule="exact"/>
        <w:textAlignment w:val="auto"/>
        <w:rPr>
          <w:rFonts w:ascii="宋体" w:hAnsi="宋体"/>
          <w:szCs w:val="32"/>
        </w:rPr>
      </w:pPr>
      <w:r>
        <w:rPr>
          <w:rFonts w:hint="eastAsia" w:ascii="宋体" w:hAnsi="宋体"/>
          <w:szCs w:val="32"/>
        </w:rPr>
        <w:t>各镇人民政府，各街道办事处，区政府各部门，有关单位：</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szCs w:val="32"/>
        </w:rPr>
        <w:t>《荣昌区体育场地基础设施建设实施办法》经区政府第</w:t>
      </w:r>
      <w:r>
        <w:rPr>
          <w:rFonts w:ascii="宋体" w:hAnsi="宋体"/>
          <w:szCs w:val="32"/>
        </w:rPr>
        <w:t>75</w:t>
      </w:r>
      <w:r>
        <w:rPr>
          <w:rFonts w:hint="eastAsia" w:ascii="宋体" w:hAnsi="宋体"/>
          <w:szCs w:val="32"/>
        </w:rPr>
        <w:t>次常务会审议通过，现印发给你们，请遵照执行。</w:t>
      </w:r>
    </w:p>
    <w:p>
      <w:pPr>
        <w:keepNext w:val="0"/>
        <w:keepLines w:val="0"/>
        <w:pageBreakBefore w:val="0"/>
        <w:kinsoku/>
        <w:overflowPunct/>
        <w:topLinePunct w:val="0"/>
        <w:autoSpaceDE/>
        <w:autoSpaceDN/>
        <w:bidi w:val="0"/>
        <w:spacing w:line="600" w:lineRule="exact"/>
        <w:textAlignment w:val="auto"/>
        <w:rPr>
          <w:rFonts w:ascii="宋体" w:hAnsi="宋体"/>
          <w:szCs w:val="32"/>
        </w:rPr>
      </w:pPr>
    </w:p>
    <w:p>
      <w:pPr>
        <w:keepNext w:val="0"/>
        <w:keepLines w:val="0"/>
        <w:pageBreakBefore w:val="0"/>
        <w:kinsoku/>
        <w:overflowPunct/>
        <w:topLinePunct w:val="0"/>
        <w:autoSpaceDE/>
        <w:autoSpaceDN/>
        <w:bidi w:val="0"/>
        <w:spacing w:line="600" w:lineRule="exact"/>
        <w:textAlignment w:val="auto"/>
        <w:rPr>
          <w:rFonts w:hint="eastAsia" w:ascii="宋体" w:hAnsi="宋体" w:eastAsia="仿宋" w:cs="仿宋"/>
          <w:szCs w:val="32"/>
        </w:rPr>
      </w:pPr>
    </w:p>
    <w:p>
      <w:pPr>
        <w:keepNext w:val="0"/>
        <w:keepLines w:val="0"/>
        <w:pageBreakBefore w:val="0"/>
        <w:kinsoku/>
        <w:wordWrap w:val="0"/>
        <w:overflowPunct/>
        <w:topLinePunct w:val="0"/>
        <w:autoSpaceDE/>
        <w:autoSpaceDN/>
        <w:bidi w:val="0"/>
        <w:spacing w:line="600" w:lineRule="exact"/>
        <w:ind w:firstLine="960" w:firstLineChars="300"/>
        <w:jc w:val="right"/>
        <w:textAlignment w:val="auto"/>
        <w:rPr>
          <w:rFonts w:hint="eastAsia" w:ascii="宋体" w:hAnsi="宋体" w:cs="方正仿宋_GBK"/>
          <w:szCs w:val="32"/>
        </w:rPr>
      </w:pPr>
      <w:r>
        <w:rPr>
          <w:rFonts w:hint="eastAsia" w:ascii="宋体" w:hAnsi="宋体" w:eastAsia="仿宋" w:cs="仿宋"/>
          <w:szCs w:val="32"/>
        </w:rPr>
        <w:t xml:space="preserve">   </w:t>
      </w:r>
      <w:r>
        <w:rPr>
          <w:rFonts w:hint="eastAsia" w:ascii="宋体" w:hAnsi="宋体" w:cs="仿宋"/>
          <w:szCs w:val="32"/>
        </w:rPr>
        <w:t xml:space="preserve">            </w:t>
      </w:r>
      <w:r>
        <w:rPr>
          <w:rFonts w:hint="eastAsia" w:ascii="宋体" w:hAnsi="宋体" w:cs="方正仿宋_GBK"/>
          <w:szCs w:val="32"/>
        </w:rPr>
        <w:t xml:space="preserve"> 重庆市荣昌区人民政府办公室  </w:t>
      </w:r>
    </w:p>
    <w:p>
      <w:pPr>
        <w:keepNext w:val="0"/>
        <w:keepLines w:val="0"/>
        <w:pageBreakBefore w:val="0"/>
        <w:kinsoku/>
        <w:wordWrap w:val="0"/>
        <w:overflowPunct/>
        <w:topLinePunct w:val="0"/>
        <w:autoSpaceDE/>
        <w:autoSpaceDN/>
        <w:bidi w:val="0"/>
        <w:spacing w:line="600" w:lineRule="exact"/>
        <w:jc w:val="right"/>
        <w:textAlignment w:val="auto"/>
        <w:rPr>
          <w:rFonts w:hint="eastAsia" w:ascii="宋体" w:hAnsi="宋体" w:cs="仿宋"/>
          <w:szCs w:val="32"/>
        </w:rPr>
      </w:pPr>
      <w:r>
        <w:rPr>
          <w:rFonts w:hint="eastAsia" w:ascii="宋体" w:hAnsi="宋体" w:cs="方正仿宋_GBK"/>
          <w:szCs w:val="32"/>
        </w:rPr>
        <w:t xml:space="preserve">  2020年3月19日    </w:t>
      </w:r>
      <w:r>
        <w:rPr>
          <w:rFonts w:hint="eastAsia" w:ascii="宋体" w:hAnsi="宋体" w:cs="仿宋"/>
          <w:szCs w:val="32"/>
        </w:rPr>
        <w:t xml:space="preserve">    </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宋体" w:hAnsi="宋体" w:cs="方正仿宋_GBK"/>
          <w:kern w:val="0"/>
          <w:szCs w:val="32"/>
          <w:shd w:val="clear" w:color="auto" w:fill="FFFFFF"/>
          <w:lang w:bidi="ar"/>
        </w:rPr>
      </w:pPr>
      <w:r>
        <w:rPr>
          <w:rFonts w:hint="eastAsia" w:ascii="宋体" w:hAnsi="宋体" w:cs="方正仿宋_GBK"/>
          <w:kern w:val="0"/>
          <w:szCs w:val="32"/>
          <w:shd w:val="clear" w:color="auto" w:fill="FFFFFF"/>
          <w:lang w:bidi="ar"/>
        </w:rPr>
        <w:t>（此件公开发布）</w:t>
      </w:r>
    </w:p>
    <w:p>
      <w:pPr>
        <w:keepNext w:val="0"/>
        <w:keepLines w:val="0"/>
        <w:pageBreakBefore w:val="0"/>
        <w:kinsoku/>
        <w:overflowPunct/>
        <w:topLinePunct w:val="0"/>
        <w:autoSpaceDE/>
        <w:autoSpaceDN/>
        <w:bidi w:val="0"/>
        <w:spacing w:line="600" w:lineRule="exact"/>
        <w:textAlignment w:val="auto"/>
        <w:rPr>
          <w:rFonts w:hint="eastAsia" w:ascii="宋体" w:hAnsi="宋体" w:cs="仿宋"/>
          <w:szCs w:val="32"/>
        </w:rPr>
      </w:pPr>
    </w:p>
    <w:p>
      <w:pPr>
        <w:keepNext w:val="0"/>
        <w:keepLines w:val="0"/>
        <w:pageBreakBefore w:val="0"/>
        <w:kinsoku/>
        <w:overflowPunct/>
        <w:topLinePunct w:val="0"/>
        <w:autoSpaceDE/>
        <w:autoSpaceDN/>
        <w:bidi w:val="0"/>
        <w:spacing w:line="600" w:lineRule="exact"/>
        <w:textAlignment w:val="auto"/>
        <w:rPr>
          <w:rFonts w:hint="eastAsia" w:ascii="宋体" w:hAnsi="宋体" w:cs="仿宋"/>
          <w:szCs w:val="32"/>
        </w:rPr>
      </w:pPr>
      <w:r>
        <w:rPr>
          <w:rFonts w:ascii="宋体" w:hAnsi="宋体" w:cs="仿宋"/>
          <w:szCs w:val="32"/>
        </w:rPr>
        <w:br w:type="page"/>
      </w:r>
    </w:p>
    <w:p>
      <w:pPr>
        <w:keepNext w:val="0"/>
        <w:keepLines w:val="0"/>
        <w:pageBreakBefore w:val="0"/>
        <w:kinsoku/>
        <w:overflowPunct/>
        <w:topLinePunct w:val="0"/>
        <w:autoSpaceDE/>
        <w:autoSpaceDN/>
        <w:bidi w:val="0"/>
        <w:snapToGrid w:val="0"/>
        <w:spacing w:line="600" w:lineRule="exact"/>
        <w:jc w:val="center"/>
        <w:textAlignment w:val="auto"/>
        <w:rPr>
          <w:rFonts w:ascii="宋体" w:hAnsi="宋体" w:eastAsia="方正小标宋_GBK" w:cs="宋体"/>
          <w:kern w:val="0"/>
          <w:szCs w:val="32"/>
        </w:rPr>
      </w:pPr>
    </w:p>
    <w:p>
      <w:pPr>
        <w:keepNext w:val="0"/>
        <w:keepLines w:val="0"/>
        <w:pageBreakBefore w:val="0"/>
        <w:kinsoku/>
        <w:overflowPunct/>
        <w:topLinePunct w:val="0"/>
        <w:autoSpaceDE/>
        <w:autoSpaceDN/>
        <w:bidi w:val="0"/>
        <w:snapToGrid w:val="0"/>
        <w:spacing w:line="600" w:lineRule="exact"/>
        <w:jc w:val="center"/>
        <w:textAlignment w:val="auto"/>
        <w:rPr>
          <w:rFonts w:ascii="宋体" w:hAnsi="宋体" w:eastAsia="方正小标宋_GBK" w:cs="宋体"/>
          <w:kern w:val="0"/>
          <w:sz w:val="44"/>
          <w:szCs w:val="44"/>
        </w:rPr>
      </w:pPr>
      <w:r>
        <w:rPr>
          <w:rFonts w:hint="eastAsia" w:ascii="宋体" w:hAnsi="宋体" w:eastAsia="方正小标宋_GBK" w:cs="宋体"/>
          <w:kern w:val="0"/>
          <w:sz w:val="44"/>
          <w:szCs w:val="44"/>
        </w:rPr>
        <w:t>荣昌区体育场地基础设施建设实施办法</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szCs w:val="32"/>
        </w:rPr>
        <w:t>为全面贯彻落实全民健身国家战略，提高全民身体素质和健康水平，满足人民群众日益增长的体育健身需求，更加准确把握新时期全民健身发展内涵的深刻变化，不断开拓创新，加快体育场地基础设施建设，根据《国务院关于印发全民健身计划（</w:t>
      </w:r>
      <w:r>
        <w:rPr>
          <w:rFonts w:ascii="宋体" w:hAnsi="宋体"/>
          <w:szCs w:val="32"/>
        </w:rPr>
        <w:t>2016</w:t>
      </w:r>
      <w:r>
        <w:rPr>
          <w:rFonts w:hint="eastAsia" w:ascii="宋体" w:hAnsi="宋体"/>
          <w:szCs w:val="32"/>
        </w:rPr>
        <w:t>—</w:t>
      </w:r>
      <w:r>
        <w:rPr>
          <w:rFonts w:ascii="宋体" w:hAnsi="宋体"/>
          <w:szCs w:val="32"/>
        </w:rPr>
        <w:t>2020</w:t>
      </w:r>
      <w:r>
        <w:rPr>
          <w:rFonts w:hint="eastAsia" w:ascii="宋体" w:hAnsi="宋体"/>
          <w:szCs w:val="32"/>
        </w:rPr>
        <w:t>年）的通知》（国发〔</w:t>
      </w:r>
      <w:r>
        <w:rPr>
          <w:rFonts w:ascii="宋体" w:hAnsi="宋体"/>
          <w:szCs w:val="32"/>
        </w:rPr>
        <w:t>2016</w:t>
      </w:r>
      <w:r>
        <w:rPr>
          <w:rFonts w:hint="eastAsia" w:ascii="宋体" w:hAnsi="宋体"/>
          <w:szCs w:val="32"/>
        </w:rPr>
        <w:t>﹞</w:t>
      </w:r>
      <w:r>
        <w:rPr>
          <w:rFonts w:ascii="宋体" w:hAnsi="宋体"/>
          <w:szCs w:val="32"/>
        </w:rPr>
        <w:t>37</w:t>
      </w:r>
      <w:r>
        <w:rPr>
          <w:rFonts w:hint="eastAsia" w:ascii="宋体" w:hAnsi="宋体"/>
          <w:szCs w:val="32"/>
        </w:rPr>
        <w:t>号）和《国务院办公厅关于印发体育强国建设纲要的通知》（国办发〔</w:t>
      </w:r>
      <w:r>
        <w:rPr>
          <w:rFonts w:ascii="宋体" w:hAnsi="宋体"/>
          <w:szCs w:val="32"/>
        </w:rPr>
        <w:t>2019</w:t>
      </w:r>
      <w:r>
        <w:rPr>
          <w:rFonts w:hint="eastAsia" w:ascii="宋体" w:hAnsi="宋体"/>
          <w:szCs w:val="32"/>
        </w:rPr>
        <w:t>〕</w:t>
      </w:r>
      <w:r>
        <w:rPr>
          <w:rFonts w:ascii="宋体" w:hAnsi="宋体"/>
          <w:szCs w:val="32"/>
        </w:rPr>
        <w:t>40</w:t>
      </w:r>
      <w:r>
        <w:rPr>
          <w:rFonts w:hint="eastAsia" w:ascii="宋体" w:hAnsi="宋体"/>
          <w:szCs w:val="32"/>
        </w:rPr>
        <w:t>号）要求，结合我区实际，特制定本办法。</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eastAsia="方正黑体_GBK"/>
          <w:szCs w:val="32"/>
        </w:rPr>
      </w:pPr>
      <w:r>
        <w:rPr>
          <w:rFonts w:hint="eastAsia" w:ascii="宋体" w:hAnsi="宋体" w:eastAsia="方正黑体_GBK"/>
          <w:szCs w:val="32"/>
        </w:rPr>
        <w:t>一、指导思想</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szCs w:val="32"/>
        </w:rPr>
        <w:t>以习近平新时代中国特色社会主义思想为指导，全面贯彻党的十九大和十九届二中、三中、四中全会精神，大力发展以人民为中心的体育，全面深入实施全民健身国家战略，坚持服务群众、贴近生活、重在建设、注重实效、因地制宜、多办实事，千方百计破解群众的健身难题，形成党政齐抓共管、部门协同推进、社会动员有力、群众广泛参与的全民健身发展新格局。通过逐步完善符合区情、结构完整、覆盖城乡、创新发展的公共体育服务体系，为打造“运动健康之城”贡献力量，确保成功创建全民运动健身模范区。</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eastAsia="方正黑体_GBK"/>
          <w:szCs w:val="32"/>
        </w:rPr>
      </w:pPr>
      <w:r>
        <w:rPr>
          <w:rFonts w:hint="eastAsia" w:ascii="宋体" w:hAnsi="宋体" w:eastAsia="方正黑体_GBK"/>
          <w:szCs w:val="32"/>
        </w:rPr>
        <w:t>二、基本原则</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ascii="宋体" w:hAnsi="宋体"/>
          <w:szCs w:val="32"/>
        </w:rPr>
        <w:t>1</w:t>
      </w:r>
      <w:r>
        <w:rPr>
          <w:rFonts w:hint="eastAsia" w:ascii="宋体" w:hAnsi="宋体" w:cs="方正仿宋_GBK"/>
          <w:szCs w:val="32"/>
        </w:rPr>
        <w:t>．</w:t>
      </w:r>
      <w:r>
        <w:rPr>
          <w:rFonts w:hint="eastAsia" w:ascii="宋体" w:hAnsi="宋体"/>
          <w:szCs w:val="32"/>
        </w:rPr>
        <w:t>坚持统筹协调。全面贯彻实施全民健身国家战略，立足区情实际，将体育事业发展融入到全区经济社会发展全局，加快形成有利于体育事业全面协调可持续发展的制度体系，实现体育事业与经济社会良性协调发展。</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ascii="宋体" w:hAnsi="宋体"/>
          <w:szCs w:val="32"/>
        </w:rPr>
        <w:t>2</w:t>
      </w:r>
      <w:r>
        <w:rPr>
          <w:rFonts w:hint="eastAsia" w:ascii="宋体" w:hAnsi="宋体" w:cs="方正仿宋_GBK"/>
          <w:szCs w:val="32"/>
        </w:rPr>
        <w:t>．</w:t>
      </w:r>
      <w:r>
        <w:rPr>
          <w:rFonts w:hint="eastAsia" w:ascii="宋体" w:hAnsi="宋体"/>
          <w:szCs w:val="32"/>
        </w:rPr>
        <w:t>坚持协同推进。坚持政府主导，优化政策环境，运用多种手段，调动各方力量，广泛动员和组织机关、企事业单位、社区、家庭和居民参与建设工作，发挥各类社会主体的积极性，提高全社会参与度，整合资源、协同推进，实现共建共享。</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ascii="宋体" w:hAnsi="宋体"/>
          <w:szCs w:val="32"/>
        </w:rPr>
        <w:t>3</w:t>
      </w:r>
      <w:r>
        <w:rPr>
          <w:rFonts w:hint="eastAsia" w:ascii="宋体" w:hAnsi="宋体" w:cs="方正仿宋_GBK"/>
          <w:szCs w:val="32"/>
        </w:rPr>
        <w:t>．</w:t>
      </w:r>
      <w:r>
        <w:rPr>
          <w:rFonts w:hint="eastAsia" w:ascii="宋体" w:hAnsi="宋体"/>
          <w:szCs w:val="32"/>
        </w:rPr>
        <w:t>坚持以人为本。坚持以人民为中心的</w:t>
      </w:r>
      <w:r>
        <w:rPr>
          <w:rFonts w:hint="eastAsia" w:ascii="宋体" w:hAnsi="宋体"/>
          <w:szCs w:val="32"/>
          <w:lang w:eastAsia="zh-CN"/>
        </w:rPr>
        <w:t>发展</w:t>
      </w:r>
      <w:r>
        <w:rPr>
          <w:rFonts w:hint="eastAsia" w:ascii="宋体" w:hAnsi="宋体"/>
          <w:szCs w:val="32"/>
        </w:rPr>
        <w:t>思想，把人民作为发展体育事业的主体，把满足人民健身需求、促进人的全面发展作为体育工作的出发点和落脚点，落实全民健身国家战略，不断提高人民健康水平。</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eastAsia="方正黑体_GBK"/>
          <w:szCs w:val="32"/>
        </w:rPr>
      </w:pPr>
      <w:r>
        <w:rPr>
          <w:rFonts w:hint="eastAsia" w:ascii="宋体" w:hAnsi="宋体" w:eastAsia="方正黑体_GBK"/>
          <w:szCs w:val="32"/>
        </w:rPr>
        <w:t>三、目标和任务</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（一）总体目标。</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宋体" w:hAnsi="宋体" w:cs="方正仿宋_GBK"/>
          <w:szCs w:val="32"/>
        </w:rPr>
      </w:pPr>
      <w:r>
        <w:rPr>
          <w:rFonts w:hint="eastAsia" w:ascii="宋体" w:hAnsi="宋体" w:cs="方正仿宋_GBK"/>
          <w:szCs w:val="32"/>
        </w:rPr>
        <w:t>到2020年，建立与全面建成小康社会相适应的体育发展新机制，全区新增体育设施面积23.25万平方米以上，人均体育场地面积达到1.8平方米；到2035年，体育治理体系和治理能力实现现代化，全民健身更亲民、更便利、更普及，经常参加体育锻炼人数比例达到45%以上，人均体育场地面积达到2.5平方米。构建区、镇街、村社区三级群众身边的全民健身设施网络和城市社区15分钟健身圈，实现公共体育场馆和符合开放条件的公办学校体育场地设施向社会开放，保证体育场地设施建设常态化。</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（二）主要任务。</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ascii="宋体" w:hAnsi="宋体"/>
          <w:szCs w:val="32"/>
        </w:rPr>
        <w:t>1</w:t>
      </w:r>
      <w:r>
        <w:rPr>
          <w:rFonts w:hint="eastAsia" w:ascii="宋体" w:hAnsi="宋体" w:cs="方正仿宋_GBK"/>
          <w:szCs w:val="32"/>
        </w:rPr>
        <w:t>．</w:t>
      </w:r>
      <w:r>
        <w:rPr>
          <w:rFonts w:hint="eastAsia" w:ascii="宋体" w:hAnsi="宋体"/>
          <w:szCs w:val="32"/>
        </w:rPr>
        <w:t>建设一批便民利民的体育场馆，建设投用全民健身中心、社区健身中心、城市体育公园、健身步道等，结合基层综合性文化服务中心、农村社区综合服务设施建设及区域特点，建设一批文体综合体。</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ascii="宋体" w:hAnsi="宋体"/>
          <w:szCs w:val="32"/>
        </w:rPr>
        <w:t>2</w:t>
      </w:r>
      <w:r>
        <w:rPr>
          <w:rFonts w:hint="eastAsia" w:ascii="宋体" w:hAnsi="宋体" w:cs="方正仿宋_GBK"/>
          <w:szCs w:val="32"/>
        </w:rPr>
        <w:t>．</w:t>
      </w:r>
      <w:r>
        <w:rPr>
          <w:rFonts w:hint="eastAsia" w:ascii="宋体" w:hAnsi="宋体"/>
          <w:szCs w:val="32"/>
        </w:rPr>
        <w:t>在现有公园、健身步道、广场、村社区和农家院坝新增羽毛球场、乒乓球台、健身器材等群众喜闻乐见的体育设施。</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ascii="宋体" w:hAnsi="宋体"/>
          <w:szCs w:val="32"/>
        </w:rPr>
        <w:t>3</w:t>
      </w:r>
      <w:r>
        <w:rPr>
          <w:rFonts w:hint="eastAsia" w:ascii="宋体" w:hAnsi="宋体"/>
          <w:szCs w:val="32"/>
        </w:rPr>
        <w:t>．充分利用旧厂房、仓库、老旧商业设施、农村“四荒”（荒山、荒沟、荒丘、荒滩）和空闲地等闲置资源，改造建设为全民健身场地设施。</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ascii="宋体" w:hAnsi="宋体"/>
          <w:szCs w:val="32"/>
        </w:rPr>
        <w:t>4</w:t>
      </w:r>
      <w:r>
        <w:rPr>
          <w:rFonts w:hint="eastAsia" w:ascii="宋体" w:hAnsi="宋体"/>
          <w:szCs w:val="32"/>
        </w:rPr>
        <w:t>．新建居住区和社区要严格落实按“室内人均建筑面积不低于</w:t>
      </w:r>
      <w:r>
        <w:rPr>
          <w:rFonts w:ascii="宋体" w:hAnsi="宋体"/>
          <w:szCs w:val="32"/>
        </w:rPr>
        <w:t>0.1</w:t>
      </w:r>
      <w:r>
        <w:rPr>
          <w:rFonts w:hint="eastAsia" w:ascii="宋体" w:hAnsi="宋体"/>
          <w:szCs w:val="32"/>
        </w:rPr>
        <w:t>平方米或室外人均用地不低于</w:t>
      </w:r>
      <w:r>
        <w:rPr>
          <w:rFonts w:ascii="宋体" w:hAnsi="宋体"/>
          <w:szCs w:val="32"/>
        </w:rPr>
        <w:t>0.3</w:t>
      </w:r>
      <w:r>
        <w:rPr>
          <w:rFonts w:hint="eastAsia" w:ascii="宋体" w:hAnsi="宋体"/>
          <w:szCs w:val="32"/>
        </w:rPr>
        <w:t>平方米”标准配建全民健身设施，确保与住宅区主体工程同步设计、同步施工、同步验收、同步投入使用，不得挪用或侵占。</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eastAsia="方正黑体_GBK"/>
          <w:szCs w:val="32"/>
        </w:rPr>
      </w:pPr>
      <w:r>
        <w:rPr>
          <w:rFonts w:hint="eastAsia" w:ascii="宋体" w:hAnsi="宋体" w:eastAsia="方正黑体_GBK"/>
          <w:szCs w:val="32"/>
        </w:rPr>
        <w:t>四、职责分工</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区文化旅游委：</w:t>
      </w:r>
      <w:r>
        <w:rPr>
          <w:rFonts w:hint="eastAsia" w:ascii="宋体" w:hAnsi="宋体"/>
          <w:szCs w:val="32"/>
        </w:rPr>
        <w:t>做好新建小区、公园、各</w:t>
      </w:r>
      <w:r>
        <w:rPr>
          <w:rFonts w:hint="eastAsia" w:ascii="宋体" w:hAnsi="宋体"/>
          <w:szCs w:val="32"/>
          <w:lang w:eastAsia="zh-CN"/>
        </w:rPr>
        <w:t>类</w:t>
      </w:r>
      <w:r>
        <w:rPr>
          <w:rFonts w:hint="eastAsia" w:ascii="宋体" w:hAnsi="宋体"/>
          <w:szCs w:val="32"/>
        </w:rPr>
        <w:t>体育设施建设的方案制定、技术指导、项目验收及资金申报工作。按照相关规定，增加各景点内体育设施建设。</w:t>
      </w:r>
      <w:bookmarkStart w:id="0" w:name="_GoBack"/>
      <w:bookmarkEnd w:id="0"/>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区发展改革委：</w:t>
      </w:r>
      <w:r>
        <w:rPr>
          <w:rFonts w:hint="eastAsia" w:ascii="宋体" w:hAnsi="宋体"/>
          <w:szCs w:val="32"/>
        </w:rPr>
        <w:t>负责编报公共体育普及工程、中央预算内投资项目。将全民健身事业纳入全区国民经济和社会事业发展规划，促进体育产业发展。</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区教委：</w:t>
      </w:r>
      <w:r>
        <w:rPr>
          <w:rFonts w:hint="eastAsia" w:ascii="宋体" w:hAnsi="宋体"/>
          <w:szCs w:val="32"/>
        </w:rPr>
        <w:t>负责公办学校体育场地设施建设并按规定向社会开放。</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区财政局：</w:t>
      </w:r>
      <w:r>
        <w:rPr>
          <w:rFonts w:hint="eastAsia" w:ascii="宋体" w:hAnsi="宋体"/>
          <w:szCs w:val="32"/>
        </w:rPr>
        <w:t>协助区文化旅游委争取上级资金，统筹相关资金，保障体育事业经费。</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区住房城乡建委：</w:t>
      </w:r>
      <w:r>
        <w:rPr>
          <w:rFonts w:hint="eastAsia" w:ascii="宋体" w:hAnsi="宋体"/>
          <w:szCs w:val="32"/>
        </w:rPr>
        <w:t>负责在居住区及社区建设体育设施的过程中，配合工程建设，加强工程管理，督促落实。</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区城管局：</w:t>
      </w:r>
      <w:r>
        <w:rPr>
          <w:rFonts w:hint="eastAsia" w:ascii="宋体" w:hAnsi="宋体"/>
          <w:szCs w:val="32"/>
        </w:rPr>
        <w:t>在新建公园的设计方案审查过程中，按照《公园设计规范》（</w:t>
      </w:r>
      <w:r>
        <w:rPr>
          <w:rFonts w:ascii="宋体" w:hAnsi="宋体"/>
          <w:szCs w:val="32"/>
        </w:rPr>
        <w:t>GB51192</w:t>
      </w:r>
      <w:r>
        <w:rPr>
          <w:rFonts w:hint="eastAsia" w:ascii="宋体" w:hAnsi="宋体"/>
          <w:szCs w:val="32"/>
        </w:rPr>
        <w:t>—</w:t>
      </w:r>
      <w:r>
        <w:rPr>
          <w:rFonts w:ascii="宋体" w:hAnsi="宋体"/>
          <w:szCs w:val="32"/>
        </w:rPr>
        <w:t>2016</w:t>
      </w:r>
      <w:r>
        <w:rPr>
          <w:rFonts w:hint="eastAsia" w:ascii="宋体" w:hAnsi="宋体"/>
          <w:szCs w:val="32"/>
        </w:rPr>
        <w:t>）布局一定比例的体育场地基础设施。在有建设条件的现有公园空地、边角地增设体育基础设施，扩大体育场地面积。</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区水利局：</w:t>
      </w:r>
      <w:r>
        <w:rPr>
          <w:rFonts w:hint="eastAsia" w:ascii="宋体" w:hAnsi="宋体"/>
          <w:szCs w:val="32"/>
        </w:rPr>
        <w:t>负责河堤整治工程（健身步道）的建设，按照健身步道建设标准予以实施。积极配合健身步道的申报工作。</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区规划自然资源局：</w:t>
      </w:r>
      <w:r>
        <w:rPr>
          <w:rFonts w:hint="eastAsia" w:ascii="宋体" w:hAnsi="宋体"/>
          <w:szCs w:val="32"/>
        </w:rPr>
        <w:t>按照国家对城市公共体育设施用地定额指标的规定，将体育设施用地纳入城乡规划。进一步加强对新建住宅小区体育设施建设用地的统筹规划，在土地出让过程中，要求新建居住区和社区按照室内人均建筑面积不低于</w:t>
      </w:r>
      <w:r>
        <w:rPr>
          <w:rFonts w:ascii="宋体" w:hAnsi="宋体"/>
          <w:szCs w:val="32"/>
        </w:rPr>
        <w:t>0.1</w:t>
      </w:r>
      <w:r>
        <w:rPr>
          <w:rFonts w:hint="eastAsia" w:ascii="宋体" w:hAnsi="宋体"/>
          <w:szCs w:val="32"/>
        </w:rPr>
        <w:t>平方米或室外人均用地不低于</w:t>
      </w:r>
      <w:r>
        <w:rPr>
          <w:rFonts w:ascii="宋体" w:hAnsi="宋体"/>
          <w:szCs w:val="32"/>
        </w:rPr>
        <w:t>0.3</w:t>
      </w:r>
      <w:r>
        <w:rPr>
          <w:rFonts w:hint="eastAsia" w:ascii="宋体" w:hAnsi="宋体"/>
          <w:szCs w:val="32"/>
        </w:rPr>
        <w:t>平方米的标准配建全民健身设施。</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荣昌高新区管委会：</w:t>
      </w:r>
      <w:r>
        <w:rPr>
          <w:rFonts w:hint="eastAsia" w:ascii="宋体" w:hAnsi="宋体"/>
          <w:szCs w:val="32"/>
        </w:rPr>
        <w:t>鼓励具备条件的园区企业，在厂区内因地制宜修建体育设施项目，配备体育健身器材。</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新区建设管委会：</w:t>
      </w:r>
      <w:r>
        <w:rPr>
          <w:rFonts w:hint="eastAsia" w:ascii="宋体" w:hAnsi="宋体"/>
          <w:szCs w:val="32"/>
        </w:rPr>
        <w:t>按照相关规定，增加黄金坡新区体育设施建设。</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szCs w:val="32"/>
        </w:rPr>
        <w:t>各镇街：</w:t>
      </w:r>
      <w:r>
        <w:rPr>
          <w:rFonts w:hint="eastAsia" w:ascii="宋体" w:hAnsi="宋体"/>
          <w:szCs w:val="32"/>
        </w:rPr>
        <w:t>在现有公园、健身步道、广场、村社区和农家院坝增设羽毛球场、乒乓球台、健身器材等，扩大体育场地面积。严格按照新建居住区和社区室内人均建筑面积不低于</w:t>
      </w:r>
      <w:r>
        <w:rPr>
          <w:rFonts w:ascii="宋体" w:hAnsi="宋体"/>
          <w:szCs w:val="32"/>
        </w:rPr>
        <w:t>0.1</w:t>
      </w:r>
      <w:r>
        <w:rPr>
          <w:rFonts w:hint="eastAsia" w:ascii="宋体" w:hAnsi="宋体"/>
          <w:szCs w:val="32"/>
        </w:rPr>
        <w:t>平方米或室外人均用地不低于</w:t>
      </w:r>
      <w:r>
        <w:rPr>
          <w:rFonts w:ascii="宋体" w:hAnsi="宋体"/>
          <w:szCs w:val="32"/>
        </w:rPr>
        <w:t>0.3</w:t>
      </w:r>
      <w:r>
        <w:rPr>
          <w:rFonts w:hint="eastAsia" w:ascii="宋体" w:hAnsi="宋体"/>
          <w:szCs w:val="32"/>
        </w:rPr>
        <w:t>平方米的标准，做好本辖区新建住宅小区、农民新村、居民安置点等场所的体育设施规划布局。</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eastAsia="方正黑体_GBK"/>
          <w:szCs w:val="32"/>
        </w:rPr>
      </w:pPr>
      <w:r>
        <w:rPr>
          <w:rFonts w:hint="eastAsia" w:ascii="宋体" w:hAnsi="宋体" w:eastAsia="方正黑体_GBK"/>
          <w:szCs w:val="32"/>
        </w:rPr>
        <w:t>五、保障措施</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cs="方正楷体_GBK"/>
          <w:szCs w:val="32"/>
        </w:rPr>
        <w:t>（一）组织保障。</w:t>
      </w:r>
      <w:r>
        <w:rPr>
          <w:rFonts w:hint="eastAsia" w:ascii="宋体" w:hAnsi="宋体"/>
          <w:szCs w:val="32"/>
        </w:rPr>
        <w:t>由荣昌区“全民运动健身模范区”指挥部统筹实施全区体育场地基础设施工作，研究解决工作推进中的相关问题，对建设工作实施统一领导、宏观决策、综合协调、全面指挥。指挥部设办公室在区文化旅游委，相关部门、各镇街实行体育场地基础设施工作一把手负责制，建立相应的领导班子和工作班子，完善组织机构，明确职责分工，确保机构、人员、经费、任务、措施、奖惩等全面到位。</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cs="方正楷体_GBK"/>
          <w:szCs w:val="32"/>
        </w:rPr>
        <w:t>（二）资金保障。</w:t>
      </w:r>
      <w:r>
        <w:rPr>
          <w:rFonts w:hint="eastAsia" w:ascii="宋体" w:hAnsi="宋体"/>
          <w:szCs w:val="32"/>
        </w:rPr>
        <w:t>积极争取上级资金，统筹相关资金，保障体育事业经费；积极引进民间资本投资体育设施建设，鼓励和引导社会力量参与到公共体育设施的建设与运营，依法对民间体育社团及俱乐部发展提供各类支持与引导，为体育公共服务提供良好的运行保障机制。</w:t>
      </w:r>
      <w:r>
        <w:rPr>
          <w:rFonts w:ascii="宋体" w:hAnsi="宋体"/>
          <w:szCs w:val="32"/>
        </w:rPr>
        <w:t xml:space="preserve"> </w:t>
      </w:r>
    </w:p>
    <w:p>
      <w:pPr>
        <w:keepNext w:val="0"/>
        <w:keepLines w:val="0"/>
        <w:pageBreakBefore w:val="0"/>
        <w:kinsoku/>
        <w:overflowPunct/>
        <w:topLinePunct w:val="0"/>
        <w:autoSpaceDE/>
        <w:autoSpaceDN/>
        <w:bidi w:val="0"/>
        <w:spacing w:line="600" w:lineRule="exact"/>
        <w:ind w:firstLine="640" w:firstLineChars="200"/>
        <w:textAlignment w:val="auto"/>
        <w:rPr>
          <w:rFonts w:ascii="宋体" w:hAnsi="宋体"/>
          <w:szCs w:val="32"/>
        </w:rPr>
      </w:pPr>
      <w:r>
        <w:rPr>
          <w:rFonts w:hint="eastAsia" w:ascii="宋体" w:hAnsi="宋体" w:eastAsia="方正楷体_GBK" w:cs="方正楷体_GBK"/>
          <w:szCs w:val="32"/>
        </w:rPr>
        <w:t>（三）政策保障。</w:t>
      </w:r>
      <w:r>
        <w:rPr>
          <w:rFonts w:hint="eastAsia" w:ascii="宋体" w:hAnsi="宋体"/>
          <w:szCs w:val="32"/>
        </w:rPr>
        <w:t>按照国家对城市公共体育设施用地定额指标的规定，将体育设施用地纳入城乡规划。进一步加强对新建住宅小区体育设施建设用地的统筹规划，保证新建居住区和社区严格按照标准配建体育健身设施。</w:t>
      </w:r>
    </w:p>
    <w:p>
      <w:pPr>
        <w:keepNext w:val="0"/>
        <w:keepLines w:val="0"/>
        <w:pageBreakBefore w:val="0"/>
        <w:kinsoku/>
        <w:overflowPunct/>
        <w:topLinePunct w:val="0"/>
        <w:autoSpaceDE/>
        <w:autoSpaceDN/>
        <w:bidi w:val="0"/>
        <w:adjustRightInd w:val="0"/>
        <w:snapToGrid w:val="0"/>
        <w:spacing w:line="600" w:lineRule="exact"/>
        <w:ind w:firstLine="640" w:firstLineChars="200"/>
        <w:jc w:val="both"/>
        <w:textAlignment w:val="auto"/>
        <w:rPr>
          <w:rFonts w:hint="eastAsia" w:ascii="方正小标宋_GBK" w:eastAsia="方正小标宋_GBK"/>
          <w:kern w:val="0"/>
          <w:sz w:val="44"/>
          <w:szCs w:val="44"/>
        </w:rPr>
      </w:pPr>
      <w:r>
        <w:rPr>
          <w:rFonts w:hint="eastAsia" w:ascii="宋体" w:hAnsi="宋体" w:cs="方正仿宋_GBK"/>
          <w:szCs w:val="32"/>
        </w:rPr>
        <w:t>本办法自发布之日起开始施行。</w:t>
      </w:r>
    </w:p>
    <w:p>
      <w:pPr>
        <w:keepNext w:val="0"/>
        <w:keepLines w:val="0"/>
        <w:pageBreakBefore w:val="0"/>
        <w:kinsoku/>
        <w:overflowPunct/>
        <w:topLinePunct w:val="0"/>
        <w:autoSpaceDE/>
        <w:autoSpaceDN/>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2044C3"/>
    <w:rsid w:val="1E6523AC"/>
    <w:rsid w:val="22440422"/>
    <w:rsid w:val="22BB4BBB"/>
    <w:rsid w:val="25EB1AF4"/>
    <w:rsid w:val="2DD05FE1"/>
    <w:rsid w:val="2EAE3447"/>
    <w:rsid w:val="31895E83"/>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E5621A"/>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2023-10-30T07:35:23Z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