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eastAsia="方正小标宋_GBK"/>
          <w:sz w:val="44"/>
          <w:szCs w:val="44"/>
        </w:rPr>
      </w:pPr>
    </w:p>
    <w:p>
      <w:pPr>
        <w:spacing w:line="640" w:lineRule="exact"/>
        <w:jc w:val="center"/>
        <w:rPr>
          <w:rFonts w:hint="eastAsia" w:ascii="宋体" w:hAnsi="宋体"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重庆市荣昌区人民政府办公室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关于印发重庆市荣昌区烟花爆竹零售经营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安全管理实施细则的通知</w:t>
      </w:r>
    </w:p>
    <w:p>
      <w:pPr>
        <w:keepNext w:val="0"/>
        <w:keepLines w:val="0"/>
        <w:pageBreakBefore w:val="0"/>
        <w:kinsoku/>
        <w:overflowPunct/>
        <w:topLinePunct w:val="0"/>
        <w:autoSpaceDE/>
        <w:autoSpaceDN/>
        <w:bidi w:val="0"/>
        <w:adjustRightInd/>
        <w:spacing w:line="600" w:lineRule="exact"/>
        <w:ind w:left="320" w:leftChars="100" w:right="320" w:rightChars="100"/>
        <w:jc w:val="center"/>
        <w:textAlignment w:val="auto"/>
        <w:rPr>
          <w:rFonts w:hint="eastAsia" w:ascii="方正仿宋_GBK" w:hAnsi="宋体"/>
        </w:rPr>
      </w:pPr>
      <w:r>
        <w:rPr>
          <w:rFonts w:hint="eastAsia" w:ascii="方正仿宋_GBK" w:hAnsi="宋体"/>
          <w:bCs/>
          <w:szCs w:val="32"/>
        </w:rPr>
        <w:t>荣昌府办发〔2020〕84号</w:t>
      </w:r>
    </w:p>
    <w:p>
      <w:pPr>
        <w:keepNext w:val="0"/>
        <w:keepLines w:val="0"/>
        <w:pageBreakBefore w:val="0"/>
        <w:kinsoku/>
        <w:overflowPunct/>
        <w:topLinePunct w:val="0"/>
        <w:autoSpaceDE/>
        <w:autoSpaceDN/>
        <w:bidi w:val="0"/>
        <w:adjustRightInd/>
        <w:snapToGrid w:val="0"/>
        <w:spacing w:line="600" w:lineRule="exact"/>
        <w:textAlignment w:val="auto"/>
        <w:rPr>
          <w:rFonts w:hint="eastAsia" w:ascii="方正仿宋_GBK" w:hAnsi="宋体"/>
          <w:bCs/>
          <w:szCs w:val="32"/>
        </w:rPr>
      </w:pPr>
    </w:p>
    <w:p>
      <w:pPr>
        <w:keepNext w:val="0"/>
        <w:keepLines w:val="0"/>
        <w:pageBreakBefore w:val="0"/>
        <w:kinsoku/>
        <w:overflowPunct/>
        <w:topLinePunct w:val="0"/>
        <w:autoSpaceDE/>
        <w:autoSpaceDN/>
        <w:bidi w:val="0"/>
        <w:adjustRightInd/>
        <w:spacing w:line="600" w:lineRule="exact"/>
        <w:textAlignment w:val="auto"/>
        <w:rPr>
          <w:rFonts w:hint="eastAsia" w:ascii="方正仿宋_GBK" w:hAnsi="宋体"/>
          <w:szCs w:val="32"/>
        </w:rPr>
      </w:pPr>
      <w:r>
        <w:rPr>
          <w:rFonts w:hint="eastAsia" w:ascii="方正仿宋_GBK" w:hAnsi="宋体"/>
          <w:bCs/>
          <w:szCs w:val="32"/>
        </w:rPr>
        <w:t>各镇人民政府，各街道办事处，区政府相关部门：</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_GBK" w:hAnsi="宋体"/>
          <w:bCs/>
          <w:szCs w:val="32"/>
        </w:rPr>
      </w:pPr>
      <w:r>
        <w:rPr>
          <w:rFonts w:hint="eastAsia" w:ascii="方正仿宋_GBK" w:hAnsi="宋体"/>
          <w:bCs/>
          <w:szCs w:val="32"/>
        </w:rPr>
        <w:t>《重庆市荣昌区烟花爆竹零售经营安全管理实施细则》经2020年10月14日重庆市荣昌</w:t>
      </w:r>
      <w:r>
        <w:rPr>
          <w:rFonts w:ascii="方正仿宋_GBK" w:hAnsi="宋体"/>
          <w:bCs/>
          <w:szCs w:val="32"/>
        </w:rPr>
        <w:t>区第十七届人民政府第</w:t>
      </w:r>
      <w:r>
        <w:rPr>
          <w:rFonts w:hint="eastAsia" w:ascii="方正仿宋_GBK" w:hAnsi="宋体"/>
          <w:bCs/>
          <w:szCs w:val="32"/>
        </w:rPr>
        <w:t>91</w:t>
      </w:r>
      <w:r>
        <w:rPr>
          <w:rFonts w:ascii="方正仿宋_GBK" w:hAnsi="宋体"/>
          <w:bCs/>
          <w:szCs w:val="32"/>
        </w:rPr>
        <w:t>次常务会议审议通过，现印发给</w:t>
      </w:r>
      <w:r>
        <w:rPr>
          <w:rFonts w:hint="eastAsia" w:ascii="方正仿宋_GBK" w:hAnsi="宋体"/>
          <w:bCs/>
          <w:szCs w:val="32"/>
        </w:rPr>
        <w:t>你们</w:t>
      </w:r>
      <w:r>
        <w:rPr>
          <w:rFonts w:ascii="方正仿宋_GBK" w:hAnsi="宋体"/>
          <w:bCs/>
          <w:szCs w:val="32"/>
        </w:rPr>
        <w:t>，请认真遵照执行。</w:t>
      </w:r>
    </w:p>
    <w:p>
      <w:pPr>
        <w:keepNext w:val="0"/>
        <w:keepLines w:val="0"/>
        <w:pageBreakBefore w:val="0"/>
        <w:kinsoku/>
        <w:overflowPunct/>
        <w:topLinePunct w:val="0"/>
        <w:autoSpaceDE/>
        <w:autoSpaceDN/>
        <w:bidi w:val="0"/>
        <w:adjustRightInd/>
        <w:snapToGrid w:val="0"/>
        <w:spacing w:line="600" w:lineRule="exact"/>
        <w:textAlignment w:val="auto"/>
        <w:rPr>
          <w:rFonts w:hint="eastAsia" w:ascii="方正仿宋_GBK" w:hAnsi="宋体"/>
          <w:bCs/>
          <w:szCs w:val="32"/>
        </w:rPr>
      </w:pPr>
    </w:p>
    <w:p>
      <w:pPr>
        <w:keepNext w:val="0"/>
        <w:keepLines w:val="0"/>
        <w:pageBreakBefore w:val="0"/>
        <w:kinsoku/>
        <w:overflowPunct/>
        <w:topLinePunct w:val="0"/>
        <w:autoSpaceDE/>
        <w:autoSpaceDN/>
        <w:bidi w:val="0"/>
        <w:adjustRightInd/>
        <w:snapToGrid w:val="0"/>
        <w:spacing w:line="600" w:lineRule="exact"/>
        <w:ind w:firstLine="641"/>
        <w:jc w:val="right"/>
        <w:textAlignment w:val="auto"/>
        <w:rPr>
          <w:rFonts w:hint="eastAsia" w:ascii="方正仿宋_GBK" w:hAnsi="宋体"/>
          <w:szCs w:val="32"/>
        </w:rPr>
      </w:pPr>
    </w:p>
    <w:p>
      <w:pPr>
        <w:keepNext w:val="0"/>
        <w:keepLines w:val="0"/>
        <w:pageBreakBefore w:val="0"/>
        <w:kinsoku/>
        <w:wordWrap w:val="0"/>
        <w:overflowPunct/>
        <w:topLinePunct w:val="0"/>
        <w:autoSpaceDE/>
        <w:autoSpaceDN/>
        <w:bidi w:val="0"/>
        <w:adjustRightInd/>
        <w:spacing w:line="600" w:lineRule="exact"/>
        <w:ind w:right="301" w:rightChars="94" w:firstLine="960" w:firstLineChars="300"/>
        <w:jc w:val="right"/>
        <w:textAlignment w:val="auto"/>
        <w:rPr>
          <w:rFonts w:hint="eastAsia" w:ascii="方正仿宋_GBK" w:hAnsi="宋体" w:cs="仿宋"/>
          <w:szCs w:val="32"/>
        </w:rPr>
      </w:pPr>
      <w:r>
        <w:rPr>
          <w:rFonts w:hint="eastAsia" w:ascii="方正仿宋_GBK" w:hAnsi="宋体" w:cs="仿宋"/>
          <w:szCs w:val="32"/>
        </w:rPr>
        <w:t xml:space="preserve">                重庆市荣昌区人民政府办公室  </w:t>
      </w:r>
    </w:p>
    <w:p>
      <w:pPr>
        <w:keepNext w:val="0"/>
        <w:keepLines w:val="0"/>
        <w:pageBreakBefore w:val="0"/>
        <w:kinsoku/>
        <w:wordWrap w:val="0"/>
        <w:overflowPunct/>
        <w:topLinePunct w:val="0"/>
        <w:autoSpaceDE/>
        <w:autoSpaceDN/>
        <w:bidi w:val="0"/>
        <w:adjustRightInd/>
        <w:snapToGrid w:val="0"/>
        <w:spacing w:line="600" w:lineRule="exact"/>
        <w:jc w:val="right"/>
        <w:textAlignment w:val="auto"/>
        <w:rPr>
          <w:rFonts w:hint="eastAsia" w:ascii="方正仿宋_GBK" w:hAnsi="宋体" w:cs="仿宋"/>
          <w:szCs w:val="32"/>
        </w:rPr>
      </w:pPr>
      <w:r>
        <w:rPr>
          <w:rFonts w:hint="eastAsia" w:ascii="方正仿宋_GBK" w:hAnsi="宋体"/>
          <w:szCs w:val="32"/>
        </w:rPr>
        <w:t xml:space="preserve">  2020</w:t>
      </w:r>
      <w:r>
        <w:rPr>
          <w:rFonts w:hint="eastAsia" w:ascii="方正仿宋_GBK" w:hAnsi="宋体" w:cs="仿宋"/>
          <w:szCs w:val="32"/>
        </w:rPr>
        <w:t xml:space="preserve">年10月27日        </w:t>
      </w:r>
    </w:p>
    <w:p>
      <w:pPr>
        <w:keepNext w:val="0"/>
        <w:keepLines w:val="0"/>
        <w:pageBreakBefore w:val="0"/>
        <w:widowControl/>
        <w:kinsoku/>
        <w:overflowPunct/>
        <w:topLinePunct w:val="0"/>
        <w:autoSpaceDE/>
        <w:autoSpaceDN/>
        <w:bidi w:val="0"/>
        <w:adjustRightInd/>
        <w:spacing w:line="600" w:lineRule="exact"/>
        <w:ind w:firstLine="640" w:firstLineChars="200"/>
        <w:jc w:val="left"/>
        <w:textAlignment w:val="auto"/>
        <w:rPr>
          <w:rFonts w:hint="eastAsia" w:ascii="方正仿宋_GBK" w:hAnsi="宋体" w:cs="方正仿宋_GBK"/>
          <w:color w:val="000000"/>
          <w:szCs w:val="32"/>
          <w:shd w:val="clear" w:color="auto" w:fill="FFFFFF"/>
          <w:lang w:bidi="ar"/>
        </w:rPr>
      </w:pPr>
      <w:r>
        <w:rPr>
          <w:rFonts w:hint="eastAsia" w:ascii="方正仿宋_GBK" w:hAnsi="宋体" w:cs="方正仿宋_GBK"/>
          <w:color w:val="000000"/>
          <w:szCs w:val="32"/>
          <w:shd w:val="clear" w:color="auto" w:fill="FFFFFF"/>
          <w:lang w:bidi="ar"/>
        </w:rPr>
        <w:t>（此件公开发布）</w:t>
      </w:r>
    </w:p>
    <w:p>
      <w:pPr>
        <w:pStyle w:val="3"/>
        <w:rPr>
          <w:rFonts w:hint="eastAsia" w:ascii="宋体" w:hAnsi="宋体"/>
          <w:kern w:val="2"/>
        </w:rPr>
      </w:pPr>
    </w:p>
    <w:p>
      <w:pPr>
        <w:pStyle w:val="3"/>
        <w:snapToGrid w:val="0"/>
        <w:spacing w:before="0" w:after="0" w:line="240" w:lineRule="auto"/>
        <w:jc w:val="center"/>
        <w:rPr>
          <w:rFonts w:hint="eastAsia" w:ascii="宋体" w:hAnsi="宋体"/>
          <w:kern w:val="2"/>
        </w:rPr>
      </w:pPr>
      <w:r>
        <w:rPr>
          <w:rFonts w:hint="eastAsia" w:ascii="宋体" w:hAnsi="宋体"/>
          <w:kern w:val="2"/>
        </w:rPr>
        <w:br w:type="page"/>
      </w:r>
    </w:p>
    <w:p>
      <w:pPr>
        <w:pStyle w:val="3"/>
        <w:snapToGrid w:val="0"/>
        <w:spacing w:before="0" w:after="0" w:line="240" w:lineRule="auto"/>
        <w:jc w:val="center"/>
        <w:rPr>
          <w:rFonts w:hint="eastAsia" w:ascii="宋体" w:hAnsi="宋体" w:cs="方正小标宋_GBK"/>
          <w:color w:val="000000"/>
          <w:kern w:val="2"/>
          <w:shd w:val="clear" w:color="auto" w:fill="FFFFFF"/>
        </w:rPr>
      </w:pPr>
    </w:p>
    <w:p>
      <w:pPr>
        <w:pStyle w:val="3"/>
        <w:keepNext w:val="0"/>
        <w:keepLines w:val="0"/>
        <w:pageBreakBefore w:val="0"/>
        <w:widowControl w:val="0"/>
        <w:kinsoku/>
        <w:wordWrap/>
        <w:overflowPunct/>
        <w:topLinePunct w:val="0"/>
        <w:autoSpaceDE/>
        <w:bidi w:val="0"/>
        <w:adjustRightInd/>
        <w:snapToGrid w:val="0"/>
        <w:spacing w:before="0" w:after="0" w:line="540" w:lineRule="exact"/>
        <w:jc w:val="center"/>
        <w:textAlignment w:val="auto"/>
        <w:rPr>
          <w:rFonts w:hint="eastAsia" w:ascii="宋体" w:hAnsi="宋体" w:cs="方正小标宋_GBK"/>
          <w:color w:val="000000"/>
          <w:kern w:val="2"/>
          <w:shd w:val="clear" w:color="auto" w:fill="FFFFFF"/>
        </w:rPr>
      </w:pPr>
      <w:r>
        <w:rPr>
          <w:rFonts w:hint="eastAsia" w:ascii="宋体" w:hAnsi="宋体" w:cs="方正小标宋_GBK"/>
          <w:color w:val="000000"/>
          <w:kern w:val="2"/>
          <w:shd w:val="clear" w:color="auto" w:fill="FFFFFF"/>
        </w:rPr>
        <w:t>重庆市荣昌区烟花爆竹零售经营安全</w:t>
      </w:r>
    </w:p>
    <w:p>
      <w:pPr>
        <w:keepNext w:val="0"/>
        <w:keepLines w:val="0"/>
        <w:pageBreakBefore w:val="0"/>
        <w:widowControl w:val="0"/>
        <w:shd w:val="solid" w:color="FFFFFF" w:fill="auto"/>
        <w:kinsoku/>
        <w:wordWrap/>
        <w:overflowPunct/>
        <w:topLinePunct w:val="0"/>
        <w:autoSpaceDE/>
        <w:autoSpaceDN w:val="0"/>
        <w:bidi w:val="0"/>
        <w:adjustRightInd/>
        <w:snapToGrid w:val="0"/>
        <w:spacing w:line="540" w:lineRule="exact"/>
        <w:jc w:val="center"/>
        <w:textAlignment w:val="auto"/>
        <w:rPr>
          <w:rFonts w:hint="eastAsia" w:ascii="宋体" w:hAnsi="宋体" w:eastAsia="方正小标宋_GBK" w:cs="方正小标宋_GBK"/>
          <w:color w:val="000000"/>
          <w:sz w:val="44"/>
          <w:szCs w:val="44"/>
          <w:shd w:val="clear" w:color="auto" w:fill="FFFFFF"/>
        </w:rPr>
      </w:pPr>
      <w:r>
        <w:rPr>
          <w:rFonts w:hint="eastAsia" w:ascii="宋体" w:hAnsi="宋体" w:eastAsia="方正小标宋_GBK" w:cs="方正小标宋_GBK"/>
          <w:color w:val="000000"/>
          <w:sz w:val="44"/>
          <w:szCs w:val="44"/>
          <w:shd w:val="clear" w:color="auto" w:fill="FFFFFF"/>
        </w:rPr>
        <w:t>管理实施细则</w:t>
      </w:r>
    </w:p>
    <w:p>
      <w:pPr>
        <w:pStyle w:val="2"/>
        <w:rPr>
          <w:rFonts w:hint="eastAsia"/>
        </w:rPr>
      </w:pPr>
    </w:p>
    <w:p>
      <w:pPr>
        <w:keepNext w:val="0"/>
        <w:keepLines w:val="0"/>
        <w:pageBreakBefore w:val="0"/>
        <w:shd w:val="solid" w:color="FFFFFF" w:fill="auto"/>
        <w:kinsoku/>
        <w:wordWrap/>
        <w:overflowPunct/>
        <w:topLinePunct w:val="0"/>
        <w:autoSpaceDN w:val="0"/>
        <w:bidi w:val="0"/>
        <w:snapToGrid w:val="0"/>
        <w:spacing w:line="600" w:lineRule="exact"/>
        <w:jc w:val="center"/>
        <w:textAlignment w:val="auto"/>
        <w:rPr>
          <w:rFonts w:hint="eastAsia" w:ascii="宋体" w:hAnsi="宋体" w:eastAsia="方正黑体_GBK" w:cs="方正小标宋_GBK"/>
        </w:rPr>
      </w:pPr>
      <w:r>
        <w:rPr>
          <w:rFonts w:hint="eastAsia" w:ascii="宋体" w:hAnsi="宋体" w:eastAsia="方正黑体_GBK" w:cs="方正小标宋_GBK"/>
        </w:rPr>
        <w:t>第一章  总  则</w:t>
      </w:r>
    </w:p>
    <w:p>
      <w:pPr>
        <w:pStyle w:val="2"/>
        <w:keepNext w:val="0"/>
        <w:keepLines w:val="0"/>
        <w:pageBreakBefore w:val="0"/>
        <w:kinsoku/>
        <w:wordWrap/>
        <w:overflowPunct/>
        <w:topLinePunct w:val="0"/>
        <w:bidi w:val="0"/>
        <w:spacing w:line="600" w:lineRule="exact"/>
        <w:textAlignment w:val="auto"/>
        <w:rPr>
          <w:rFonts w:hint="eastAsia"/>
        </w:rPr>
      </w:pP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黑体_GBK" w:hAnsi="宋体" w:eastAsia="方正黑体_GBK"/>
        </w:rPr>
        <w:t xml:space="preserve">第一条 </w:t>
      </w:r>
      <w:r>
        <w:rPr>
          <w:rFonts w:ascii="方正仿宋_GBK" w:hAnsi="宋体"/>
        </w:rPr>
        <w:t xml:space="preserve"> 为规范全</w:t>
      </w:r>
      <w:r>
        <w:rPr>
          <w:rFonts w:hint="eastAsia" w:ascii="方正仿宋_GBK" w:hAnsi="宋体"/>
        </w:rPr>
        <w:t>区</w:t>
      </w:r>
      <w:r>
        <w:rPr>
          <w:rFonts w:ascii="方正仿宋_GBK" w:hAnsi="宋体"/>
        </w:rPr>
        <w:t>烟花爆竹零售经营安全管理工作，保障人民群众生命财产安全，创建优良发展环境，根据《烟花爆竹安全管理条例》（国务院令第455号）、《烟花爆竹经营许可实施办法》（</w:t>
      </w:r>
      <w:r>
        <w:rPr>
          <w:rFonts w:hint="eastAsia" w:ascii="方正仿宋_GBK" w:hAnsi="宋体"/>
        </w:rPr>
        <w:t>中华人民共和国</w:t>
      </w:r>
      <w:r>
        <w:rPr>
          <w:rFonts w:ascii="方正仿宋_GBK" w:hAnsi="宋体"/>
        </w:rPr>
        <w:t>国家安全</w:t>
      </w:r>
      <w:r>
        <w:rPr>
          <w:rFonts w:hint="eastAsia" w:ascii="方正仿宋_GBK" w:hAnsi="宋体"/>
        </w:rPr>
        <w:t>生产</w:t>
      </w:r>
      <w:r>
        <w:rPr>
          <w:rFonts w:ascii="方正仿宋_GBK" w:hAnsi="宋体"/>
        </w:rPr>
        <w:t>监</w:t>
      </w:r>
      <w:r>
        <w:rPr>
          <w:rFonts w:hint="eastAsia" w:ascii="方正仿宋_GBK" w:hAnsi="宋体"/>
        </w:rPr>
        <w:t>督</w:t>
      </w:r>
      <w:r>
        <w:rPr>
          <w:rFonts w:ascii="方正仿宋_GBK" w:hAnsi="宋体"/>
        </w:rPr>
        <w:t>管</w:t>
      </w:r>
      <w:r>
        <w:rPr>
          <w:rFonts w:hint="eastAsia" w:ascii="方正仿宋_GBK" w:hAnsi="宋体"/>
        </w:rPr>
        <w:t>理</w:t>
      </w:r>
      <w:r>
        <w:rPr>
          <w:rFonts w:ascii="方正仿宋_GBK" w:hAnsi="宋体"/>
        </w:rPr>
        <w:t>总局令第65号）</w:t>
      </w:r>
      <w:r>
        <w:rPr>
          <w:rFonts w:hint="eastAsia" w:ascii="方正仿宋_GBK" w:hAnsi="宋体"/>
        </w:rPr>
        <w:t>、</w:t>
      </w:r>
      <w:r>
        <w:rPr>
          <w:rFonts w:ascii="方正仿宋_GBK" w:hAnsi="宋体"/>
        </w:rPr>
        <w:t>《重庆市燃放烟花爆竹管理条例》等规定，结合</w:t>
      </w:r>
      <w:r>
        <w:rPr>
          <w:rFonts w:hint="eastAsia" w:ascii="方正仿宋_GBK" w:hAnsi="宋体"/>
        </w:rPr>
        <w:t>我区</w:t>
      </w:r>
      <w:r>
        <w:rPr>
          <w:rFonts w:ascii="方正仿宋_GBK" w:hAnsi="宋体"/>
        </w:rPr>
        <w:t>实际，制定本</w:t>
      </w:r>
      <w:r>
        <w:rPr>
          <w:rFonts w:hint="eastAsia" w:ascii="方正仿宋_GBK" w:hAnsi="宋体"/>
        </w:rPr>
        <w:t>实施细则</w:t>
      </w:r>
      <w:r>
        <w:rPr>
          <w:rFonts w:ascii="方正仿宋_GBK" w:hAnsi="宋体"/>
        </w:rPr>
        <w:t>。</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黑体_GBK" w:hAnsi="宋体" w:eastAsia="方正黑体_GBK"/>
        </w:rPr>
        <w:t xml:space="preserve">第二条 </w:t>
      </w:r>
      <w:r>
        <w:rPr>
          <w:rFonts w:ascii="方正仿宋_GBK" w:hAnsi="宋体"/>
        </w:rPr>
        <w:t xml:space="preserve"> 本</w:t>
      </w:r>
      <w:r>
        <w:rPr>
          <w:rFonts w:hint="eastAsia" w:ascii="方正仿宋_GBK" w:hAnsi="宋体"/>
        </w:rPr>
        <w:t>区</w:t>
      </w:r>
      <w:r>
        <w:rPr>
          <w:rFonts w:ascii="方正仿宋_GBK" w:hAnsi="宋体"/>
        </w:rPr>
        <w:t>行政区域内烟花爆竹的零售经营，适用本</w:t>
      </w:r>
      <w:r>
        <w:rPr>
          <w:rFonts w:hint="eastAsia" w:ascii="方正仿宋_GBK" w:hAnsi="宋体"/>
        </w:rPr>
        <w:t>实施细则</w:t>
      </w:r>
      <w:r>
        <w:rPr>
          <w:rFonts w:ascii="方正仿宋_GBK" w:hAnsi="宋体"/>
        </w:rPr>
        <w:t>。法律、法规、规章另有规定的，从其规定。</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黑体_GBK" w:hAnsi="宋体" w:eastAsia="方正黑体_GBK"/>
        </w:rPr>
        <w:t>第</w:t>
      </w:r>
      <w:r>
        <w:rPr>
          <w:rFonts w:hint="eastAsia" w:ascii="方正黑体_GBK" w:hAnsi="宋体" w:eastAsia="方正黑体_GBK"/>
        </w:rPr>
        <w:t>三</w:t>
      </w:r>
      <w:r>
        <w:rPr>
          <w:rFonts w:ascii="方正黑体_GBK" w:hAnsi="宋体" w:eastAsia="方正黑体_GBK"/>
        </w:rPr>
        <w:t>条</w:t>
      </w:r>
      <w:r>
        <w:rPr>
          <w:rFonts w:ascii="方正仿宋_GBK" w:hAnsi="宋体"/>
        </w:rPr>
        <w:t xml:space="preserve">  国家对烟花爆竹经营实行许可制度。凡在</w:t>
      </w:r>
      <w:r>
        <w:rPr>
          <w:rFonts w:hint="eastAsia" w:ascii="方正仿宋_GBK" w:hAnsi="宋体"/>
        </w:rPr>
        <w:t>本</w:t>
      </w:r>
      <w:r>
        <w:rPr>
          <w:rFonts w:ascii="方正仿宋_GBK" w:hAnsi="宋体"/>
        </w:rPr>
        <w:t>行政区域内从事烟花爆竹零售</w:t>
      </w:r>
      <w:r>
        <w:rPr>
          <w:rFonts w:hint="eastAsia" w:ascii="方正仿宋_GBK" w:hAnsi="宋体"/>
        </w:rPr>
        <w:t>的</w:t>
      </w:r>
      <w:r>
        <w:rPr>
          <w:rFonts w:ascii="方正仿宋_GBK" w:hAnsi="宋体"/>
        </w:rPr>
        <w:t>经营者（以下简称零售经营者），必须取得《烟花爆竹经营（零售）许可证》，并办理营业执照。</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未经许可，任何单位或者个人不得从事烟花爆竹经营活动。</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黑体_GBK" w:hAnsi="宋体" w:eastAsia="方正黑体_GBK"/>
        </w:rPr>
        <w:t>第四条</w:t>
      </w:r>
      <w:r>
        <w:rPr>
          <w:rFonts w:ascii="方正仿宋_GBK" w:hAnsi="宋体"/>
        </w:rPr>
        <w:t xml:space="preserve">  区</w:t>
      </w:r>
      <w:r>
        <w:rPr>
          <w:rFonts w:hint="eastAsia" w:ascii="方正仿宋_GBK" w:hAnsi="宋体"/>
        </w:rPr>
        <w:t>应急局</w:t>
      </w:r>
      <w:r>
        <w:rPr>
          <w:rFonts w:ascii="方正仿宋_GBK" w:hAnsi="宋体"/>
        </w:rPr>
        <w:t>负责本行政区域内烟花爆竹零售经营布点规划与零售许可证的颁发和管理工作。</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按照保障安全、合理布局、</w:t>
      </w:r>
      <w:r>
        <w:rPr>
          <w:rFonts w:hint="eastAsia" w:ascii="方正仿宋_GBK" w:hAnsi="宋体"/>
        </w:rPr>
        <w:t>适度竞争</w:t>
      </w:r>
      <w:r>
        <w:rPr>
          <w:rFonts w:ascii="方正仿宋_GBK" w:hAnsi="宋体"/>
        </w:rPr>
        <w:t>的原则，结合辖区居住人口分布和人群流动实际情况，区</w:t>
      </w:r>
      <w:r>
        <w:rPr>
          <w:rFonts w:hint="eastAsia" w:ascii="方正仿宋_GBK" w:hAnsi="宋体"/>
        </w:rPr>
        <w:t>应急局负责</w:t>
      </w:r>
      <w:r>
        <w:rPr>
          <w:rFonts w:ascii="方正仿宋_GBK" w:hAnsi="宋体"/>
        </w:rPr>
        <w:t>编制本辖区烟花爆竹零售经营布点规划方案，布点规划方案应当明确布点的具体地址及经营品种范围。</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hint="eastAsia" w:ascii="方正仿宋_GBK" w:hAnsi="宋体"/>
        </w:rPr>
        <w:t>城市建成区内</w:t>
      </w:r>
      <w:r>
        <w:rPr>
          <w:rFonts w:ascii="方正仿宋_GBK" w:hAnsi="宋体"/>
        </w:rPr>
        <w:t>禁止燃放烟花爆竹，</w:t>
      </w:r>
      <w:r>
        <w:rPr>
          <w:rFonts w:hint="eastAsia" w:ascii="方正仿宋_GBK" w:hAnsi="宋体"/>
        </w:rPr>
        <w:t>禁止生产、经营和储存烟花爆竹。城市建成区</w:t>
      </w:r>
      <w:r>
        <w:rPr>
          <w:rFonts w:ascii="方正仿宋_GBK" w:hAnsi="宋体"/>
        </w:rPr>
        <w:t>的具体范围，由区人民政府确定并向社会公布</w:t>
      </w:r>
      <w:r>
        <w:rPr>
          <w:rFonts w:hint="eastAsia" w:ascii="方正仿宋_GBK" w:hAnsi="宋体"/>
        </w:rPr>
        <w:t>。</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黑体_GBK" w:hAnsi="宋体" w:eastAsia="方正黑体_GBK"/>
        </w:rPr>
        <w:t>第</w:t>
      </w:r>
      <w:r>
        <w:rPr>
          <w:rFonts w:hint="eastAsia" w:ascii="方正黑体_GBK" w:hAnsi="宋体" w:eastAsia="方正黑体_GBK"/>
        </w:rPr>
        <w:t>五</w:t>
      </w:r>
      <w:r>
        <w:rPr>
          <w:rFonts w:ascii="方正黑体_GBK" w:hAnsi="宋体" w:eastAsia="方正黑体_GBK"/>
        </w:rPr>
        <w:t>条</w:t>
      </w:r>
      <w:r>
        <w:rPr>
          <w:rFonts w:ascii="方正仿宋_GBK" w:hAnsi="宋体"/>
        </w:rPr>
        <w:t xml:space="preserve">  负有烟花爆竹安全监管职能的部门职责：</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（一）</w:t>
      </w:r>
      <w:r>
        <w:rPr>
          <w:rFonts w:hint="eastAsia" w:ascii="方正仿宋_GBK" w:hAnsi="宋体"/>
        </w:rPr>
        <w:t>区应急局</w:t>
      </w:r>
      <w:r>
        <w:rPr>
          <w:rFonts w:ascii="方正仿宋_GBK" w:hAnsi="宋体"/>
        </w:rPr>
        <w:t>负责烟花爆竹零售经营的许可和管理工作，</w:t>
      </w:r>
      <w:r>
        <w:rPr>
          <w:rFonts w:hint="eastAsia" w:ascii="方正仿宋_GBK" w:hAnsi="宋体"/>
        </w:rPr>
        <w:t>按照职责对违反</w:t>
      </w:r>
      <w:r>
        <w:rPr>
          <w:rFonts w:ascii="方正仿宋_GBK" w:hAnsi="宋体"/>
        </w:rPr>
        <w:t>《烟花爆竹安全管理条例》等有关法律法规的行为</w:t>
      </w:r>
      <w:r>
        <w:rPr>
          <w:rFonts w:hint="eastAsia" w:ascii="方正仿宋_GBK" w:hAnsi="宋体"/>
        </w:rPr>
        <w:t>进行查处</w:t>
      </w:r>
      <w:r>
        <w:rPr>
          <w:rFonts w:ascii="方正仿宋_GBK" w:hAnsi="宋体"/>
        </w:rPr>
        <w:t>，作为烟花爆竹“打非”牵头部门，组织</w:t>
      </w:r>
      <w:r>
        <w:rPr>
          <w:rFonts w:hint="eastAsia" w:ascii="方正仿宋_GBK" w:hAnsi="宋体"/>
        </w:rPr>
        <w:t>相关职能</w:t>
      </w:r>
      <w:r>
        <w:rPr>
          <w:rFonts w:ascii="方正仿宋_GBK" w:hAnsi="宋体"/>
        </w:rPr>
        <w:t>部门按照各自职责打击烟花爆竹违法行为；</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（二）</w:t>
      </w:r>
      <w:r>
        <w:rPr>
          <w:rFonts w:hint="eastAsia" w:ascii="方正仿宋_GBK" w:hAnsi="宋体"/>
        </w:rPr>
        <w:t>区</w:t>
      </w:r>
      <w:r>
        <w:rPr>
          <w:rFonts w:ascii="方正仿宋_GBK" w:hAnsi="宋体"/>
        </w:rPr>
        <w:t>公安</w:t>
      </w:r>
      <w:r>
        <w:rPr>
          <w:rFonts w:hint="eastAsia" w:ascii="方正仿宋_GBK" w:hAnsi="宋体"/>
        </w:rPr>
        <w:t>局</w:t>
      </w:r>
      <w:r>
        <w:rPr>
          <w:rFonts w:ascii="方正仿宋_GBK" w:hAnsi="宋体"/>
        </w:rPr>
        <w:t>负责烟花爆竹的公共安全管理，</w:t>
      </w:r>
      <w:r>
        <w:rPr>
          <w:rFonts w:hint="eastAsia" w:ascii="方正仿宋_GBK" w:hAnsi="宋体"/>
        </w:rPr>
        <w:t>按照职责，</w:t>
      </w:r>
      <w:r>
        <w:rPr>
          <w:rFonts w:ascii="方正仿宋_GBK" w:hAnsi="宋体"/>
        </w:rPr>
        <w:t>负责烟花爆竹道路运输、焰火晚会燃放的许可和管理工作，</w:t>
      </w:r>
      <w:r>
        <w:rPr>
          <w:rFonts w:hint="eastAsia" w:ascii="方正仿宋_GBK" w:hAnsi="宋体"/>
        </w:rPr>
        <w:t>积极配合区应急局等部门做好查处打击非法经营烟花爆竹工作，对非法经营烟花爆竹构成违反治安管理行为的，</w:t>
      </w:r>
      <w:r>
        <w:rPr>
          <w:rFonts w:ascii="方正仿宋_GBK" w:hAnsi="宋体"/>
        </w:rPr>
        <w:t xml:space="preserve"> </w:t>
      </w:r>
      <w:r>
        <w:rPr>
          <w:rFonts w:hint="eastAsia" w:ascii="方正仿宋_GBK" w:hAnsi="宋体"/>
        </w:rPr>
        <w:t>依法给予治安管理处罚；对阻碍行政执法的，依法查处</w:t>
      </w:r>
      <w:r>
        <w:rPr>
          <w:rFonts w:ascii="方正仿宋_GBK" w:hAnsi="宋体"/>
        </w:rPr>
        <w:t>；</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（三）</w:t>
      </w:r>
      <w:r>
        <w:rPr>
          <w:rFonts w:hint="eastAsia" w:ascii="方正仿宋_GBK" w:hAnsi="宋体"/>
        </w:rPr>
        <w:t>区</w:t>
      </w:r>
      <w:r>
        <w:rPr>
          <w:rFonts w:ascii="方正仿宋_GBK" w:hAnsi="宋体"/>
        </w:rPr>
        <w:t>市场监管</w:t>
      </w:r>
      <w:r>
        <w:rPr>
          <w:rFonts w:hint="eastAsia" w:ascii="方正仿宋_GBK" w:hAnsi="宋体"/>
        </w:rPr>
        <w:t>局</w:t>
      </w:r>
      <w:r>
        <w:rPr>
          <w:rFonts w:ascii="方正仿宋_GBK" w:hAnsi="宋体"/>
        </w:rPr>
        <w:t>负责核发烟花爆竹经营的营业执照，负责烟花爆竹的质量监督，依法查处销售假冒及“三无”烟花爆竹的行为；</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（四）</w:t>
      </w:r>
      <w:r>
        <w:rPr>
          <w:rFonts w:hint="eastAsia" w:ascii="方正仿宋_GBK" w:hAnsi="宋体"/>
        </w:rPr>
        <w:t>区</w:t>
      </w:r>
      <w:r>
        <w:rPr>
          <w:rFonts w:ascii="方正仿宋_GBK" w:hAnsi="宋体"/>
        </w:rPr>
        <w:t>供销合作</w:t>
      </w:r>
      <w:r>
        <w:rPr>
          <w:rFonts w:hint="eastAsia" w:ascii="方正仿宋_GBK" w:hAnsi="宋体"/>
        </w:rPr>
        <w:t>社</w:t>
      </w:r>
      <w:r>
        <w:rPr>
          <w:rFonts w:ascii="方正仿宋_GBK" w:hAnsi="宋体"/>
        </w:rPr>
        <w:t>负责全</w:t>
      </w:r>
      <w:r>
        <w:rPr>
          <w:rFonts w:hint="eastAsia" w:ascii="方正仿宋_GBK" w:hAnsi="宋体"/>
        </w:rPr>
        <w:t>区</w:t>
      </w:r>
      <w:r>
        <w:rPr>
          <w:rFonts w:ascii="方正仿宋_GBK" w:hAnsi="宋体"/>
        </w:rPr>
        <w:t>烟花爆竹的统一归口经营管理工作，配合做好零售经营选点、规划和管理有关工作；</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hint="eastAsia" w:ascii="方正仿宋_GBK" w:hAnsi="宋体"/>
        </w:rPr>
      </w:pPr>
      <w:r>
        <w:rPr>
          <w:rFonts w:ascii="方正仿宋_GBK" w:hAnsi="宋体"/>
        </w:rPr>
        <w:t>（</w:t>
      </w:r>
      <w:r>
        <w:rPr>
          <w:rFonts w:hint="eastAsia" w:ascii="方正仿宋_GBK" w:hAnsi="宋体"/>
        </w:rPr>
        <w:t>五</w:t>
      </w:r>
      <w:r>
        <w:rPr>
          <w:rFonts w:ascii="方正仿宋_GBK" w:hAnsi="宋体"/>
        </w:rPr>
        <w:t>）</w:t>
      </w:r>
      <w:r>
        <w:rPr>
          <w:rFonts w:hint="eastAsia" w:ascii="方正仿宋_GBK" w:hAnsi="宋体"/>
        </w:rPr>
        <w:t>重庆</w:t>
      </w:r>
      <w:r>
        <w:rPr>
          <w:rFonts w:ascii="方正仿宋_GBK" w:hAnsi="宋体"/>
        </w:rPr>
        <w:t>邮政管理</w:t>
      </w:r>
      <w:r>
        <w:rPr>
          <w:rFonts w:hint="eastAsia" w:ascii="方正仿宋_GBK" w:hAnsi="宋体"/>
        </w:rPr>
        <w:t>局七分局</w:t>
      </w:r>
      <w:r>
        <w:rPr>
          <w:rFonts w:ascii="方正仿宋_GBK" w:hAnsi="宋体"/>
        </w:rPr>
        <w:t>负责对邮政和快递企业的监管，督导邮政和快递企业严格执行邮件、快件收寄验视制度，及时将邮寄烟花爆竹和在邮件、快件中夹带烟花爆竹的行为移送公安部门依法查处；</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w:t>
      </w:r>
      <w:r>
        <w:rPr>
          <w:rFonts w:hint="eastAsia" w:ascii="方正仿宋_GBK" w:hAnsi="宋体"/>
        </w:rPr>
        <w:t>六</w:t>
      </w:r>
      <w:r>
        <w:rPr>
          <w:rFonts w:ascii="方正仿宋_GBK" w:hAnsi="宋体"/>
        </w:rPr>
        <w:t>）</w:t>
      </w:r>
      <w:r>
        <w:rPr>
          <w:rFonts w:hint="eastAsia" w:ascii="方正仿宋_GBK" w:hAnsi="宋体"/>
        </w:rPr>
        <w:t>各镇街</w:t>
      </w:r>
      <w:r>
        <w:rPr>
          <w:rFonts w:ascii="方正仿宋_GBK" w:hAnsi="宋体"/>
        </w:rPr>
        <w:t>负责对</w:t>
      </w:r>
      <w:r>
        <w:rPr>
          <w:rFonts w:hint="eastAsia" w:ascii="方正仿宋_GBK" w:hAnsi="宋体"/>
        </w:rPr>
        <w:t>辖区</w:t>
      </w:r>
      <w:r>
        <w:rPr>
          <w:rFonts w:ascii="方正仿宋_GBK" w:hAnsi="宋体"/>
        </w:rPr>
        <w:t>烟花爆竹零售经营</w:t>
      </w:r>
      <w:r>
        <w:rPr>
          <w:rFonts w:hint="eastAsia" w:ascii="方正仿宋_GBK" w:hAnsi="宋体"/>
        </w:rPr>
        <w:t>日常监督管理</w:t>
      </w:r>
      <w:r>
        <w:rPr>
          <w:rFonts w:ascii="方正仿宋_GBK" w:hAnsi="宋体"/>
        </w:rPr>
        <w:t>履行法定消防安全职责情况进行监督，依法查处违反消防法律法规的行为。</w:t>
      </w:r>
    </w:p>
    <w:p>
      <w:pPr>
        <w:pStyle w:val="2"/>
        <w:keepNext w:val="0"/>
        <w:keepLines w:val="0"/>
        <w:pageBreakBefore w:val="0"/>
        <w:kinsoku/>
        <w:wordWrap/>
        <w:overflowPunct/>
        <w:topLinePunct w:val="0"/>
        <w:bidi w:val="0"/>
        <w:spacing w:line="600" w:lineRule="exact"/>
        <w:textAlignment w:val="auto"/>
      </w:pPr>
    </w:p>
    <w:p>
      <w:pPr>
        <w:keepNext w:val="0"/>
        <w:keepLines w:val="0"/>
        <w:pageBreakBefore w:val="0"/>
        <w:shd w:val="solid" w:color="FFFFFF" w:fill="auto"/>
        <w:kinsoku/>
        <w:wordWrap/>
        <w:overflowPunct/>
        <w:topLinePunct w:val="0"/>
        <w:autoSpaceDN w:val="0"/>
        <w:bidi w:val="0"/>
        <w:snapToGrid w:val="0"/>
        <w:spacing w:line="600" w:lineRule="exact"/>
        <w:jc w:val="center"/>
        <w:textAlignment w:val="auto"/>
        <w:rPr>
          <w:rFonts w:hint="eastAsia" w:ascii="方正黑体_GBK" w:hAnsi="宋体" w:eastAsia="方正黑体_GBK" w:cs="方正小标宋_GBK"/>
        </w:rPr>
      </w:pPr>
      <w:r>
        <w:rPr>
          <w:rFonts w:hint="eastAsia" w:ascii="方正黑体_GBK" w:hAnsi="宋体" w:eastAsia="方正黑体_GBK" w:cs="方正小标宋_GBK"/>
        </w:rPr>
        <w:t>第二章  零售经营安全</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黑体_GBK" w:hAnsi="宋体" w:eastAsia="方正黑体_GBK"/>
        </w:rPr>
      </w:pP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黑体_GBK" w:hAnsi="宋体" w:eastAsia="方正黑体_GBK"/>
        </w:rPr>
        <w:t>第</w:t>
      </w:r>
      <w:r>
        <w:rPr>
          <w:rFonts w:hint="eastAsia" w:ascii="方正黑体_GBK" w:hAnsi="宋体" w:eastAsia="方正黑体_GBK"/>
        </w:rPr>
        <w:t>六</w:t>
      </w:r>
      <w:r>
        <w:rPr>
          <w:rFonts w:ascii="方正黑体_GBK" w:hAnsi="宋体" w:eastAsia="方正黑体_GBK"/>
        </w:rPr>
        <w:t xml:space="preserve">条  </w:t>
      </w:r>
      <w:r>
        <w:rPr>
          <w:rFonts w:ascii="方正仿宋_GBK" w:hAnsi="宋体"/>
        </w:rPr>
        <w:t>从事烟花爆竹零售的经营者（以下简称“零售经营者”）应当符合下列条件：</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（一）符合</w:t>
      </w:r>
      <w:r>
        <w:rPr>
          <w:rFonts w:hint="eastAsia" w:ascii="方正仿宋_GBK" w:hAnsi="宋体"/>
        </w:rPr>
        <w:t>区应急局</w:t>
      </w:r>
      <w:r>
        <w:rPr>
          <w:rFonts w:ascii="方正仿宋_GBK" w:hAnsi="宋体"/>
        </w:rPr>
        <w:t>制定的零售经营布点规划；</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（二）主要负责人经过安全培训合格，销售人员经过安全知识教育；</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（三）</w:t>
      </w:r>
      <w:r>
        <w:rPr>
          <w:rFonts w:hint="eastAsia" w:ascii="方正仿宋_GBK" w:hAnsi="宋体"/>
        </w:rPr>
        <w:t>春节期间零售点实行专店销售。乡村长期零售点在淡季实行专柜销售时，安排专人销售，专柜相对独立，并与其他柜台保持一定的距离，保证安全通道畅通</w:t>
      </w:r>
      <w:r>
        <w:rPr>
          <w:rFonts w:ascii="方正仿宋_GBK" w:hAnsi="宋体"/>
        </w:rPr>
        <w:t>；</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hint="eastAsia" w:ascii="方正仿宋_GBK" w:hAnsi="宋体"/>
        </w:rPr>
      </w:pPr>
      <w:r>
        <w:rPr>
          <w:rFonts w:ascii="方正仿宋_GBK" w:hAnsi="宋体"/>
        </w:rPr>
        <w:t>（四）</w:t>
      </w:r>
      <w:r>
        <w:rPr>
          <w:rFonts w:hint="eastAsia" w:ascii="方正仿宋_GBK" w:hAnsi="宋体"/>
        </w:rPr>
        <w:t>烟花爆竹</w:t>
      </w:r>
      <w:r>
        <w:rPr>
          <w:rFonts w:ascii="方正仿宋_GBK" w:hAnsi="宋体"/>
        </w:rPr>
        <w:t>零售点的零售场所面积不小于10平方米，其周边50米范围内应当没有其他烟花爆竹零售点，并与学校、幼儿园、医院、集贸市场等人员密集场所和加油站等易燃易爆物品生产、储存设施等重点建筑物保持100米以上的安全距离；</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hint="eastAsia" w:ascii="方正仿宋_GBK" w:hAnsi="宋体"/>
        </w:rPr>
      </w:pPr>
      <w:r>
        <w:rPr>
          <w:rFonts w:hint="eastAsia" w:ascii="方正仿宋_GBK" w:hAnsi="宋体"/>
        </w:rPr>
        <w:t>（五）烟花爆竹零售点零售场所配备必要的消防器材，张贴明显的安全警示标志；</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（六）法律、法规规定的其他条件。</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hint="eastAsia" w:ascii="方正仿宋_GBK" w:hAnsi="宋体"/>
        </w:rPr>
      </w:pPr>
      <w:r>
        <w:rPr>
          <w:rFonts w:ascii="方正黑体_GBK" w:hAnsi="宋体" w:eastAsia="方正黑体_GBK"/>
        </w:rPr>
        <w:t>第七条</w:t>
      </w:r>
      <w:r>
        <w:rPr>
          <w:rFonts w:hint="eastAsia" w:ascii="方正黑体_GBK" w:hAnsi="宋体" w:eastAsia="方正黑体_GBK"/>
        </w:rPr>
        <w:t xml:space="preserve"> </w:t>
      </w:r>
      <w:r>
        <w:rPr>
          <w:rFonts w:hint="eastAsia" w:ascii="方正仿宋_GBK" w:hAnsi="宋体"/>
        </w:rPr>
        <w:t xml:space="preserve"> </w:t>
      </w:r>
      <w:r>
        <w:rPr>
          <w:rFonts w:ascii="方正仿宋_GBK" w:hAnsi="宋体"/>
        </w:rPr>
        <w:t>烟花爆竹零售店（点）</w:t>
      </w:r>
      <w:r>
        <w:rPr>
          <w:rFonts w:hint="eastAsia" w:ascii="方正仿宋_GBK" w:hAnsi="宋体"/>
        </w:rPr>
        <w:t>安全条件应当满足</w:t>
      </w:r>
      <w:r>
        <w:rPr>
          <w:rFonts w:ascii="方正仿宋_GBK" w:hAnsi="宋体"/>
        </w:rPr>
        <w:t>《烟花爆竹零售店（点）安全技术规范》</w:t>
      </w:r>
      <w:r>
        <w:rPr>
          <w:rFonts w:hint="eastAsia" w:ascii="方正仿宋_GBK" w:hAnsi="宋体"/>
        </w:rPr>
        <w:t>（AQ4128—2019）的</w:t>
      </w:r>
      <w:r>
        <w:rPr>
          <w:rFonts w:ascii="方正仿宋_GBK" w:hAnsi="宋体"/>
        </w:rPr>
        <w:t>规定</w:t>
      </w:r>
      <w:r>
        <w:rPr>
          <w:rFonts w:hint="eastAsia" w:ascii="方正仿宋_GBK" w:hAnsi="宋体"/>
        </w:rPr>
        <w:t>。</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黑体_GBK" w:hAnsi="宋体" w:eastAsia="方正黑体_GBK"/>
        </w:rPr>
        <w:t>第八条</w:t>
      </w:r>
      <w:r>
        <w:rPr>
          <w:rFonts w:ascii="方正仿宋_GBK" w:hAnsi="宋体"/>
        </w:rPr>
        <w:t xml:space="preserve">  </w:t>
      </w:r>
      <w:r>
        <w:rPr>
          <w:rFonts w:hint="eastAsia" w:ascii="方正仿宋_GBK" w:hAnsi="宋体"/>
        </w:rPr>
        <w:t>区应急局</w:t>
      </w:r>
      <w:r>
        <w:rPr>
          <w:rFonts w:ascii="方正仿宋_GBK" w:hAnsi="宋体"/>
        </w:rPr>
        <w:t>按《烟花爆竹零售店（点）安全技术规范》</w:t>
      </w:r>
      <w:r>
        <w:rPr>
          <w:rFonts w:hint="eastAsia" w:ascii="方正仿宋_GBK" w:hAnsi="宋体"/>
        </w:rPr>
        <w:t>（AQ4128—2019）等</w:t>
      </w:r>
      <w:r>
        <w:rPr>
          <w:rFonts w:ascii="方正仿宋_GBK" w:hAnsi="宋体"/>
        </w:rPr>
        <w:t>规定</w:t>
      </w:r>
      <w:r>
        <w:rPr>
          <w:rFonts w:hint="eastAsia" w:ascii="方正仿宋_GBK" w:hAnsi="宋体"/>
        </w:rPr>
        <w:t>，结合我区实际情况</w:t>
      </w:r>
      <w:r>
        <w:rPr>
          <w:rFonts w:ascii="方正仿宋_GBK" w:hAnsi="宋体"/>
        </w:rPr>
        <w:t>核定零售许可证的烟花爆竹储存限量</w:t>
      </w:r>
      <w:r>
        <w:rPr>
          <w:rFonts w:hint="eastAsia" w:ascii="方正仿宋_GBK" w:hAnsi="宋体"/>
        </w:rPr>
        <w:t>。</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黑体_GBK" w:hAnsi="宋体" w:eastAsia="方正黑体_GBK"/>
        </w:rPr>
        <w:t>第九条</w:t>
      </w:r>
      <w:r>
        <w:rPr>
          <w:rFonts w:ascii="方正仿宋_GBK" w:hAnsi="宋体"/>
        </w:rPr>
        <w:t xml:space="preserve">  零售经营者许可销售的烟花爆竹应当为符合《烟花爆竹安全与质量》（GB10631</w:t>
      </w:r>
      <w:r>
        <w:rPr>
          <w:rFonts w:hint="eastAsia" w:ascii="方正仿宋_GBK" w:hAnsi="宋体"/>
        </w:rPr>
        <w:t>—</w:t>
      </w:r>
      <w:r>
        <w:rPr>
          <w:rFonts w:ascii="方正仿宋_GBK" w:hAnsi="宋体"/>
        </w:rPr>
        <w:t>2013）的C级、D级个人燃放类烟花爆竹产品。</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hint="eastAsia" w:ascii="方正仿宋_GBK" w:hAnsi="宋体"/>
        </w:rPr>
      </w:pPr>
      <w:r>
        <w:rPr>
          <w:rFonts w:ascii="方正黑体_GBK" w:hAnsi="宋体" w:eastAsia="方正黑体_GBK"/>
        </w:rPr>
        <w:t>第十条</w:t>
      </w:r>
      <w:r>
        <w:rPr>
          <w:rFonts w:hint="eastAsia" w:ascii="方正仿宋_GBK" w:hAnsi="宋体"/>
        </w:rPr>
        <w:t xml:space="preserve">  </w:t>
      </w:r>
      <w:r>
        <w:rPr>
          <w:rFonts w:ascii="方正仿宋_GBK" w:hAnsi="宋体"/>
        </w:rPr>
        <w:t>《烟花爆竹经营（零售）许可证》的颁发程序。</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hint="eastAsia" w:ascii="方正仿宋_GBK" w:hAnsi="宋体"/>
        </w:rPr>
      </w:pPr>
      <w:r>
        <w:rPr>
          <w:rFonts w:ascii="方正仿宋_GBK" w:hAnsi="宋体"/>
          <w:szCs w:val="22"/>
        </w:rPr>
        <w:t>烟花爆竹零售经营者在取得安全知识培训合格证后</w:t>
      </w:r>
      <w:r>
        <w:rPr>
          <w:rFonts w:hint="eastAsia" w:ascii="方正仿宋_GBK" w:hAnsi="宋体"/>
          <w:szCs w:val="22"/>
        </w:rPr>
        <w:t>可依法向区应急局申请领取</w:t>
      </w:r>
      <w:r>
        <w:rPr>
          <w:rFonts w:ascii="方正仿宋_GBK" w:hAnsi="宋体"/>
        </w:rPr>
        <w:t>《烟花爆竹经营（零售）许可证》</w:t>
      </w:r>
      <w:r>
        <w:rPr>
          <w:rFonts w:hint="eastAsia" w:ascii="方正仿宋_GBK" w:hAnsi="宋体"/>
        </w:rPr>
        <w:t>。</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hint="eastAsia" w:ascii="方正仿宋_GBK" w:hAnsi="宋体"/>
          <w:szCs w:val="22"/>
        </w:rPr>
      </w:pPr>
      <w:r>
        <w:rPr>
          <w:rFonts w:hint="eastAsia" w:ascii="方正仿宋_GBK" w:hAnsi="宋体"/>
        </w:rPr>
        <w:t>为</w:t>
      </w:r>
      <w:r>
        <w:rPr>
          <w:rFonts w:ascii="方正仿宋_GBK" w:hAnsi="宋体"/>
          <w:szCs w:val="22"/>
        </w:rPr>
        <w:t>方便经营者快速取得许可证，各镇街应急</w:t>
      </w:r>
      <w:r>
        <w:rPr>
          <w:rFonts w:hint="eastAsia" w:ascii="方正仿宋_GBK" w:hAnsi="宋体"/>
          <w:szCs w:val="22"/>
        </w:rPr>
        <w:t>办可以代区应急局收取</w:t>
      </w:r>
      <w:r>
        <w:rPr>
          <w:rFonts w:ascii="方正仿宋_GBK" w:hAnsi="宋体"/>
          <w:szCs w:val="22"/>
        </w:rPr>
        <w:t>申请书、零售点及其周围安全条件说明和区</w:t>
      </w:r>
      <w:r>
        <w:rPr>
          <w:rFonts w:hint="eastAsia" w:ascii="方正仿宋_GBK" w:hAnsi="宋体"/>
          <w:szCs w:val="22"/>
        </w:rPr>
        <w:t>应急局</w:t>
      </w:r>
      <w:r>
        <w:rPr>
          <w:rFonts w:ascii="方正仿宋_GBK" w:hAnsi="宋体"/>
          <w:szCs w:val="22"/>
        </w:rPr>
        <w:t>要求提供的其他材料</w:t>
      </w:r>
      <w:r>
        <w:rPr>
          <w:rFonts w:hint="eastAsia" w:ascii="方正仿宋_GBK" w:hAnsi="宋体"/>
          <w:szCs w:val="22"/>
        </w:rPr>
        <w:t>，并协助</w:t>
      </w:r>
      <w:r>
        <w:rPr>
          <w:rFonts w:ascii="方正仿宋_GBK" w:hAnsi="宋体"/>
          <w:szCs w:val="22"/>
        </w:rPr>
        <w:t>烟花爆竹零售经营者</w:t>
      </w:r>
      <w:r>
        <w:rPr>
          <w:rFonts w:hint="eastAsia" w:ascii="方正仿宋_GBK" w:hAnsi="宋体"/>
          <w:szCs w:val="22"/>
        </w:rPr>
        <w:t>在重庆市政务服务网完成网上申报工作。</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hint="eastAsia" w:ascii="方正仿宋_GBK" w:hAnsi="宋体"/>
          <w:szCs w:val="22"/>
        </w:rPr>
        <w:t>区应急</w:t>
      </w:r>
      <w:r>
        <w:rPr>
          <w:rFonts w:ascii="方正仿宋_GBK" w:hAnsi="宋体"/>
          <w:szCs w:val="22"/>
        </w:rPr>
        <w:t>局接到</w:t>
      </w:r>
      <w:r>
        <w:rPr>
          <w:rFonts w:hint="eastAsia" w:ascii="方正仿宋_GBK" w:hAnsi="宋体"/>
          <w:szCs w:val="22"/>
        </w:rPr>
        <w:t>网上</w:t>
      </w:r>
      <w:r>
        <w:rPr>
          <w:rFonts w:hint="eastAsia" w:ascii="方正仿宋_GBK" w:hAnsi="宋体"/>
        </w:rPr>
        <w:t>申请后</w:t>
      </w:r>
      <w:r>
        <w:rPr>
          <w:rFonts w:ascii="方正仿宋_GBK" w:hAnsi="宋体"/>
        </w:rPr>
        <w:t>，应</w:t>
      </w:r>
      <w:r>
        <w:rPr>
          <w:rFonts w:hint="eastAsia" w:ascii="方正仿宋_GBK" w:hAnsi="宋体"/>
        </w:rPr>
        <w:t>当</w:t>
      </w:r>
      <w:r>
        <w:rPr>
          <w:rFonts w:ascii="方正仿宋_GBK" w:hAnsi="宋体"/>
        </w:rPr>
        <w:t>对申请材料和零售场所的安全条件进行现场核查，并提出书面审查意见；在受理申请之日起</w:t>
      </w:r>
      <w:r>
        <w:rPr>
          <w:rFonts w:hint="eastAsia" w:ascii="方正仿宋_GBK" w:hAnsi="宋体"/>
        </w:rPr>
        <w:t>20</w:t>
      </w:r>
      <w:r>
        <w:rPr>
          <w:rFonts w:ascii="方正仿宋_GBK" w:hAnsi="宋体"/>
        </w:rPr>
        <w:t>个工作日内做出</w:t>
      </w:r>
      <w:r>
        <w:rPr>
          <w:rFonts w:hint="eastAsia" w:ascii="方正仿宋_GBK" w:hAnsi="宋体"/>
        </w:rPr>
        <w:t>颁</w:t>
      </w:r>
      <w:r>
        <w:rPr>
          <w:rFonts w:ascii="方正仿宋_GBK" w:hAnsi="宋体"/>
        </w:rPr>
        <w:t>发或者不予</w:t>
      </w:r>
      <w:r>
        <w:rPr>
          <w:rFonts w:hint="eastAsia" w:ascii="方正仿宋_GBK" w:hAnsi="宋体"/>
        </w:rPr>
        <w:t>颁</w:t>
      </w:r>
      <w:r>
        <w:rPr>
          <w:rFonts w:ascii="方正仿宋_GBK" w:hAnsi="宋体"/>
        </w:rPr>
        <w:t>发许可证的决定，并书面告知申请人。对决定不予</w:t>
      </w:r>
      <w:r>
        <w:rPr>
          <w:rFonts w:hint="eastAsia" w:ascii="方正仿宋_GBK" w:hAnsi="宋体"/>
        </w:rPr>
        <w:t>颁</w:t>
      </w:r>
      <w:r>
        <w:rPr>
          <w:rFonts w:ascii="方正仿宋_GBK" w:hAnsi="宋体"/>
        </w:rPr>
        <w:t>发许可证的，应书面说明理由。</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黑体_GBK" w:hAnsi="宋体" w:eastAsia="方正黑体_GBK"/>
        </w:rPr>
        <w:t>第十一条　</w:t>
      </w:r>
      <w:r>
        <w:rPr>
          <w:rFonts w:ascii="方正仿宋_GBK" w:hAnsi="宋体"/>
        </w:rPr>
        <w:t xml:space="preserve">零售经营者申请办理《烟花爆竹经营（零售）许可证》应当提交下列申请文件、资料，并对其真实性负责： </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 xml:space="preserve">（一）《烟花爆竹经营（零售）许可证》申请书； </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w:t>
      </w:r>
      <w:r>
        <w:rPr>
          <w:rFonts w:hint="eastAsia" w:ascii="方正仿宋_GBK" w:hAnsi="宋体"/>
        </w:rPr>
        <w:t>二</w:t>
      </w:r>
      <w:r>
        <w:rPr>
          <w:rFonts w:ascii="方正仿宋_GBK" w:hAnsi="宋体"/>
        </w:rPr>
        <w:t>）零售点</w:t>
      </w:r>
      <w:r>
        <w:rPr>
          <w:rFonts w:hint="eastAsia" w:ascii="方正仿宋_GBK" w:hAnsi="宋体"/>
        </w:rPr>
        <w:t>及其</w:t>
      </w:r>
      <w:r>
        <w:rPr>
          <w:rFonts w:ascii="方正仿宋_GBK" w:hAnsi="宋体"/>
        </w:rPr>
        <w:t>周边安全条件情况说明（附四邻平面示意图）</w:t>
      </w:r>
      <w:r>
        <w:rPr>
          <w:rFonts w:hint="eastAsia" w:ascii="方正仿宋_GBK" w:hAnsi="宋体"/>
        </w:rPr>
        <w:t>。</w:t>
      </w:r>
      <w:r>
        <w:rPr>
          <w:rFonts w:ascii="方正仿宋_GBK" w:hAnsi="宋体"/>
        </w:rPr>
        <w:t xml:space="preserve"> </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hint="eastAsia" w:ascii="方正仿宋_GBK" w:hAnsi="宋体"/>
        </w:rPr>
        <w:t>（三）区应急局要求提供的其他材料。</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黑体_GBK" w:hAnsi="宋体" w:eastAsia="方正黑体_GBK"/>
        </w:rPr>
        <w:t>第十二条</w:t>
      </w:r>
      <w:r>
        <w:rPr>
          <w:rFonts w:ascii="方正仿宋_GBK" w:hAnsi="宋体"/>
        </w:rPr>
        <w:t xml:space="preserve"> </w:t>
      </w:r>
      <w:r>
        <w:rPr>
          <w:rFonts w:hint="eastAsia" w:ascii="方正仿宋_GBK" w:hAnsi="宋体"/>
        </w:rPr>
        <w:t xml:space="preserve"> </w:t>
      </w:r>
      <w:r>
        <w:rPr>
          <w:rFonts w:ascii="方正仿宋_GBK" w:hAnsi="宋体"/>
        </w:rPr>
        <w:t>《烟花爆竹经营（零售）许可证》的有效期限由区</w:t>
      </w:r>
      <w:r>
        <w:rPr>
          <w:rFonts w:hint="eastAsia" w:ascii="方正仿宋_GBK" w:hAnsi="宋体"/>
        </w:rPr>
        <w:t>应急局</w:t>
      </w:r>
      <w:r>
        <w:rPr>
          <w:rFonts w:ascii="方正仿宋_GBK" w:hAnsi="宋体"/>
        </w:rPr>
        <w:t>确定，最长不超过2年。</w:t>
      </w:r>
    </w:p>
    <w:p>
      <w:pPr>
        <w:keepNext w:val="0"/>
        <w:keepLines w:val="0"/>
        <w:pageBreakBefore w:val="0"/>
        <w:shd w:val="solid" w:color="FFFFFF" w:fill="auto"/>
        <w:kinsoku/>
        <w:wordWrap/>
        <w:overflowPunct/>
        <w:topLinePunct w:val="0"/>
        <w:autoSpaceDN w:val="0"/>
        <w:bidi w:val="0"/>
        <w:snapToGrid w:val="0"/>
        <w:spacing w:line="600" w:lineRule="exact"/>
        <w:jc w:val="center"/>
        <w:textAlignment w:val="auto"/>
        <w:rPr>
          <w:rFonts w:ascii="方正黑体_GBK" w:hAnsi="宋体" w:eastAsia="方正黑体_GBK" w:cs="方正小标宋_GBK"/>
        </w:rPr>
      </w:pPr>
    </w:p>
    <w:p>
      <w:pPr>
        <w:keepNext w:val="0"/>
        <w:keepLines w:val="0"/>
        <w:pageBreakBefore w:val="0"/>
        <w:shd w:val="solid" w:color="FFFFFF" w:fill="auto"/>
        <w:kinsoku/>
        <w:wordWrap/>
        <w:overflowPunct/>
        <w:topLinePunct w:val="0"/>
        <w:autoSpaceDN w:val="0"/>
        <w:bidi w:val="0"/>
        <w:snapToGrid w:val="0"/>
        <w:spacing w:line="600" w:lineRule="exact"/>
        <w:jc w:val="center"/>
        <w:textAlignment w:val="auto"/>
        <w:rPr>
          <w:rFonts w:ascii="方正黑体_GBK" w:hAnsi="宋体" w:eastAsia="方正黑体_GBK" w:cs="方正小标宋_GBK"/>
        </w:rPr>
      </w:pPr>
      <w:r>
        <w:rPr>
          <w:rFonts w:ascii="方正黑体_GBK" w:hAnsi="宋体" w:eastAsia="方正黑体_GBK" w:cs="方正小标宋_GBK"/>
        </w:rPr>
        <w:t>第三章  监督管理</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eastAsia="方正黑体_GBK"/>
        </w:rPr>
      </w:pP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eastAsia="方正黑体_GBK"/>
        </w:rPr>
        <w:t xml:space="preserve">第十三条 </w:t>
      </w:r>
      <w:r>
        <w:rPr>
          <w:rFonts w:ascii="方正仿宋_GBK" w:hAnsi="宋体"/>
        </w:rPr>
        <w:t xml:space="preserve"> 零售经营者应当持有效的</w:t>
      </w:r>
      <w:r>
        <w:rPr>
          <w:rFonts w:hint="eastAsia" w:ascii="方正仿宋_GBK" w:hAnsi="宋体"/>
        </w:rPr>
        <w:t>《烟花爆竹经营（零售）许可证》</w:t>
      </w:r>
      <w:r>
        <w:rPr>
          <w:rFonts w:ascii="方正仿宋_GBK" w:hAnsi="宋体"/>
        </w:rPr>
        <w:t>向取得《烟花爆竹经营（批发）许可证》的企业（以下简称“批发企业”）采购烟花爆竹，并签订购</w:t>
      </w:r>
      <w:r>
        <w:rPr>
          <w:rFonts w:hint="eastAsia" w:ascii="方正仿宋_GBK" w:hAnsi="宋体"/>
          <w:lang w:eastAsia="zh-CN"/>
        </w:rPr>
        <w:t>买</w:t>
      </w:r>
      <w:r>
        <w:rPr>
          <w:rFonts w:ascii="方正仿宋_GBK" w:hAnsi="宋体"/>
        </w:rPr>
        <w:t>合同。</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hint="eastAsia" w:ascii="方正仿宋_GBK" w:hAnsi="宋体"/>
        </w:rPr>
      </w:pPr>
      <w:r>
        <w:rPr>
          <w:rFonts w:ascii="方正仿宋_GBK" w:hAnsi="宋体"/>
        </w:rPr>
        <w:t>批发企业应当向零售经营者及零售经营场所提供烟花爆竹配送服务。</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仿宋_GBK" w:hAnsi="宋体"/>
        </w:rPr>
        <w:t>经由道路运输烟花爆竹的，应当</w:t>
      </w:r>
      <w:r>
        <w:rPr>
          <w:rFonts w:hint="eastAsia" w:ascii="方正仿宋_GBK" w:hAnsi="宋体"/>
        </w:rPr>
        <w:t>经</w:t>
      </w:r>
      <w:r>
        <w:rPr>
          <w:rFonts w:ascii="方正仿宋_GBK" w:hAnsi="宋体"/>
        </w:rPr>
        <w:t>公安部门</w:t>
      </w:r>
      <w:r>
        <w:rPr>
          <w:rFonts w:hint="eastAsia" w:ascii="方正仿宋_GBK" w:hAnsi="宋体"/>
        </w:rPr>
        <w:t>许可并按照许可规定的时间、路线等运输烟花爆竹</w:t>
      </w:r>
      <w:r>
        <w:rPr>
          <w:rFonts w:ascii="方正仿宋_GBK" w:hAnsi="宋体"/>
        </w:rPr>
        <w:t>。</w:t>
      </w:r>
      <w:bookmarkStart w:id="0" w:name="_GoBack"/>
      <w:bookmarkEnd w:id="0"/>
    </w:p>
    <w:p>
      <w:pPr>
        <w:pStyle w:val="6"/>
        <w:keepNext w:val="0"/>
        <w:keepLines w:val="0"/>
        <w:pageBreakBefore w:val="0"/>
        <w:kinsoku/>
        <w:wordWrap/>
        <w:overflowPunct/>
        <w:topLinePunct w:val="0"/>
        <w:bidi w:val="0"/>
        <w:spacing w:line="600" w:lineRule="exact"/>
        <w:ind w:firstLine="640" w:firstLineChars="200"/>
        <w:jc w:val="both"/>
        <w:textAlignment w:val="auto"/>
        <w:rPr>
          <w:rFonts w:ascii="方正仿宋_GBK" w:hAnsi="宋体"/>
          <w:szCs w:val="22"/>
        </w:rPr>
      </w:pPr>
      <w:r>
        <w:rPr>
          <w:rFonts w:ascii="方正黑体_GBK" w:hAnsi="宋体" w:eastAsia="方正黑体_GBK"/>
          <w:szCs w:val="24"/>
        </w:rPr>
        <w:t>第十四条</w:t>
      </w:r>
      <w:r>
        <w:rPr>
          <w:rFonts w:ascii="方正仿宋_GBK" w:hAnsi="宋体"/>
        </w:rPr>
        <w:t xml:space="preserve"> </w:t>
      </w:r>
      <w:r>
        <w:rPr>
          <w:rFonts w:hint="eastAsia" w:ascii="方正仿宋_GBK" w:hAnsi="宋体"/>
        </w:rPr>
        <w:t xml:space="preserve"> </w:t>
      </w:r>
      <w:r>
        <w:rPr>
          <w:rFonts w:ascii="方正仿宋_GBK" w:hAnsi="宋体"/>
          <w:szCs w:val="22"/>
        </w:rPr>
        <w:t>零售经营者不得采购和销售非法生产、经营的烟花爆竹和产品质量不符合国家标准或者行业标准规定的烟花爆竹。</w:t>
      </w:r>
    </w:p>
    <w:p>
      <w:pPr>
        <w:pStyle w:val="6"/>
        <w:keepNext w:val="0"/>
        <w:keepLines w:val="0"/>
        <w:pageBreakBefore w:val="0"/>
        <w:kinsoku/>
        <w:wordWrap/>
        <w:overflowPunct/>
        <w:topLinePunct w:val="0"/>
        <w:bidi w:val="0"/>
        <w:spacing w:line="600" w:lineRule="exact"/>
        <w:ind w:firstLine="640" w:firstLineChars="200"/>
        <w:jc w:val="both"/>
        <w:textAlignment w:val="auto"/>
        <w:rPr>
          <w:rFonts w:hint="eastAsia" w:ascii="方正仿宋_GBK" w:hAnsi="宋体"/>
        </w:rPr>
      </w:pPr>
      <w:r>
        <w:rPr>
          <w:rFonts w:ascii="方正仿宋_GBK" w:hAnsi="宋体"/>
        </w:rPr>
        <w:t>零售经营者不得采购、储存和销售礼花弹等应当由专业燃放人员燃放的烟花爆竹，不得采购、储存和销售烟火药、黑火药、引火线。</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hint="eastAsia" w:ascii="方正黑体_GBK" w:hAnsi="宋体" w:eastAsia="方正黑体_GBK"/>
        </w:rPr>
        <w:t xml:space="preserve">第十五条 </w:t>
      </w:r>
      <w:r>
        <w:rPr>
          <w:rFonts w:hint="eastAsia" w:ascii="方正仿宋_GBK" w:hAnsi="宋体"/>
        </w:rPr>
        <w:t xml:space="preserve"> </w:t>
      </w:r>
      <w:r>
        <w:rPr>
          <w:rFonts w:ascii="方正仿宋_GBK" w:hAnsi="宋体"/>
        </w:rPr>
        <w:t>零售经营者应当持有效的烟花爆竹零售经营许可证在许可载明的零售场所储存、销售烟花爆竹，不得设立烟花爆竹仓库（中转库）。</w:t>
      </w:r>
    </w:p>
    <w:p>
      <w:pPr>
        <w:pStyle w:val="6"/>
        <w:keepNext w:val="0"/>
        <w:keepLines w:val="0"/>
        <w:pageBreakBefore w:val="0"/>
        <w:kinsoku/>
        <w:wordWrap/>
        <w:overflowPunct/>
        <w:topLinePunct w:val="0"/>
        <w:bidi w:val="0"/>
        <w:spacing w:line="600" w:lineRule="exact"/>
        <w:ind w:firstLine="640" w:firstLineChars="200"/>
        <w:jc w:val="both"/>
        <w:textAlignment w:val="auto"/>
        <w:rPr>
          <w:rFonts w:ascii="方正仿宋_GBK" w:hAnsi="宋体"/>
        </w:rPr>
      </w:pPr>
      <w:r>
        <w:rPr>
          <w:rFonts w:ascii="方正仿宋_GBK" w:hAnsi="宋体"/>
          <w:szCs w:val="22"/>
        </w:rPr>
        <w:t>禁止在烟花爆竹经营许可证载明的储存（零售）场所以外储存烟花爆竹。零售点存放的烟花爆竹品种和数量，不得超过烟花爆竹经营许可证载明的范围和限量。</w:t>
      </w:r>
      <w:r>
        <w:rPr>
          <w:rFonts w:hint="eastAsia" w:ascii="方正仿宋_GBK" w:hAnsi="宋体"/>
          <w:szCs w:val="22"/>
        </w:rPr>
        <w:fldChar w:fldCharType="begin"/>
      </w:r>
      <w:r>
        <w:rPr>
          <w:rFonts w:hint="eastAsia" w:ascii="方正仿宋_GBK" w:hAnsi="宋体"/>
          <w:szCs w:val="22"/>
        </w:rPr>
        <w:instrText xml:space="preserve"> HYPERLINK "https://www.pkulaw.com/chl/javascript:void(0);" </w:instrText>
      </w:r>
      <w:r>
        <w:rPr>
          <w:rFonts w:hint="eastAsia" w:ascii="方正仿宋_GBK" w:hAnsi="宋体"/>
          <w:szCs w:val="22"/>
        </w:rPr>
        <w:fldChar w:fldCharType="separate"/>
      </w:r>
      <w:r>
        <w:rPr>
          <w:rFonts w:hint="eastAsia" w:ascii="方正仿宋_GBK" w:hAnsi="宋体"/>
          <w:szCs w:val="22"/>
        </w:rPr>
        <w:fldChar w:fldCharType="end"/>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ascii="方正仿宋_GBK" w:hAnsi="宋体"/>
        </w:rPr>
      </w:pPr>
      <w:r>
        <w:rPr>
          <w:rFonts w:ascii="方正黑体_GBK" w:hAnsi="宋体" w:eastAsia="方正黑体_GBK"/>
        </w:rPr>
        <w:t>第十</w:t>
      </w:r>
      <w:r>
        <w:rPr>
          <w:rFonts w:hint="eastAsia" w:ascii="方正黑体_GBK" w:hAnsi="宋体" w:eastAsia="方正黑体_GBK"/>
        </w:rPr>
        <w:t>六</w:t>
      </w:r>
      <w:r>
        <w:rPr>
          <w:rFonts w:ascii="方正黑体_GBK" w:hAnsi="宋体" w:eastAsia="方正黑体_GBK"/>
        </w:rPr>
        <w:t xml:space="preserve">条 </w:t>
      </w:r>
      <w:r>
        <w:rPr>
          <w:rFonts w:ascii="方正仿宋_GBK" w:hAnsi="宋体"/>
        </w:rPr>
        <w:t xml:space="preserve"> </w:t>
      </w:r>
      <w:r>
        <w:rPr>
          <w:rFonts w:hint="eastAsia" w:ascii="方正仿宋_GBK" w:hAnsi="宋体"/>
        </w:rPr>
        <w:t>区应急局</w:t>
      </w:r>
      <w:r>
        <w:rPr>
          <w:rFonts w:ascii="方正仿宋_GBK" w:hAnsi="宋体"/>
        </w:rPr>
        <w:t>应当坚持公开、公平、公正的原则，严格依照规定审查、核发</w:t>
      </w:r>
      <w:r>
        <w:rPr>
          <w:rFonts w:hint="eastAsia" w:ascii="方正仿宋_GBK" w:hAnsi="宋体"/>
        </w:rPr>
        <w:t>《烟花爆竹经营（零售）许可证》</w:t>
      </w:r>
      <w:r>
        <w:rPr>
          <w:rFonts w:ascii="方正仿宋_GBK" w:hAnsi="宋体"/>
        </w:rPr>
        <w:t>，</w:t>
      </w:r>
      <w:r>
        <w:rPr>
          <w:rFonts w:hint="eastAsia" w:ascii="方正仿宋_GBK" w:hAnsi="宋体"/>
        </w:rPr>
        <w:t>《烟花爆竹经营（零售）许可证》</w:t>
      </w:r>
      <w:r>
        <w:rPr>
          <w:rFonts w:ascii="方正仿宋_GBK" w:hAnsi="宋体"/>
        </w:rPr>
        <w:t>应当载明经营负责人、经营场所地址、经营期限、烟花爆竹种类和限制存放量，并建立健全烟花爆竹经营许可证的档案管理制度和信息化管理系统，定期向社会公告取证经营者的名单。</w:t>
      </w:r>
    </w:p>
    <w:p>
      <w:pPr>
        <w:keepNext w:val="0"/>
        <w:keepLines w:val="0"/>
        <w:pageBreakBefore w:val="0"/>
        <w:shd w:val="solid" w:color="FFFFFF" w:fill="auto"/>
        <w:kinsoku/>
        <w:wordWrap/>
        <w:overflowPunct/>
        <w:topLinePunct w:val="0"/>
        <w:autoSpaceDN w:val="0"/>
        <w:bidi w:val="0"/>
        <w:spacing w:line="600" w:lineRule="exact"/>
        <w:ind w:firstLine="640" w:firstLineChars="200"/>
        <w:textAlignment w:val="auto"/>
        <w:rPr>
          <w:rFonts w:hint="eastAsia" w:ascii="方正仿宋_GBK" w:hAnsi="宋体"/>
        </w:rPr>
      </w:pPr>
      <w:r>
        <w:rPr>
          <w:rFonts w:ascii="方正黑体_GBK" w:hAnsi="宋体" w:eastAsia="方正黑体_GBK"/>
        </w:rPr>
        <w:t>第十</w:t>
      </w:r>
      <w:r>
        <w:rPr>
          <w:rFonts w:hint="eastAsia" w:ascii="方正黑体_GBK" w:hAnsi="宋体" w:eastAsia="方正黑体_GBK"/>
        </w:rPr>
        <w:t>七</w:t>
      </w:r>
      <w:r>
        <w:rPr>
          <w:rFonts w:ascii="方正黑体_GBK" w:hAnsi="宋体" w:eastAsia="方正黑体_GBK"/>
        </w:rPr>
        <w:t>条</w:t>
      </w:r>
      <w:r>
        <w:rPr>
          <w:rFonts w:ascii="方正仿宋_GBK" w:hAnsi="宋体"/>
        </w:rPr>
        <w:t xml:space="preserve">  零售经营者有烟花爆竹经营安全违法行为的，由有关部门依照《中华人民共和国安全生产法》《中华人民共和国消防法》《烟花爆竹安全管理条例》《烟花爆竹经营许可实施办法》《重庆市燃放烟花爆竹管理条例》等相关法律、法规、规章的规定依法给予处罚。</w:t>
      </w:r>
    </w:p>
    <w:p>
      <w:pPr>
        <w:keepNext w:val="0"/>
        <w:keepLines w:val="0"/>
        <w:pageBreakBefore w:val="0"/>
        <w:shd w:val="solid" w:color="FFFFFF" w:fill="auto"/>
        <w:kinsoku/>
        <w:wordWrap/>
        <w:overflowPunct/>
        <w:topLinePunct w:val="0"/>
        <w:autoSpaceDN w:val="0"/>
        <w:bidi w:val="0"/>
        <w:snapToGrid w:val="0"/>
        <w:spacing w:line="600" w:lineRule="exact"/>
        <w:jc w:val="center"/>
        <w:textAlignment w:val="auto"/>
        <w:rPr>
          <w:rFonts w:ascii="方正黑体_GBK" w:hAnsi="宋体" w:eastAsia="方正黑体_GBK" w:cs="方正小标宋_GBK"/>
        </w:rPr>
      </w:pPr>
    </w:p>
    <w:p>
      <w:pPr>
        <w:keepNext w:val="0"/>
        <w:keepLines w:val="0"/>
        <w:pageBreakBefore w:val="0"/>
        <w:shd w:val="solid" w:color="FFFFFF" w:fill="auto"/>
        <w:kinsoku/>
        <w:wordWrap/>
        <w:overflowPunct/>
        <w:topLinePunct w:val="0"/>
        <w:autoSpaceDN w:val="0"/>
        <w:bidi w:val="0"/>
        <w:snapToGrid w:val="0"/>
        <w:spacing w:line="600" w:lineRule="exact"/>
        <w:jc w:val="center"/>
        <w:textAlignment w:val="auto"/>
        <w:rPr>
          <w:rFonts w:ascii="方正黑体_GBK" w:hAnsi="宋体" w:eastAsia="方正黑体_GBK" w:cs="方正小标宋_GBK"/>
        </w:rPr>
      </w:pPr>
      <w:r>
        <w:rPr>
          <w:rFonts w:ascii="方正黑体_GBK" w:hAnsi="宋体" w:eastAsia="方正黑体_GBK" w:cs="方正小标宋_GBK"/>
        </w:rPr>
        <w:t>第四章  附  则</w:t>
      </w:r>
    </w:p>
    <w:p>
      <w:pPr>
        <w:keepNext w:val="0"/>
        <w:keepLines w:val="0"/>
        <w:pageBreakBefore w:val="0"/>
        <w:kinsoku/>
        <w:wordWrap/>
        <w:overflowPunct/>
        <w:topLinePunct w:val="0"/>
        <w:bidi w:val="0"/>
        <w:adjustRightInd w:val="0"/>
        <w:snapToGrid w:val="0"/>
        <w:spacing w:line="600" w:lineRule="exact"/>
        <w:jc w:val="both"/>
        <w:textAlignment w:val="auto"/>
        <w:rPr>
          <w:rFonts w:ascii="方正黑体_GBK" w:hAnsi="宋体" w:eastAsia="方正黑体_GBK"/>
        </w:rPr>
      </w:pPr>
    </w:p>
    <w:p>
      <w:pPr>
        <w:keepNext w:val="0"/>
        <w:keepLines w:val="0"/>
        <w:pageBreakBefore w:val="0"/>
        <w:kinsoku/>
        <w:wordWrap/>
        <w:overflowPunct/>
        <w:topLinePunct w:val="0"/>
        <w:bidi w:val="0"/>
        <w:adjustRightInd w:val="0"/>
        <w:snapToGrid w:val="0"/>
        <w:spacing w:line="600" w:lineRule="exact"/>
        <w:jc w:val="both"/>
        <w:textAlignment w:val="auto"/>
        <w:rPr>
          <w:rFonts w:hint="eastAsia" w:ascii="方正小标宋_GBK" w:eastAsia="方正小标宋_GBK"/>
          <w:kern w:val="0"/>
          <w:sz w:val="44"/>
          <w:szCs w:val="44"/>
        </w:rPr>
      </w:pPr>
      <w:r>
        <w:rPr>
          <w:rFonts w:ascii="方正黑体_GBK" w:hAnsi="宋体" w:eastAsia="方正黑体_GBK"/>
        </w:rPr>
        <w:t>第十</w:t>
      </w:r>
      <w:r>
        <w:rPr>
          <w:rFonts w:hint="eastAsia" w:ascii="方正黑体_GBK" w:hAnsi="宋体" w:eastAsia="方正黑体_GBK"/>
        </w:rPr>
        <w:t>八</w:t>
      </w:r>
      <w:r>
        <w:rPr>
          <w:rFonts w:ascii="方正黑体_GBK" w:hAnsi="宋体" w:eastAsia="方正黑体_GBK"/>
        </w:rPr>
        <w:t xml:space="preserve">条 </w:t>
      </w:r>
      <w:r>
        <w:rPr>
          <w:rFonts w:ascii="方正仿宋_GBK" w:hAnsi="宋体"/>
        </w:rPr>
        <w:t xml:space="preserve"> 本</w:t>
      </w:r>
      <w:r>
        <w:rPr>
          <w:rFonts w:hint="eastAsia" w:ascii="方正仿宋_GBK" w:hAnsi="宋体"/>
        </w:rPr>
        <w:t>实施细则</w:t>
      </w:r>
      <w:r>
        <w:rPr>
          <w:rFonts w:ascii="方正仿宋_GBK" w:hAnsi="宋体"/>
        </w:rPr>
        <w:t>自发布之日起施行。</w:t>
      </w:r>
    </w:p>
    <w:p>
      <w:pPr>
        <w:keepNext w:val="0"/>
        <w:keepLines w:val="0"/>
        <w:pageBreakBefore w:val="0"/>
        <w:kinsoku/>
        <w:wordWrap/>
        <w:overflowPunct/>
        <w:topLinePunct w:val="0"/>
        <w:bidi w:val="0"/>
        <w:adjustRightInd w:val="0"/>
        <w:snapToGrid w:val="0"/>
        <w:spacing w:line="600" w:lineRule="exact"/>
        <w:jc w:val="both"/>
        <w:textAlignment w:val="auto"/>
        <w:rPr>
          <w:rFonts w:hint="eastAsia" w:ascii="方正小标宋_GBK" w:eastAsia="方正小标宋_GBK"/>
          <w:kern w:val="0"/>
          <w:sz w:val="44"/>
          <w:szCs w:val="44"/>
        </w:rPr>
      </w:pPr>
    </w:p>
    <w:p>
      <w:pPr>
        <w:keepNext w:val="0"/>
        <w:keepLines w:val="0"/>
        <w:pageBreakBefore w:val="0"/>
        <w:kinsoku/>
        <w:wordWrap/>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A31B0A"/>
    <w:rsid w:val="2DD05FE1"/>
    <w:rsid w:val="2EAE3447"/>
    <w:rsid w:val="31895E83"/>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B41451"/>
    <w:rsid w:val="55E064E0"/>
    <w:rsid w:val="572C6D10"/>
    <w:rsid w:val="58CF24CF"/>
    <w:rsid w:val="5DC34279"/>
    <w:rsid w:val="5DCF9B6A"/>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6</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2023-10-31T08:33:59Z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