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atLeast"/>
        <w:ind w:firstLine="440" w:firstLineChars="100"/>
        <w:jc w:val="both"/>
        <w:rPr>
          <w:rFonts w:hint="eastAsia" w:ascii="宋体" w:hAnsi="宋体" w:eastAsia="方正小标宋_GBK" w:cs="方正小标宋_GBK"/>
          <w:sz w:val="44"/>
          <w:szCs w:val="44"/>
        </w:rPr>
      </w:pPr>
    </w:p>
    <w:p>
      <w:pPr>
        <w:snapToGrid w:val="0"/>
        <w:spacing w:line="720" w:lineRule="atLeast"/>
        <w:ind w:firstLine="440" w:firstLineChars="100"/>
        <w:jc w:val="both"/>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atLeast"/>
        <w:ind w:firstLine="440" w:firstLineChars="10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重庆市荣昌区人民政府</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关于取消和承接一批行政许可事项的决定</w:t>
      </w:r>
    </w:p>
    <w:p>
      <w:pPr>
        <w:keepNext w:val="0"/>
        <w:keepLines w:val="0"/>
        <w:pageBreakBefore w:val="0"/>
        <w:kinsoku/>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荣昌府发〔2021〕1号</w:t>
      </w:r>
    </w:p>
    <w:p>
      <w:pPr>
        <w:keepNext w:val="0"/>
        <w:keepLines w:val="0"/>
        <w:pageBreakBefore w:val="0"/>
        <w:kinsoku/>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各镇人民政府，各街道办事处，区政府各部门，有关单位：</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重庆市人民政府关于取消、承接和下放一批行政许可事项的决定》（渝府发〔2020〕25号）精神，进一步转变政府职能，优化我区营商环境，经区政府第99次常务会审议通过，区政府决定对应取消区级行政许可事项4项，承接市政府下放的行政许可事项1项。现将上述取消和承接的5项行政许可事项目录予以公布，自公布之日起实施。</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政府有关部门和单位要加强组织领导，认真做好落实和衔接工作。要制定事中事后监管措施，采取“双随机、一公开”监管、重点监管、信用监管、“互联网+监管”等方式，确保放得开、接得住、管得好，防止出现监管真空。要加强信息公开，及时向社会公布有关事项事中事后监管细则，相应调整网上行政许可事项及办事指南，动态管理权力清单和责任清单。对取消的行政许可事项，不得擅自转交下属事业单位、协会继续审批，不得通过拆分、合并或重组等方式以新的名义、条目替代审批，不得以其他任何形式变相审批；对承接的行政许可事项要细化承接措施，确保平稳有序过渡。凡涉及许可事项调整的，相关部门和单位要及时制定事项调整工作方案并报区职转办（区政务管理办），区职转办、区司法局、区行政服务中心会同相关业务部门提出项目调整意见，提交区政府常务会审定。</w:t>
      </w:r>
    </w:p>
    <w:p>
      <w:pPr>
        <w:keepNext w:val="0"/>
        <w:keepLines w:val="0"/>
        <w:pageBreakBefore w:val="0"/>
        <w:kinsoku/>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 取消的行政许可事项目录</w:t>
      </w:r>
    </w:p>
    <w:p>
      <w:pPr>
        <w:keepNext w:val="0"/>
        <w:keepLines w:val="0"/>
        <w:pageBreakBefore w:val="0"/>
        <w:kinsoku/>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 承接的行政许可事项目录</w:t>
      </w:r>
    </w:p>
    <w:p>
      <w:pPr>
        <w:keepNext w:val="0"/>
        <w:keepLines w:val="0"/>
        <w:pageBreakBefore w:val="0"/>
        <w:kinsoku/>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val="0"/>
        <w:overflowPunct/>
        <w:topLinePunct w:val="0"/>
        <w:autoSpaceDE/>
        <w:autoSpaceDN/>
        <w:bidi w:val="0"/>
        <w:adjustRightInd/>
        <w:spacing w:line="600" w:lineRule="exact"/>
        <w:ind w:firstLine="960" w:firstLineChars="3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重庆市荣昌区人民政府      </w:t>
      </w:r>
    </w:p>
    <w:p>
      <w:pPr>
        <w:keepNext w:val="0"/>
        <w:keepLines w:val="0"/>
        <w:pageBreakBefore w:val="0"/>
        <w:kinsoku/>
        <w:wordWrap w:val="0"/>
        <w:overflowPunct/>
        <w:topLinePunct w:val="0"/>
        <w:autoSpaceDE/>
        <w:autoSpaceDN/>
        <w:bidi w:val="0"/>
        <w:adjustRightInd/>
        <w:spacing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2021年1月27日        </w:t>
      </w:r>
    </w:p>
    <w:p>
      <w:pPr>
        <w:keepNext w:val="0"/>
        <w:keepLines w:val="0"/>
        <w:pageBreakBefore w:val="0"/>
        <w:widowControl/>
        <w:kinsoku/>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（此件公开发布）</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autoSpaceDE/>
        <w:autoSpaceDN/>
        <w:bidi w:val="0"/>
        <w:adjustRightIn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spacing w:after="173" w:afterLines="30" w:line="560" w:lineRule="exact"/>
        <w:jc w:val="center"/>
        <w:rPr>
          <w:rFonts w:ascii="宋体" w:hAnsi="宋体" w:eastAsia="方正小标宋_GBK"/>
          <w:sz w:val="36"/>
          <w:szCs w:val="36"/>
        </w:rPr>
      </w:pPr>
      <w:r>
        <w:rPr>
          <w:rFonts w:ascii="宋体" w:hAnsi="宋体" w:eastAsia="方正小标宋_GBK"/>
          <w:sz w:val="36"/>
          <w:szCs w:val="36"/>
        </w:rPr>
        <w:t>取消的行政许可事项目录</w:t>
      </w:r>
    </w:p>
    <w:tbl>
      <w:tblPr>
        <w:tblStyle w:val="9"/>
        <w:tblW w:w="13802" w:type="dxa"/>
        <w:tblInd w:w="0" w:type="dxa"/>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
      <w:tblGrid>
        <w:gridCol w:w="322"/>
        <w:gridCol w:w="2296"/>
        <w:gridCol w:w="2046"/>
        <w:gridCol w:w="782"/>
        <w:gridCol w:w="556"/>
        <w:gridCol w:w="7800"/>
      </w:tblGrid>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blHeader/>
        </w:trPr>
        <w:tc>
          <w:tcPr>
            <w:tcW w:w="322" w:type="dxa"/>
            <w:vAlign w:val="center"/>
          </w:tcPr>
          <w:p>
            <w:pPr>
              <w:widowControl/>
              <w:snapToGrid w:val="0"/>
              <w:jc w:val="center"/>
              <w:rPr>
                <w:rFonts w:ascii="宋体" w:hAnsi="宋体" w:eastAsia="方正黑体_GBK" w:cs="宋体"/>
                <w:color w:val="000000"/>
                <w:kern w:val="0"/>
                <w:sz w:val="24"/>
              </w:rPr>
            </w:pPr>
            <w:r>
              <w:rPr>
                <w:rFonts w:hint="eastAsia" w:ascii="宋体" w:hAnsi="宋体" w:eastAsia="方正黑体_GBK" w:cs="宋体"/>
                <w:color w:val="000000"/>
                <w:kern w:val="0"/>
                <w:sz w:val="24"/>
              </w:rPr>
              <w:t>序号</w:t>
            </w:r>
          </w:p>
        </w:tc>
        <w:tc>
          <w:tcPr>
            <w:tcW w:w="2296" w:type="dxa"/>
            <w:vAlign w:val="center"/>
          </w:tcPr>
          <w:p>
            <w:pPr>
              <w:widowControl/>
              <w:snapToGrid w:val="0"/>
              <w:jc w:val="center"/>
              <w:rPr>
                <w:rFonts w:ascii="宋体" w:hAnsi="宋体" w:eastAsia="方正黑体_GBK" w:cs="宋体"/>
                <w:color w:val="000000"/>
                <w:kern w:val="0"/>
                <w:sz w:val="24"/>
              </w:rPr>
            </w:pPr>
            <w:r>
              <w:rPr>
                <w:rFonts w:hint="eastAsia" w:ascii="宋体" w:hAnsi="宋体" w:eastAsia="方正黑体_GBK" w:cs="宋体"/>
                <w:color w:val="000000"/>
                <w:kern w:val="0"/>
                <w:sz w:val="24"/>
              </w:rPr>
              <w:t>项目名称</w:t>
            </w:r>
          </w:p>
        </w:tc>
        <w:tc>
          <w:tcPr>
            <w:tcW w:w="2046" w:type="dxa"/>
            <w:vAlign w:val="center"/>
          </w:tcPr>
          <w:p>
            <w:pPr>
              <w:widowControl/>
              <w:snapToGrid w:val="0"/>
              <w:jc w:val="center"/>
              <w:rPr>
                <w:rFonts w:ascii="宋体" w:hAnsi="宋体" w:eastAsia="方正黑体_GBK" w:cs="宋体"/>
                <w:color w:val="000000"/>
                <w:kern w:val="0"/>
                <w:sz w:val="24"/>
              </w:rPr>
            </w:pPr>
            <w:r>
              <w:rPr>
                <w:rFonts w:hint="eastAsia" w:ascii="宋体" w:hAnsi="宋体" w:eastAsia="方正黑体_GBK" w:cs="宋体"/>
                <w:color w:val="000000"/>
                <w:kern w:val="0"/>
                <w:sz w:val="24"/>
              </w:rPr>
              <w:t>设定依据</w:t>
            </w:r>
          </w:p>
        </w:tc>
        <w:tc>
          <w:tcPr>
            <w:tcW w:w="782" w:type="dxa"/>
            <w:vAlign w:val="center"/>
          </w:tcPr>
          <w:p>
            <w:pPr>
              <w:widowControl/>
              <w:snapToGrid w:val="0"/>
              <w:jc w:val="center"/>
              <w:rPr>
                <w:rFonts w:hint="eastAsia" w:ascii="宋体" w:hAnsi="宋体" w:eastAsia="方正黑体_GBK" w:cs="宋体"/>
                <w:color w:val="000000"/>
                <w:kern w:val="0"/>
                <w:sz w:val="24"/>
              </w:rPr>
            </w:pPr>
            <w:r>
              <w:rPr>
                <w:rFonts w:hint="eastAsia" w:ascii="宋体" w:hAnsi="宋体" w:eastAsia="方正黑体_GBK" w:cs="宋体"/>
                <w:color w:val="000000"/>
                <w:kern w:val="0"/>
                <w:sz w:val="24"/>
              </w:rPr>
              <w:t>审批</w:t>
            </w:r>
          </w:p>
          <w:p>
            <w:pPr>
              <w:widowControl/>
              <w:snapToGrid w:val="0"/>
              <w:jc w:val="center"/>
              <w:rPr>
                <w:rFonts w:ascii="宋体" w:hAnsi="宋体" w:eastAsia="方正黑体_GBK" w:cs="宋体"/>
                <w:color w:val="000000"/>
                <w:kern w:val="0"/>
                <w:sz w:val="24"/>
              </w:rPr>
            </w:pPr>
            <w:r>
              <w:rPr>
                <w:rFonts w:hint="eastAsia" w:ascii="宋体" w:hAnsi="宋体" w:eastAsia="方正黑体_GBK" w:cs="宋体"/>
                <w:color w:val="000000"/>
                <w:kern w:val="0"/>
                <w:sz w:val="24"/>
              </w:rPr>
              <w:t>部门</w:t>
            </w:r>
          </w:p>
        </w:tc>
        <w:tc>
          <w:tcPr>
            <w:tcW w:w="556" w:type="dxa"/>
            <w:vAlign w:val="center"/>
          </w:tcPr>
          <w:p>
            <w:pPr>
              <w:widowControl/>
              <w:snapToGrid w:val="0"/>
              <w:jc w:val="center"/>
              <w:rPr>
                <w:rFonts w:ascii="宋体" w:hAnsi="宋体" w:eastAsia="方正黑体_GBK" w:cs="宋体"/>
                <w:color w:val="000000"/>
                <w:kern w:val="0"/>
                <w:sz w:val="24"/>
              </w:rPr>
            </w:pPr>
            <w:r>
              <w:rPr>
                <w:rFonts w:hint="eastAsia" w:ascii="宋体" w:hAnsi="宋体" w:eastAsia="方正黑体_GBK" w:cs="宋体"/>
                <w:color w:val="000000"/>
                <w:kern w:val="0"/>
                <w:sz w:val="24"/>
              </w:rPr>
              <w:t>处理决定</w:t>
            </w:r>
          </w:p>
        </w:tc>
        <w:tc>
          <w:tcPr>
            <w:tcW w:w="7800" w:type="dxa"/>
            <w:vAlign w:val="center"/>
          </w:tcPr>
          <w:p>
            <w:pPr>
              <w:widowControl/>
              <w:snapToGrid w:val="0"/>
              <w:jc w:val="center"/>
              <w:rPr>
                <w:rFonts w:ascii="宋体" w:hAnsi="宋体" w:eastAsia="方正黑体_GBK" w:cs="宋体"/>
                <w:kern w:val="0"/>
                <w:sz w:val="24"/>
              </w:rPr>
            </w:pPr>
            <w:r>
              <w:rPr>
                <w:rFonts w:hint="eastAsia" w:ascii="宋体" w:hAnsi="宋体" w:eastAsia="方正黑体_GBK" w:cs="宋体"/>
                <w:kern w:val="0"/>
                <w:sz w:val="24"/>
              </w:rPr>
              <w:t>加强事中事后监管</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c>
          <w:tcPr>
            <w:tcW w:w="322" w:type="dxa"/>
            <w:vAlign w:val="center"/>
          </w:tcPr>
          <w:p>
            <w:pPr>
              <w:widowControl/>
              <w:snapToGrid w:val="0"/>
              <w:jc w:val="center"/>
              <w:rPr>
                <w:rFonts w:ascii="宋体" w:hAnsi="宋体" w:eastAsia="宋体"/>
                <w:color w:val="000000"/>
                <w:kern w:val="0"/>
                <w:sz w:val="24"/>
              </w:rPr>
            </w:pPr>
            <w:r>
              <w:rPr>
                <w:rFonts w:ascii="宋体" w:hAnsi="宋体" w:eastAsia="宋体"/>
                <w:color w:val="000000"/>
                <w:kern w:val="0"/>
                <w:sz w:val="24"/>
              </w:rPr>
              <w:t>1</w:t>
            </w:r>
          </w:p>
        </w:tc>
        <w:tc>
          <w:tcPr>
            <w:tcW w:w="2296" w:type="dxa"/>
            <w:vAlign w:val="center"/>
          </w:tcPr>
          <w:p>
            <w:pPr>
              <w:widowControl/>
              <w:snapToGrid w:val="0"/>
              <w:spacing w:line="320" w:lineRule="exact"/>
              <w:rPr>
                <w:rFonts w:ascii="宋体" w:hAnsi="宋体" w:eastAsia="方正仿宋_GBK" w:cs="宋体"/>
                <w:color w:val="000000"/>
                <w:kern w:val="0"/>
                <w:sz w:val="24"/>
              </w:rPr>
            </w:pPr>
            <w:r>
              <w:rPr>
                <w:rFonts w:hint="eastAsia" w:ascii="宋体" w:hAnsi="宋体" w:eastAsia="方正仿宋_GBK" w:cs="宋体"/>
                <w:color w:val="000000"/>
                <w:kern w:val="0"/>
                <w:sz w:val="24"/>
              </w:rPr>
              <w:t>典当业特种行业许可证核发</w:t>
            </w:r>
          </w:p>
        </w:tc>
        <w:tc>
          <w:tcPr>
            <w:tcW w:w="2046" w:type="dxa"/>
            <w:vAlign w:val="center"/>
          </w:tcPr>
          <w:p>
            <w:pPr>
              <w:widowControl/>
              <w:snapToGrid w:val="0"/>
              <w:spacing w:line="320" w:lineRule="exact"/>
              <w:rPr>
                <w:rFonts w:ascii="宋体" w:hAnsi="宋体" w:eastAsia="方正仿宋_GBK" w:cs="宋体"/>
                <w:color w:val="000000"/>
                <w:kern w:val="0"/>
                <w:sz w:val="24"/>
              </w:rPr>
            </w:pPr>
            <w:r>
              <w:rPr>
                <w:rFonts w:hint="eastAsia" w:ascii="宋体" w:hAnsi="宋体" w:eastAsia="方正仿宋_GBK" w:cs="宋体"/>
                <w:color w:val="000000"/>
                <w:kern w:val="0"/>
                <w:sz w:val="24"/>
              </w:rPr>
              <w:t>《国务院对确需保留的行政审批项目设定行政许可的决定》</w:t>
            </w:r>
          </w:p>
        </w:tc>
        <w:tc>
          <w:tcPr>
            <w:tcW w:w="782" w:type="dxa"/>
            <w:vAlign w:val="center"/>
          </w:tcPr>
          <w:p>
            <w:pPr>
              <w:widowControl/>
              <w:snapToGrid w:val="0"/>
              <w:spacing w:line="320" w:lineRule="exact"/>
              <w:rPr>
                <w:rFonts w:ascii="宋体" w:hAnsi="宋体" w:eastAsia="方正仿宋_GBK" w:cs="宋体"/>
                <w:color w:val="000000"/>
                <w:kern w:val="0"/>
                <w:sz w:val="24"/>
              </w:rPr>
            </w:pPr>
            <w:r>
              <w:rPr>
                <w:rFonts w:hint="eastAsia" w:ascii="宋体" w:hAnsi="宋体" w:eastAsia="方正仿宋_GBK" w:cs="宋体"/>
                <w:color w:val="000000"/>
                <w:kern w:val="0"/>
                <w:sz w:val="24"/>
              </w:rPr>
              <w:t>区公安局</w:t>
            </w:r>
          </w:p>
        </w:tc>
        <w:tc>
          <w:tcPr>
            <w:tcW w:w="556" w:type="dxa"/>
            <w:vAlign w:val="center"/>
          </w:tcPr>
          <w:p>
            <w:pPr>
              <w:widowControl/>
              <w:snapToGrid w:val="0"/>
              <w:spacing w:line="320" w:lineRule="exact"/>
              <w:jc w:val="center"/>
              <w:rPr>
                <w:rFonts w:ascii="宋体" w:hAnsi="宋体" w:eastAsia="方正仿宋_GBK" w:cs="宋体"/>
                <w:color w:val="000000"/>
                <w:kern w:val="0"/>
                <w:sz w:val="24"/>
              </w:rPr>
            </w:pPr>
            <w:r>
              <w:rPr>
                <w:rFonts w:hint="eastAsia" w:ascii="宋体" w:hAnsi="宋体" w:eastAsia="方正仿宋_GBK" w:cs="宋体"/>
                <w:color w:val="000000"/>
                <w:kern w:val="0"/>
                <w:sz w:val="24"/>
              </w:rPr>
              <w:t>取消</w:t>
            </w:r>
          </w:p>
        </w:tc>
        <w:tc>
          <w:tcPr>
            <w:tcW w:w="7800" w:type="dxa"/>
            <w:vAlign w:val="top"/>
          </w:tcPr>
          <w:p>
            <w:pPr>
              <w:widowControl/>
              <w:snapToGrid w:val="0"/>
              <w:spacing w:line="320" w:lineRule="exact"/>
              <w:jc w:val="left"/>
              <w:rPr>
                <w:rFonts w:ascii="宋体" w:hAnsi="宋体" w:eastAsia="方正仿宋_GBK" w:cs="宋体"/>
                <w:color w:val="000000"/>
                <w:kern w:val="0"/>
                <w:sz w:val="24"/>
              </w:rPr>
            </w:pPr>
            <w:bookmarkStart w:id="0" w:name="_GoBack"/>
            <w:r>
              <w:rPr>
                <w:rFonts w:hint="eastAsia" w:ascii="宋体" w:hAnsi="宋体" w:eastAsia="方正仿宋_GBK" w:cs="宋体"/>
                <w:color w:val="000000"/>
                <w:kern w:val="0"/>
                <w:sz w:val="24"/>
              </w:rPr>
              <w:t>取消许可</w:t>
            </w:r>
            <w:bookmarkEnd w:id="0"/>
            <w:r>
              <w:rPr>
                <w:rFonts w:hint="eastAsia" w:ascii="宋体" w:hAnsi="宋体" w:eastAsia="方正仿宋_GBK" w:cs="宋体"/>
                <w:color w:val="000000"/>
                <w:kern w:val="0"/>
                <w:sz w:val="24"/>
              </w:rPr>
              <w:t>后，公安机关和有关部门通过以下措施加强监管</w:t>
            </w:r>
            <w:r>
              <w:rPr>
                <w:rFonts w:hint="eastAsia" w:ascii="宋体" w:hAnsi="宋体" w:eastAsia="方正仿宋_GBK" w:cs="宋体"/>
                <w:kern w:val="0"/>
                <w:sz w:val="24"/>
              </w:rPr>
              <w:t>：</w:t>
            </w:r>
            <w:r>
              <w:rPr>
                <w:rFonts w:ascii="宋体" w:hAnsi="宋体" w:eastAsia="方正仿宋_GBK"/>
                <w:kern w:val="0"/>
                <w:sz w:val="24"/>
              </w:rPr>
              <w:t>1</w:t>
            </w:r>
            <w:r>
              <w:rPr>
                <w:rFonts w:hint="eastAsia" w:ascii="宋体" w:hAnsi="宋体" w:eastAsia="方正仿宋_GBK" w:cs="宋体"/>
                <w:kern w:val="0"/>
                <w:sz w:val="24"/>
              </w:rPr>
              <w:t>．公安机关</w:t>
            </w:r>
            <w:r>
              <w:rPr>
                <w:rFonts w:hint="eastAsia" w:ascii="宋体" w:hAnsi="宋体" w:eastAsia="方正仿宋_GBK" w:cs="宋体"/>
                <w:color w:val="000000"/>
                <w:kern w:val="0"/>
                <w:sz w:val="24"/>
              </w:rPr>
              <w:t>根据市地方金融监管部门推送给市公安局的</w:t>
            </w:r>
            <w:r>
              <w:rPr>
                <w:rFonts w:ascii="宋体" w:hAnsi="宋体" w:eastAsia="方正仿宋_GBK"/>
                <w:color w:val="000000"/>
                <w:kern w:val="0"/>
                <w:sz w:val="24"/>
              </w:rPr>
              <w:t>“</w:t>
            </w:r>
            <w:r>
              <w:rPr>
                <w:rFonts w:hint="eastAsia" w:ascii="宋体" w:hAnsi="宋体" w:eastAsia="方正仿宋_GBK" w:cs="宋体"/>
                <w:color w:val="000000"/>
                <w:kern w:val="0"/>
                <w:sz w:val="24"/>
              </w:rPr>
              <w:t>设立典当行及分支机构审批</w:t>
            </w:r>
            <w:r>
              <w:rPr>
                <w:rFonts w:ascii="宋体" w:hAnsi="宋体" w:eastAsia="方正仿宋_GBK"/>
                <w:color w:val="000000"/>
                <w:kern w:val="0"/>
                <w:sz w:val="24"/>
              </w:rPr>
              <w:t>”</w:t>
            </w:r>
            <w:r>
              <w:rPr>
                <w:rFonts w:hint="eastAsia" w:ascii="宋体" w:hAnsi="宋体" w:eastAsia="方正仿宋_GBK" w:cs="宋体"/>
                <w:color w:val="000000"/>
                <w:kern w:val="0"/>
                <w:sz w:val="24"/>
              </w:rPr>
              <w:t>（含设立、变更、注销）的信息，将典当行及分支机构纳入监管范围，依法实施监管。</w:t>
            </w:r>
            <w:r>
              <w:rPr>
                <w:rFonts w:ascii="宋体" w:hAnsi="宋体" w:eastAsia="方正仿宋_GBK"/>
                <w:color w:val="000000"/>
                <w:kern w:val="0"/>
                <w:sz w:val="24"/>
              </w:rPr>
              <w:t>2</w:t>
            </w:r>
            <w:r>
              <w:rPr>
                <w:rFonts w:hint="eastAsia" w:ascii="宋体" w:hAnsi="宋体" w:eastAsia="方正仿宋_GBK" w:cs="宋体"/>
                <w:color w:val="000000"/>
                <w:kern w:val="0"/>
                <w:sz w:val="24"/>
              </w:rPr>
              <w:t>．通过</w:t>
            </w:r>
            <w:r>
              <w:rPr>
                <w:rFonts w:ascii="宋体" w:hAnsi="宋体" w:eastAsia="方正仿宋_GBK"/>
                <w:color w:val="000000"/>
                <w:kern w:val="0"/>
                <w:sz w:val="24"/>
              </w:rPr>
              <w:t>“</w:t>
            </w:r>
            <w:r>
              <w:rPr>
                <w:rFonts w:hint="eastAsia" w:ascii="宋体" w:hAnsi="宋体" w:eastAsia="方正仿宋_GBK" w:cs="宋体"/>
                <w:color w:val="000000"/>
                <w:kern w:val="0"/>
                <w:sz w:val="24"/>
              </w:rPr>
              <w:t>双随机、一公开</w:t>
            </w:r>
            <w:r>
              <w:rPr>
                <w:rFonts w:ascii="宋体" w:hAnsi="宋体" w:eastAsia="方正仿宋_GBK"/>
                <w:color w:val="000000"/>
                <w:kern w:val="0"/>
                <w:sz w:val="24"/>
              </w:rPr>
              <w:t>”</w:t>
            </w:r>
            <w:r>
              <w:rPr>
                <w:rFonts w:hint="eastAsia" w:ascii="宋体" w:hAnsi="宋体" w:eastAsia="方正仿宋_GBK" w:cs="宋体"/>
                <w:color w:val="000000"/>
                <w:kern w:val="0"/>
                <w:sz w:val="24"/>
              </w:rPr>
              <w:t>监管等方式，加强对典当行的治安管理，及时化解风险隐患，发现违法犯罪活动要依法查处。</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1774" w:hRule="atLeast"/>
        </w:trPr>
        <w:tc>
          <w:tcPr>
            <w:tcW w:w="322" w:type="dxa"/>
            <w:vAlign w:val="center"/>
          </w:tcPr>
          <w:p>
            <w:pPr>
              <w:widowControl/>
              <w:snapToGrid w:val="0"/>
              <w:jc w:val="center"/>
              <w:rPr>
                <w:rFonts w:ascii="宋体" w:hAnsi="宋体" w:eastAsia="宋体"/>
                <w:color w:val="000000"/>
                <w:kern w:val="0"/>
                <w:sz w:val="24"/>
              </w:rPr>
            </w:pPr>
            <w:r>
              <w:rPr>
                <w:rFonts w:ascii="宋体" w:hAnsi="宋体" w:eastAsia="宋体"/>
                <w:color w:val="000000"/>
                <w:kern w:val="0"/>
                <w:sz w:val="24"/>
              </w:rPr>
              <w:t>2</w:t>
            </w:r>
          </w:p>
        </w:tc>
        <w:tc>
          <w:tcPr>
            <w:tcW w:w="2296" w:type="dxa"/>
            <w:vAlign w:val="center"/>
          </w:tcPr>
          <w:p>
            <w:pPr>
              <w:widowControl/>
              <w:snapToGrid w:val="0"/>
              <w:spacing w:line="320" w:lineRule="exact"/>
              <w:rPr>
                <w:rFonts w:ascii="宋体" w:hAnsi="宋体" w:eastAsia="方正仿宋_GBK" w:cs="宋体"/>
                <w:color w:val="000000"/>
                <w:kern w:val="0"/>
                <w:sz w:val="24"/>
              </w:rPr>
            </w:pPr>
            <w:r>
              <w:rPr>
                <w:rFonts w:hint="eastAsia" w:ascii="宋体" w:hAnsi="宋体" w:eastAsia="方正仿宋_GBK" w:cs="宋体"/>
                <w:color w:val="000000"/>
                <w:kern w:val="0"/>
                <w:sz w:val="24"/>
              </w:rPr>
              <w:t>乡村兽医登记许可</w:t>
            </w:r>
          </w:p>
        </w:tc>
        <w:tc>
          <w:tcPr>
            <w:tcW w:w="2046" w:type="dxa"/>
            <w:vAlign w:val="center"/>
          </w:tcPr>
          <w:p>
            <w:pPr>
              <w:widowControl/>
              <w:snapToGrid w:val="0"/>
              <w:spacing w:line="320" w:lineRule="exact"/>
              <w:rPr>
                <w:rFonts w:ascii="宋体" w:hAnsi="宋体" w:eastAsia="方正仿宋_GBK" w:cs="宋体"/>
                <w:color w:val="000000"/>
                <w:kern w:val="0"/>
                <w:sz w:val="24"/>
              </w:rPr>
            </w:pPr>
            <w:r>
              <w:rPr>
                <w:rFonts w:hint="eastAsia" w:ascii="宋体" w:hAnsi="宋体" w:eastAsia="方正仿宋_GBK" w:cs="宋体"/>
                <w:color w:val="000000"/>
                <w:kern w:val="0"/>
                <w:sz w:val="24"/>
              </w:rPr>
              <w:t>《中华人民共和国动物防疫法》</w:t>
            </w:r>
          </w:p>
          <w:p>
            <w:pPr>
              <w:widowControl/>
              <w:snapToGrid w:val="0"/>
              <w:spacing w:line="320" w:lineRule="exact"/>
              <w:rPr>
                <w:rFonts w:ascii="宋体" w:hAnsi="宋体" w:eastAsia="方正仿宋_GBK" w:cs="宋体"/>
                <w:color w:val="000000"/>
                <w:kern w:val="0"/>
                <w:sz w:val="24"/>
              </w:rPr>
            </w:pPr>
            <w:r>
              <w:rPr>
                <w:rFonts w:hint="eastAsia" w:ascii="宋体" w:hAnsi="宋体" w:eastAsia="方正仿宋_GBK" w:cs="宋体"/>
                <w:color w:val="000000"/>
                <w:kern w:val="0"/>
                <w:sz w:val="24"/>
              </w:rPr>
              <w:t>《乡村兽医管理办法》（原农业部令第</w:t>
            </w:r>
            <w:r>
              <w:rPr>
                <w:rFonts w:ascii="宋体" w:hAnsi="宋体" w:eastAsia="方正仿宋_GBK"/>
                <w:color w:val="000000"/>
                <w:kern w:val="0"/>
                <w:sz w:val="24"/>
              </w:rPr>
              <w:t>17</w:t>
            </w:r>
            <w:r>
              <w:rPr>
                <w:rFonts w:hint="eastAsia" w:ascii="宋体" w:hAnsi="宋体" w:eastAsia="方正仿宋_GBK" w:cs="宋体"/>
                <w:color w:val="000000"/>
                <w:kern w:val="0"/>
                <w:sz w:val="24"/>
              </w:rPr>
              <w:t>号）</w:t>
            </w:r>
          </w:p>
        </w:tc>
        <w:tc>
          <w:tcPr>
            <w:tcW w:w="782" w:type="dxa"/>
            <w:vAlign w:val="center"/>
          </w:tcPr>
          <w:p>
            <w:pPr>
              <w:widowControl/>
              <w:snapToGrid w:val="0"/>
              <w:spacing w:line="320" w:lineRule="exact"/>
              <w:rPr>
                <w:rFonts w:ascii="宋体" w:hAnsi="宋体" w:eastAsia="方正仿宋_GBK" w:cs="宋体"/>
                <w:color w:val="000000"/>
                <w:kern w:val="0"/>
                <w:sz w:val="24"/>
              </w:rPr>
            </w:pPr>
            <w:r>
              <w:rPr>
                <w:rFonts w:hint="eastAsia" w:ascii="宋体" w:hAnsi="宋体" w:eastAsia="方正仿宋_GBK" w:cs="宋体"/>
                <w:color w:val="000000"/>
                <w:kern w:val="0"/>
                <w:sz w:val="24"/>
              </w:rPr>
              <w:t>区农业农村委</w:t>
            </w:r>
          </w:p>
        </w:tc>
        <w:tc>
          <w:tcPr>
            <w:tcW w:w="556" w:type="dxa"/>
            <w:vAlign w:val="center"/>
          </w:tcPr>
          <w:p>
            <w:pPr>
              <w:widowControl/>
              <w:snapToGrid w:val="0"/>
              <w:spacing w:line="320" w:lineRule="exact"/>
              <w:jc w:val="left"/>
              <w:rPr>
                <w:rFonts w:ascii="宋体" w:hAnsi="宋体" w:eastAsia="方正仿宋_GBK" w:cs="宋体"/>
                <w:color w:val="000000"/>
                <w:kern w:val="0"/>
                <w:sz w:val="24"/>
              </w:rPr>
            </w:pPr>
            <w:r>
              <w:rPr>
                <w:rFonts w:hint="eastAsia" w:ascii="宋体" w:hAnsi="宋体" w:eastAsia="方正仿宋_GBK" w:cs="宋体"/>
                <w:color w:val="000000"/>
                <w:kern w:val="0"/>
                <w:sz w:val="24"/>
              </w:rPr>
              <w:t>取消</w:t>
            </w:r>
          </w:p>
        </w:tc>
        <w:tc>
          <w:tcPr>
            <w:tcW w:w="7800" w:type="dxa"/>
            <w:vAlign w:val="center"/>
          </w:tcPr>
          <w:p>
            <w:pPr>
              <w:widowControl/>
              <w:snapToGrid w:val="0"/>
              <w:spacing w:line="320" w:lineRule="exact"/>
              <w:jc w:val="left"/>
              <w:rPr>
                <w:rFonts w:ascii="宋体" w:hAnsi="宋体" w:eastAsia="方正仿宋_GBK" w:cs="宋体"/>
                <w:kern w:val="0"/>
                <w:sz w:val="24"/>
              </w:rPr>
            </w:pPr>
            <w:r>
              <w:rPr>
                <w:rFonts w:hint="eastAsia" w:ascii="宋体" w:hAnsi="宋体" w:eastAsia="方正仿宋_GBK" w:cs="宋体"/>
                <w:kern w:val="0"/>
                <w:sz w:val="24"/>
              </w:rPr>
              <w:t>取消许可后，改为备案。区农业农村委通过以下措施加强监管：</w:t>
            </w:r>
            <w:r>
              <w:rPr>
                <w:rFonts w:ascii="宋体" w:hAnsi="宋体" w:eastAsia="方正仿宋_GBK"/>
                <w:kern w:val="0"/>
                <w:sz w:val="24"/>
              </w:rPr>
              <w:t>1</w:t>
            </w:r>
            <w:r>
              <w:rPr>
                <w:rFonts w:hint="eastAsia" w:ascii="宋体" w:hAnsi="宋体" w:eastAsia="方正仿宋_GBK" w:cs="宋体"/>
                <w:kern w:val="0"/>
                <w:sz w:val="24"/>
              </w:rPr>
              <w:t>．建立健全乡村兽医服务人员备案制度，对不按要求备案的依法设定并追究法律责任。依法向社会公开备案情况，方便查询、就医，并发挥社会监督作用。</w:t>
            </w:r>
            <w:r>
              <w:rPr>
                <w:rFonts w:ascii="宋体" w:hAnsi="宋体" w:eastAsia="方正仿宋_GBK"/>
                <w:kern w:val="0"/>
                <w:sz w:val="24"/>
              </w:rPr>
              <w:t>2</w:t>
            </w:r>
            <w:r>
              <w:rPr>
                <w:rFonts w:hint="eastAsia" w:ascii="宋体" w:hAnsi="宋体" w:eastAsia="方正仿宋_GBK" w:cs="宋体"/>
                <w:kern w:val="0"/>
                <w:sz w:val="24"/>
              </w:rPr>
              <w:t>．开展</w:t>
            </w:r>
            <w:r>
              <w:rPr>
                <w:rFonts w:ascii="宋体" w:hAnsi="宋体" w:eastAsia="方正仿宋_GBK"/>
                <w:kern w:val="0"/>
                <w:sz w:val="24"/>
              </w:rPr>
              <w:t>“</w:t>
            </w:r>
            <w:r>
              <w:rPr>
                <w:rFonts w:hint="eastAsia" w:ascii="宋体" w:hAnsi="宋体" w:eastAsia="方正仿宋_GBK" w:cs="宋体"/>
                <w:kern w:val="0"/>
                <w:sz w:val="24"/>
              </w:rPr>
              <w:t>双随机、一公开</w:t>
            </w:r>
            <w:r>
              <w:rPr>
                <w:rFonts w:ascii="宋体" w:hAnsi="宋体" w:eastAsia="方正仿宋_GBK"/>
                <w:kern w:val="0"/>
                <w:sz w:val="24"/>
              </w:rPr>
              <w:t>”</w:t>
            </w:r>
            <w:r>
              <w:rPr>
                <w:rFonts w:hint="eastAsia" w:ascii="宋体" w:hAnsi="宋体" w:eastAsia="方正仿宋_GBK" w:cs="宋体"/>
                <w:kern w:val="0"/>
                <w:sz w:val="24"/>
              </w:rPr>
              <w:t>监管，畅通投诉举报渠道，发现违法违规行为要依法查处并向社会公开结果。</w:t>
            </w:r>
            <w:r>
              <w:rPr>
                <w:rFonts w:ascii="宋体" w:hAnsi="宋体" w:eastAsia="方正仿宋_GBK"/>
                <w:kern w:val="0"/>
                <w:sz w:val="24"/>
              </w:rPr>
              <w:t>3</w:t>
            </w:r>
            <w:r>
              <w:rPr>
                <w:rFonts w:hint="eastAsia" w:ascii="宋体" w:hAnsi="宋体" w:eastAsia="方正仿宋_GBK" w:cs="宋体"/>
                <w:kern w:val="0"/>
                <w:sz w:val="24"/>
              </w:rPr>
              <w:t>．依法实施信用监管，如实记录违法失信行为，实施差异化监管等措施。</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c>
          <w:tcPr>
            <w:tcW w:w="322" w:type="dxa"/>
            <w:vAlign w:val="center"/>
          </w:tcPr>
          <w:p>
            <w:pPr>
              <w:widowControl/>
              <w:snapToGrid w:val="0"/>
              <w:jc w:val="center"/>
              <w:rPr>
                <w:rFonts w:ascii="宋体" w:hAnsi="宋体" w:eastAsia="宋体"/>
                <w:color w:val="000000"/>
                <w:kern w:val="0"/>
                <w:sz w:val="24"/>
              </w:rPr>
            </w:pPr>
            <w:r>
              <w:rPr>
                <w:rFonts w:ascii="宋体" w:hAnsi="宋体" w:eastAsia="宋体"/>
                <w:color w:val="000000"/>
                <w:kern w:val="0"/>
                <w:sz w:val="24"/>
              </w:rPr>
              <w:t>3</w:t>
            </w:r>
          </w:p>
        </w:tc>
        <w:tc>
          <w:tcPr>
            <w:tcW w:w="2296" w:type="dxa"/>
            <w:vAlign w:val="center"/>
          </w:tcPr>
          <w:p>
            <w:pPr>
              <w:widowControl/>
              <w:snapToGrid w:val="0"/>
              <w:spacing w:line="320" w:lineRule="exact"/>
              <w:rPr>
                <w:rFonts w:ascii="宋体" w:hAnsi="宋体" w:eastAsia="方正仿宋_GBK" w:cs="宋体"/>
                <w:color w:val="000000"/>
                <w:kern w:val="0"/>
                <w:sz w:val="24"/>
              </w:rPr>
            </w:pPr>
            <w:r>
              <w:rPr>
                <w:rFonts w:hint="eastAsia" w:ascii="宋体" w:hAnsi="宋体" w:eastAsia="方正仿宋_GBK" w:cs="宋体"/>
                <w:color w:val="000000"/>
                <w:kern w:val="0"/>
                <w:sz w:val="24"/>
              </w:rPr>
              <w:t>部分医疗机构（除三级医院、三级妇幼保健院、急救中心、急救站、临床检验中心、中外合资合作医疗机构、港澳台独资医疗机构外）《设置医疗机构批准书》核发</w:t>
            </w:r>
          </w:p>
        </w:tc>
        <w:tc>
          <w:tcPr>
            <w:tcW w:w="2046" w:type="dxa"/>
            <w:vAlign w:val="center"/>
          </w:tcPr>
          <w:p>
            <w:pPr>
              <w:widowControl/>
              <w:snapToGrid w:val="0"/>
              <w:spacing w:line="320" w:lineRule="exact"/>
              <w:rPr>
                <w:rFonts w:ascii="宋体" w:hAnsi="宋体" w:eastAsia="方正仿宋_GBK" w:cs="宋体"/>
                <w:color w:val="000000"/>
                <w:kern w:val="0"/>
                <w:sz w:val="24"/>
              </w:rPr>
            </w:pPr>
            <w:r>
              <w:rPr>
                <w:rFonts w:hint="eastAsia" w:ascii="宋体" w:hAnsi="宋体" w:eastAsia="方正仿宋_GBK" w:cs="宋体"/>
                <w:color w:val="000000"/>
                <w:kern w:val="0"/>
                <w:sz w:val="24"/>
              </w:rPr>
              <w:t>《医疗机构管理条例》</w:t>
            </w:r>
          </w:p>
        </w:tc>
        <w:tc>
          <w:tcPr>
            <w:tcW w:w="782" w:type="dxa"/>
            <w:vAlign w:val="center"/>
          </w:tcPr>
          <w:p>
            <w:pPr>
              <w:widowControl/>
              <w:snapToGrid w:val="0"/>
              <w:spacing w:line="320" w:lineRule="exact"/>
              <w:rPr>
                <w:rFonts w:ascii="宋体" w:hAnsi="宋体" w:eastAsia="方正仿宋_GBK" w:cs="宋体"/>
                <w:color w:val="000000"/>
                <w:kern w:val="0"/>
                <w:sz w:val="24"/>
              </w:rPr>
            </w:pPr>
            <w:r>
              <w:rPr>
                <w:rFonts w:hint="eastAsia" w:ascii="宋体" w:hAnsi="宋体" w:eastAsia="方正仿宋_GBK" w:cs="宋体"/>
                <w:color w:val="000000"/>
                <w:kern w:val="0"/>
                <w:sz w:val="24"/>
              </w:rPr>
              <w:t>区卫生健康委</w:t>
            </w:r>
          </w:p>
        </w:tc>
        <w:tc>
          <w:tcPr>
            <w:tcW w:w="556" w:type="dxa"/>
            <w:vAlign w:val="center"/>
          </w:tcPr>
          <w:p>
            <w:pPr>
              <w:widowControl/>
              <w:snapToGrid w:val="0"/>
              <w:spacing w:line="320" w:lineRule="exact"/>
              <w:jc w:val="left"/>
              <w:rPr>
                <w:rFonts w:ascii="宋体" w:hAnsi="宋体" w:eastAsia="方正仿宋_GBK" w:cs="宋体"/>
                <w:color w:val="000000"/>
                <w:kern w:val="0"/>
                <w:sz w:val="24"/>
              </w:rPr>
            </w:pPr>
            <w:r>
              <w:rPr>
                <w:rFonts w:hint="eastAsia" w:ascii="宋体" w:hAnsi="宋体" w:eastAsia="方正仿宋_GBK" w:cs="宋体"/>
                <w:color w:val="000000"/>
                <w:kern w:val="0"/>
                <w:sz w:val="24"/>
              </w:rPr>
              <w:t>取消</w:t>
            </w:r>
          </w:p>
        </w:tc>
        <w:tc>
          <w:tcPr>
            <w:tcW w:w="7800" w:type="dxa"/>
            <w:vAlign w:val="center"/>
          </w:tcPr>
          <w:p>
            <w:pPr>
              <w:widowControl/>
              <w:snapToGrid w:val="0"/>
              <w:spacing w:line="320" w:lineRule="exact"/>
              <w:jc w:val="left"/>
              <w:rPr>
                <w:rFonts w:ascii="宋体" w:hAnsi="宋体" w:eastAsia="方正仿宋_GBK" w:cs="宋体"/>
                <w:kern w:val="0"/>
                <w:sz w:val="24"/>
              </w:rPr>
            </w:pPr>
            <w:r>
              <w:rPr>
                <w:rFonts w:hint="eastAsia" w:ascii="宋体" w:hAnsi="宋体" w:eastAsia="方正仿宋_GBK" w:cs="宋体"/>
                <w:kern w:val="0"/>
                <w:sz w:val="24"/>
              </w:rPr>
              <w:t>取消许可后，区卫生健康委通过以下措施加强监管：</w:t>
            </w:r>
            <w:r>
              <w:rPr>
                <w:rFonts w:ascii="宋体" w:hAnsi="宋体" w:eastAsia="方正仿宋_GBK"/>
                <w:kern w:val="0"/>
                <w:sz w:val="24"/>
              </w:rPr>
              <w:t>1</w:t>
            </w:r>
            <w:r>
              <w:rPr>
                <w:rFonts w:hint="eastAsia" w:ascii="宋体" w:hAnsi="宋体" w:eastAsia="方正仿宋_GBK" w:cs="宋体"/>
                <w:kern w:val="0"/>
                <w:sz w:val="24"/>
              </w:rPr>
              <w:t>．完善医疗机构设置规划方式，对社会办医疗机构实行指导性规划。加强对社会资本投资医疗机构的服务，同时注意防止以服务之名行审批之实。</w:t>
            </w:r>
            <w:r>
              <w:rPr>
                <w:rFonts w:ascii="宋体" w:hAnsi="宋体" w:eastAsia="方正仿宋_GBK"/>
                <w:kern w:val="0"/>
                <w:sz w:val="24"/>
              </w:rPr>
              <w:t>2</w:t>
            </w:r>
            <w:r>
              <w:rPr>
                <w:rFonts w:hint="eastAsia" w:ascii="宋体" w:hAnsi="宋体" w:eastAsia="方正仿宋_GBK" w:cs="宋体"/>
                <w:kern w:val="0"/>
                <w:sz w:val="24"/>
              </w:rPr>
              <w:t>．严格实施</w:t>
            </w:r>
            <w:r>
              <w:rPr>
                <w:rFonts w:ascii="宋体" w:hAnsi="宋体" w:eastAsia="方正仿宋_GBK"/>
                <w:kern w:val="0"/>
                <w:sz w:val="24"/>
              </w:rPr>
              <w:t>“</w:t>
            </w:r>
            <w:r>
              <w:rPr>
                <w:rFonts w:hint="eastAsia" w:ascii="宋体" w:hAnsi="宋体" w:eastAsia="方正仿宋_GBK" w:cs="宋体"/>
                <w:kern w:val="0"/>
                <w:sz w:val="24"/>
              </w:rPr>
              <w:t>医疗机构执业登记</w:t>
            </w:r>
            <w:r>
              <w:rPr>
                <w:rFonts w:ascii="宋体" w:hAnsi="宋体" w:eastAsia="方正仿宋_GBK"/>
                <w:kern w:val="0"/>
                <w:sz w:val="24"/>
              </w:rPr>
              <w:t>”</w:t>
            </w:r>
            <w:r>
              <w:rPr>
                <w:rFonts w:hint="eastAsia" w:ascii="宋体" w:hAnsi="宋体" w:eastAsia="方正仿宋_GBK" w:cs="宋体"/>
                <w:kern w:val="0"/>
                <w:sz w:val="24"/>
              </w:rPr>
              <w:t>，并将审批结果向社会公开。</w:t>
            </w:r>
            <w:r>
              <w:rPr>
                <w:rFonts w:ascii="宋体" w:hAnsi="宋体" w:eastAsia="方正仿宋_GBK"/>
                <w:kern w:val="0"/>
                <w:sz w:val="24"/>
              </w:rPr>
              <w:t>3</w:t>
            </w:r>
            <w:r>
              <w:rPr>
                <w:rFonts w:hint="eastAsia" w:ascii="宋体" w:hAnsi="宋体" w:eastAsia="方正仿宋_GBK" w:cs="宋体"/>
                <w:kern w:val="0"/>
                <w:sz w:val="24"/>
              </w:rPr>
              <w:t>．开展</w:t>
            </w:r>
            <w:r>
              <w:rPr>
                <w:rFonts w:ascii="宋体" w:hAnsi="宋体" w:eastAsia="方正仿宋_GBK"/>
                <w:kern w:val="0"/>
                <w:sz w:val="24"/>
              </w:rPr>
              <w:t>“</w:t>
            </w:r>
            <w:r>
              <w:rPr>
                <w:rFonts w:hint="eastAsia" w:ascii="宋体" w:hAnsi="宋体" w:eastAsia="方正仿宋_GBK" w:cs="宋体"/>
                <w:kern w:val="0"/>
                <w:sz w:val="24"/>
              </w:rPr>
              <w:t>双随机、一公开</w:t>
            </w:r>
            <w:r>
              <w:rPr>
                <w:rFonts w:ascii="宋体" w:hAnsi="宋体" w:eastAsia="方正仿宋_GBK"/>
                <w:kern w:val="0"/>
                <w:sz w:val="24"/>
              </w:rPr>
              <w:t>”</w:t>
            </w:r>
            <w:r>
              <w:rPr>
                <w:rFonts w:hint="eastAsia" w:ascii="宋体" w:hAnsi="宋体" w:eastAsia="方正仿宋_GBK" w:cs="宋体"/>
                <w:kern w:val="0"/>
                <w:sz w:val="24"/>
              </w:rPr>
              <w:t>监管、重点监管等，畅通投诉举报渠道，依法处理医患纠纷和医疗事故，加大对医疗机构的监督检查力度，发现违法违规行为要依法查处并向社会公开结果。</w:t>
            </w:r>
            <w:r>
              <w:rPr>
                <w:rFonts w:ascii="宋体" w:hAnsi="宋体" w:eastAsia="方正仿宋_GBK"/>
                <w:kern w:val="0"/>
                <w:sz w:val="24"/>
              </w:rPr>
              <w:t>4</w:t>
            </w:r>
            <w:r>
              <w:rPr>
                <w:rFonts w:hint="eastAsia" w:ascii="宋体" w:hAnsi="宋体" w:eastAsia="方正仿宋_GBK" w:cs="宋体"/>
                <w:kern w:val="0"/>
                <w:sz w:val="24"/>
              </w:rPr>
              <w:t>．依法实施信用监管，如实记录违法失信行为，实施差异化监管措施，对严重违法的医疗机构及其从业人员实行行业禁入。</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011" w:hRule="atLeast"/>
        </w:trPr>
        <w:tc>
          <w:tcPr>
            <w:tcW w:w="322" w:type="dxa"/>
            <w:vAlign w:val="center"/>
          </w:tcPr>
          <w:p>
            <w:pPr>
              <w:widowControl/>
              <w:snapToGrid w:val="0"/>
              <w:jc w:val="center"/>
              <w:rPr>
                <w:rFonts w:ascii="宋体" w:hAnsi="宋体" w:eastAsia="宋体"/>
                <w:color w:val="000000"/>
                <w:kern w:val="0"/>
                <w:sz w:val="24"/>
              </w:rPr>
            </w:pPr>
            <w:r>
              <w:rPr>
                <w:rFonts w:ascii="宋体" w:hAnsi="宋体" w:eastAsia="宋体"/>
                <w:color w:val="000000"/>
                <w:kern w:val="0"/>
                <w:sz w:val="24"/>
              </w:rPr>
              <w:t>4</w:t>
            </w:r>
          </w:p>
        </w:tc>
        <w:tc>
          <w:tcPr>
            <w:tcW w:w="2296" w:type="dxa"/>
            <w:vAlign w:val="center"/>
          </w:tcPr>
          <w:p>
            <w:pPr>
              <w:widowControl/>
              <w:snapToGrid w:val="0"/>
              <w:rPr>
                <w:rFonts w:ascii="宋体" w:hAnsi="宋体" w:eastAsia="方正仿宋_GBK" w:cs="宋体"/>
                <w:color w:val="000000"/>
                <w:kern w:val="0"/>
                <w:sz w:val="24"/>
              </w:rPr>
            </w:pPr>
            <w:r>
              <w:rPr>
                <w:rFonts w:hint="eastAsia" w:ascii="宋体" w:hAnsi="宋体" w:eastAsia="方正仿宋_GBK" w:cs="宋体"/>
                <w:color w:val="000000"/>
                <w:kern w:val="0"/>
                <w:sz w:val="24"/>
              </w:rPr>
              <w:t>职业卫生技术服务机构丙级资质认可</w:t>
            </w:r>
          </w:p>
        </w:tc>
        <w:tc>
          <w:tcPr>
            <w:tcW w:w="2046" w:type="dxa"/>
            <w:vAlign w:val="center"/>
          </w:tcPr>
          <w:p>
            <w:pPr>
              <w:widowControl/>
              <w:snapToGrid w:val="0"/>
              <w:rPr>
                <w:rFonts w:ascii="宋体" w:hAnsi="宋体" w:eastAsia="方正仿宋_GBK" w:cs="宋体"/>
                <w:color w:val="000000"/>
                <w:kern w:val="0"/>
                <w:sz w:val="24"/>
              </w:rPr>
            </w:pPr>
            <w:r>
              <w:rPr>
                <w:rFonts w:hint="eastAsia" w:ascii="宋体" w:hAnsi="宋体" w:eastAsia="方正仿宋_GBK" w:cs="宋体"/>
                <w:color w:val="000000"/>
                <w:kern w:val="0"/>
                <w:sz w:val="24"/>
              </w:rPr>
              <w:t>《中华人民共和国职业病防治法》《职业卫生技术服务机构监督管理暂行办法》（原国家安全监管总局令第</w:t>
            </w:r>
            <w:r>
              <w:rPr>
                <w:rFonts w:ascii="宋体" w:hAnsi="宋体" w:eastAsia="方正仿宋_GBK"/>
                <w:color w:val="000000"/>
                <w:kern w:val="0"/>
                <w:sz w:val="24"/>
              </w:rPr>
              <w:t>50</w:t>
            </w:r>
            <w:r>
              <w:rPr>
                <w:rFonts w:hint="eastAsia" w:ascii="宋体" w:hAnsi="宋体" w:eastAsia="方正仿宋_GBK" w:cs="宋体"/>
                <w:color w:val="000000"/>
                <w:kern w:val="0"/>
                <w:sz w:val="24"/>
              </w:rPr>
              <w:t>号）</w:t>
            </w:r>
          </w:p>
        </w:tc>
        <w:tc>
          <w:tcPr>
            <w:tcW w:w="782" w:type="dxa"/>
            <w:vAlign w:val="center"/>
          </w:tcPr>
          <w:p>
            <w:pPr>
              <w:widowControl/>
              <w:snapToGrid w:val="0"/>
              <w:rPr>
                <w:rFonts w:ascii="宋体" w:hAnsi="宋体" w:eastAsia="方正仿宋_GBK" w:cs="宋体"/>
                <w:color w:val="000000"/>
                <w:kern w:val="0"/>
                <w:sz w:val="24"/>
              </w:rPr>
            </w:pPr>
            <w:r>
              <w:rPr>
                <w:rFonts w:hint="eastAsia" w:ascii="宋体" w:hAnsi="宋体" w:eastAsia="方正仿宋_GBK" w:cs="宋体"/>
                <w:color w:val="000000"/>
                <w:kern w:val="0"/>
                <w:sz w:val="24"/>
              </w:rPr>
              <w:t>区卫生健康委</w:t>
            </w:r>
          </w:p>
        </w:tc>
        <w:tc>
          <w:tcPr>
            <w:tcW w:w="556" w:type="dxa"/>
            <w:vAlign w:val="center"/>
          </w:tcPr>
          <w:p>
            <w:pPr>
              <w:widowControl/>
              <w:snapToGrid w:val="0"/>
              <w:jc w:val="left"/>
              <w:rPr>
                <w:rFonts w:ascii="宋体" w:hAnsi="宋体" w:eastAsia="方正仿宋_GBK" w:cs="宋体"/>
                <w:color w:val="000000"/>
                <w:kern w:val="0"/>
                <w:sz w:val="24"/>
              </w:rPr>
            </w:pPr>
            <w:r>
              <w:rPr>
                <w:rFonts w:hint="eastAsia" w:ascii="宋体" w:hAnsi="宋体" w:eastAsia="方正仿宋_GBK" w:cs="宋体"/>
                <w:color w:val="000000"/>
                <w:kern w:val="0"/>
                <w:sz w:val="24"/>
              </w:rPr>
              <w:t>取消</w:t>
            </w:r>
          </w:p>
        </w:tc>
        <w:tc>
          <w:tcPr>
            <w:tcW w:w="7800" w:type="dxa"/>
            <w:vAlign w:val="center"/>
          </w:tcPr>
          <w:p>
            <w:pPr>
              <w:widowControl/>
              <w:snapToGrid w:val="0"/>
              <w:jc w:val="left"/>
              <w:rPr>
                <w:rFonts w:ascii="宋体" w:hAnsi="宋体" w:eastAsia="方正仿宋_GBK" w:cs="宋体"/>
                <w:color w:val="000000"/>
                <w:kern w:val="0"/>
                <w:sz w:val="24"/>
              </w:rPr>
            </w:pPr>
            <w:r>
              <w:rPr>
                <w:rFonts w:hint="eastAsia" w:ascii="宋体" w:hAnsi="宋体" w:eastAsia="方正仿宋_GBK" w:cs="宋体"/>
                <w:color w:val="000000"/>
                <w:kern w:val="0"/>
                <w:sz w:val="24"/>
              </w:rPr>
              <w:t>取消许可，整合至</w:t>
            </w:r>
            <w:r>
              <w:rPr>
                <w:rFonts w:ascii="宋体" w:hAnsi="宋体" w:eastAsia="方正仿宋_GBK"/>
                <w:color w:val="000000"/>
                <w:kern w:val="0"/>
                <w:sz w:val="24"/>
              </w:rPr>
              <w:t>“</w:t>
            </w:r>
            <w:r>
              <w:rPr>
                <w:rFonts w:hint="eastAsia" w:ascii="宋体" w:hAnsi="宋体" w:eastAsia="方正仿宋_GBK" w:cs="宋体"/>
                <w:color w:val="000000"/>
                <w:kern w:val="0"/>
                <w:sz w:val="24"/>
              </w:rPr>
              <w:t>职业卫生技术服务机构乙级资质认可</w:t>
            </w:r>
            <w:r>
              <w:rPr>
                <w:rFonts w:ascii="宋体" w:hAnsi="宋体" w:eastAsia="方正仿宋_GBK"/>
                <w:color w:val="000000"/>
                <w:kern w:val="0"/>
                <w:sz w:val="24"/>
              </w:rPr>
              <w:t>”</w:t>
            </w:r>
            <w:r>
              <w:rPr>
                <w:rFonts w:hint="eastAsia" w:ascii="宋体" w:hAnsi="宋体" w:eastAsia="方正仿宋_GBK" w:cs="宋体"/>
                <w:color w:val="000000"/>
                <w:kern w:val="0"/>
                <w:sz w:val="24"/>
              </w:rPr>
              <w:t>。区卫生健康委通过以下措施加强监管：</w:t>
            </w:r>
            <w:r>
              <w:rPr>
                <w:rFonts w:ascii="宋体" w:hAnsi="宋体" w:eastAsia="方正仿宋_GBK"/>
                <w:color w:val="000000"/>
                <w:kern w:val="0"/>
                <w:sz w:val="24"/>
              </w:rPr>
              <w:t>1</w:t>
            </w:r>
            <w:r>
              <w:rPr>
                <w:rFonts w:hint="eastAsia" w:ascii="宋体" w:hAnsi="宋体" w:eastAsia="方正仿宋_GBK" w:cs="宋体"/>
                <w:color w:val="000000"/>
                <w:kern w:val="0"/>
                <w:sz w:val="24"/>
              </w:rPr>
              <w:t>．适当降低职业卫生技术服务机构乙级资质条件要求，完善职业卫生技术服务标准。引导现有职业卫生技术服务丙级机构换领新的乙级资质证书，拓宽业务范围和业务地域范围。</w:t>
            </w:r>
            <w:r>
              <w:rPr>
                <w:rFonts w:ascii="宋体" w:hAnsi="宋体" w:eastAsia="方正仿宋_GBK"/>
                <w:color w:val="000000"/>
                <w:kern w:val="0"/>
                <w:sz w:val="24"/>
              </w:rPr>
              <w:t>2</w:t>
            </w:r>
            <w:r>
              <w:rPr>
                <w:rFonts w:hint="eastAsia" w:ascii="宋体" w:hAnsi="宋体" w:eastAsia="方正仿宋_GBK" w:cs="宋体"/>
                <w:color w:val="000000"/>
                <w:kern w:val="0"/>
                <w:sz w:val="24"/>
              </w:rPr>
              <w:t>．开展</w:t>
            </w:r>
            <w:r>
              <w:rPr>
                <w:rFonts w:ascii="宋体" w:hAnsi="宋体" w:eastAsia="方正仿宋_GBK"/>
                <w:color w:val="000000"/>
                <w:kern w:val="0"/>
                <w:sz w:val="24"/>
              </w:rPr>
              <w:t>“</w:t>
            </w:r>
            <w:r>
              <w:rPr>
                <w:rFonts w:hint="eastAsia" w:ascii="宋体" w:hAnsi="宋体" w:eastAsia="方正仿宋_GBK" w:cs="宋体"/>
                <w:color w:val="000000"/>
                <w:kern w:val="0"/>
                <w:sz w:val="24"/>
              </w:rPr>
              <w:t>双随机、一公开</w:t>
            </w:r>
            <w:r>
              <w:rPr>
                <w:rFonts w:ascii="宋体" w:hAnsi="宋体" w:eastAsia="方正仿宋_GBK"/>
                <w:color w:val="000000"/>
                <w:kern w:val="0"/>
                <w:sz w:val="24"/>
              </w:rPr>
              <w:t>”</w:t>
            </w:r>
            <w:r>
              <w:rPr>
                <w:rFonts w:hint="eastAsia" w:ascii="宋体" w:hAnsi="宋体" w:eastAsia="方正仿宋_GBK" w:cs="宋体"/>
                <w:color w:val="000000"/>
                <w:kern w:val="0"/>
                <w:sz w:val="24"/>
              </w:rPr>
              <w:t>监管，畅通投诉举报渠道，发现违法违规行为要依法查处并向社会公开结果。</w:t>
            </w:r>
            <w:r>
              <w:rPr>
                <w:rFonts w:ascii="宋体" w:hAnsi="宋体" w:eastAsia="方正仿宋_GBK"/>
                <w:color w:val="000000"/>
                <w:kern w:val="0"/>
                <w:sz w:val="24"/>
              </w:rPr>
              <w:t>3</w:t>
            </w:r>
            <w:r>
              <w:rPr>
                <w:rFonts w:hint="eastAsia" w:ascii="宋体" w:hAnsi="宋体" w:eastAsia="方正仿宋_GBK" w:cs="宋体"/>
                <w:color w:val="000000"/>
                <w:kern w:val="0"/>
                <w:sz w:val="24"/>
              </w:rPr>
              <w:t>．对存在职业病危害因素的企业，依法开展职业病危害因素监督检查。发现职业卫生技术服务机构出具虚假报告的，依法追究法律责任。</w:t>
            </w:r>
            <w:r>
              <w:rPr>
                <w:rFonts w:ascii="宋体" w:hAnsi="宋体" w:eastAsia="方正仿宋_GBK"/>
                <w:color w:val="000000"/>
                <w:kern w:val="0"/>
                <w:sz w:val="24"/>
              </w:rPr>
              <w:t>4</w:t>
            </w:r>
            <w:r>
              <w:rPr>
                <w:rFonts w:hint="eastAsia" w:ascii="宋体" w:hAnsi="宋体" w:eastAsia="方正仿宋_GBK" w:cs="宋体"/>
                <w:color w:val="000000"/>
                <w:kern w:val="0"/>
                <w:sz w:val="24"/>
              </w:rPr>
              <w:t>．依法实施信用监管，如实记录违法失信行为，实施差异化监管等措施。</w:t>
            </w:r>
          </w:p>
        </w:tc>
      </w:tr>
    </w:tbl>
    <w:p>
      <w:pPr>
        <w:rPr>
          <w:rFonts w:hint="eastAsia" w:ascii="宋体" w:hAnsi="宋体" w:eastAsia="方正黑体_GBK" w:cs="方正黑体_GBK"/>
          <w:kern w:val="0"/>
          <w:szCs w:val="32"/>
        </w:rPr>
      </w:pPr>
    </w:p>
    <w:p>
      <w:pPr>
        <w:snapToGrid w:val="0"/>
        <w:jc w:val="left"/>
        <w:rPr>
          <w:rFonts w:hint="eastAsia" w:ascii="方正黑体_GBK" w:hAnsi="方正黑体_GBK" w:eastAsia="方正黑体_GBK" w:cs="方正黑体_GBK"/>
          <w:sz w:val="32"/>
          <w:szCs w:val="32"/>
        </w:rPr>
      </w:pPr>
      <w:r>
        <w:rPr>
          <w:rFonts w:ascii="宋体" w:hAnsi="宋体" w:eastAsia="方正黑体_GBK"/>
          <w:szCs w:val="32"/>
        </w:rPr>
        <w:br w:type="page"/>
      </w:r>
      <w:r>
        <w:rPr>
          <w:rFonts w:hint="eastAsia" w:ascii="方正黑体_GBK" w:hAnsi="方正黑体_GBK" w:eastAsia="方正黑体_GBK" w:cs="方正黑体_GBK"/>
          <w:sz w:val="32"/>
          <w:szCs w:val="32"/>
        </w:rPr>
        <w:t>附件2</w:t>
      </w:r>
    </w:p>
    <w:p>
      <w:pPr>
        <w:snapToGrid w:val="0"/>
        <w:spacing w:after="160" w:line="560" w:lineRule="exact"/>
        <w:jc w:val="center"/>
        <w:rPr>
          <w:rFonts w:hint="eastAsia" w:ascii="宋体" w:hAnsi="宋体" w:eastAsia="方正仿宋_GBK"/>
          <w:sz w:val="36"/>
          <w:szCs w:val="36"/>
        </w:rPr>
      </w:pPr>
      <w:r>
        <w:rPr>
          <w:rFonts w:ascii="宋体" w:hAnsi="宋体" w:eastAsia="方正小标宋_GBK"/>
          <w:sz w:val="36"/>
          <w:szCs w:val="36"/>
        </w:rPr>
        <w:t>承接的行政许可事项目录</w:t>
      </w:r>
    </w:p>
    <w:tbl>
      <w:tblPr>
        <w:tblStyle w:val="9"/>
        <w:tblW w:w="13774" w:type="dxa"/>
        <w:tblInd w:w="0" w:type="dxa"/>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
      <w:tblGrid>
        <w:gridCol w:w="322"/>
        <w:gridCol w:w="574"/>
        <w:gridCol w:w="1258"/>
        <w:gridCol w:w="919"/>
        <w:gridCol w:w="862"/>
        <w:gridCol w:w="9839"/>
      </w:tblGrid>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621" w:hRule="atLeast"/>
        </w:trPr>
        <w:tc>
          <w:tcPr>
            <w:tcW w:w="322" w:type="dxa"/>
            <w:vAlign w:val="center"/>
          </w:tcPr>
          <w:p>
            <w:pPr>
              <w:widowControl/>
              <w:snapToGrid w:val="0"/>
              <w:jc w:val="center"/>
              <w:rPr>
                <w:rFonts w:ascii="宋体" w:hAnsi="宋体" w:eastAsia="方正黑体_GBK" w:cs="宋体"/>
                <w:color w:val="000000"/>
                <w:kern w:val="0"/>
                <w:sz w:val="24"/>
              </w:rPr>
            </w:pPr>
            <w:r>
              <w:rPr>
                <w:rFonts w:hint="eastAsia" w:ascii="宋体" w:hAnsi="宋体" w:eastAsia="方正黑体_GBK" w:cs="宋体"/>
                <w:color w:val="000000"/>
                <w:kern w:val="0"/>
                <w:sz w:val="24"/>
              </w:rPr>
              <w:t>序号</w:t>
            </w:r>
          </w:p>
        </w:tc>
        <w:tc>
          <w:tcPr>
            <w:tcW w:w="574" w:type="dxa"/>
            <w:vAlign w:val="center"/>
          </w:tcPr>
          <w:p>
            <w:pPr>
              <w:widowControl/>
              <w:snapToGrid w:val="0"/>
              <w:jc w:val="center"/>
              <w:rPr>
                <w:rFonts w:ascii="宋体" w:hAnsi="宋体" w:eastAsia="方正黑体_GBK" w:cs="宋体"/>
                <w:color w:val="000000"/>
                <w:kern w:val="0"/>
                <w:sz w:val="24"/>
              </w:rPr>
            </w:pPr>
            <w:r>
              <w:rPr>
                <w:rFonts w:hint="eastAsia" w:ascii="宋体" w:hAnsi="宋体" w:eastAsia="方正黑体_GBK" w:cs="宋体"/>
                <w:color w:val="000000"/>
                <w:kern w:val="0"/>
                <w:sz w:val="24"/>
              </w:rPr>
              <w:t>项目</w:t>
            </w:r>
          </w:p>
          <w:p>
            <w:pPr>
              <w:snapToGrid w:val="0"/>
              <w:jc w:val="center"/>
              <w:rPr>
                <w:rFonts w:ascii="宋体" w:hAnsi="宋体" w:eastAsia="方正黑体_GBK" w:cs="宋体"/>
                <w:color w:val="000000"/>
                <w:kern w:val="0"/>
                <w:sz w:val="24"/>
              </w:rPr>
            </w:pPr>
            <w:r>
              <w:rPr>
                <w:rFonts w:hint="eastAsia" w:ascii="宋体" w:hAnsi="宋体" w:eastAsia="方正黑体_GBK" w:cs="宋体"/>
                <w:color w:val="000000"/>
                <w:kern w:val="0"/>
                <w:sz w:val="24"/>
              </w:rPr>
              <w:t>名称</w:t>
            </w:r>
          </w:p>
        </w:tc>
        <w:tc>
          <w:tcPr>
            <w:tcW w:w="1258" w:type="dxa"/>
            <w:vAlign w:val="center"/>
          </w:tcPr>
          <w:p>
            <w:pPr>
              <w:snapToGrid w:val="0"/>
              <w:jc w:val="center"/>
              <w:rPr>
                <w:rFonts w:ascii="宋体" w:hAnsi="宋体" w:eastAsia="方正黑体_GBK" w:cs="宋体"/>
                <w:color w:val="000000"/>
                <w:kern w:val="0"/>
                <w:sz w:val="24"/>
              </w:rPr>
            </w:pPr>
            <w:r>
              <w:rPr>
                <w:rFonts w:hint="eastAsia" w:ascii="宋体" w:hAnsi="宋体" w:eastAsia="方正黑体_GBK" w:cs="宋体"/>
                <w:color w:val="000000"/>
                <w:kern w:val="0"/>
                <w:sz w:val="24"/>
              </w:rPr>
              <w:t>设定依据</w:t>
            </w:r>
          </w:p>
        </w:tc>
        <w:tc>
          <w:tcPr>
            <w:tcW w:w="919" w:type="dxa"/>
            <w:vAlign w:val="center"/>
          </w:tcPr>
          <w:p>
            <w:pPr>
              <w:widowControl/>
              <w:snapToGrid w:val="0"/>
              <w:jc w:val="center"/>
              <w:rPr>
                <w:rFonts w:ascii="宋体" w:hAnsi="宋体" w:eastAsia="方正黑体_GBK" w:cs="宋体"/>
                <w:color w:val="000000"/>
                <w:kern w:val="0"/>
                <w:sz w:val="24"/>
              </w:rPr>
            </w:pPr>
            <w:r>
              <w:rPr>
                <w:rFonts w:hint="eastAsia" w:ascii="宋体" w:hAnsi="宋体" w:eastAsia="方正黑体_GBK" w:cs="宋体"/>
                <w:color w:val="000000"/>
                <w:kern w:val="0"/>
                <w:sz w:val="24"/>
              </w:rPr>
              <w:t>市级实施部门</w:t>
            </w:r>
          </w:p>
        </w:tc>
        <w:tc>
          <w:tcPr>
            <w:tcW w:w="862" w:type="dxa"/>
            <w:vAlign w:val="center"/>
          </w:tcPr>
          <w:p>
            <w:pPr>
              <w:widowControl/>
              <w:snapToGrid w:val="0"/>
              <w:jc w:val="center"/>
              <w:rPr>
                <w:rFonts w:ascii="宋体" w:hAnsi="宋体" w:eastAsia="方正黑体_GBK" w:cs="宋体"/>
                <w:color w:val="000000"/>
                <w:kern w:val="0"/>
                <w:sz w:val="24"/>
              </w:rPr>
            </w:pPr>
            <w:r>
              <w:rPr>
                <w:rFonts w:hint="eastAsia" w:ascii="宋体" w:hAnsi="宋体" w:eastAsia="方正黑体_GBK" w:cs="宋体"/>
                <w:color w:val="000000"/>
                <w:kern w:val="0"/>
                <w:sz w:val="24"/>
              </w:rPr>
              <w:t>我区承接部门</w:t>
            </w:r>
          </w:p>
        </w:tc>
        <w:tc>
          <w:tcPr>
            <w:tcW w:w="9839" w:type="dxa"/>
            <w:vAlign w:val="center"/>
          </w:tcPr>
          <w:p>
            <w:pPr>
              <w:widowControl/>
              <w:snapToGrid w:val="0"/>
              <w:jc w:val="center"/>
              <w:rPr>
                <w:rFonts w:ascii="宋体" w:hAnsi="宋体" w:eastAsia="方正黑体_GBK" w:cs="宋体"/>
                <w:kern w:val="0"/>
                <w:sz w:val="24"/>
              </w:rPr>
            </w:pPr>
            <w:r>
              <w:rPr>
                <w:rFonts w:hint="eastAsia" w:ascii="宋体" w:hAnsi="宋体" w:eastAsia="方正黑体_GBK" w:cs="宋体"/>
                <w:kern w:val="0"/>
                <w:sz w:val="24"/>
              </w:rPr>
              <w:t>加强事中事后监管</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c>
          <w:tcPr>
            <w:tcW w:w="322" w:type="dxa"/>
            <w:tcBorders>
              <w:bottom w:val="single" w:color="808080" w:sz="8" w:space="0"/>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1</w:t>
            </w:r>
          </w:p>
        </w:tc>
        <w:tc>
          <w:tcPr>
            <w:tcW w:w="574" w:type="dxa"/>
            <w:tcBorders>
              <w:bottom w:val="single" w:color="808080" w:sz="8" w:space="0"/>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宋体" w:hAnsi="宋体" w:eastAsia="方正仿宋_GBK" w:cs="宋体"/>
                <w:color w:val="000000"/>
                <w:kern w:val="0"/>
                <w:sz w:val="24"/>
              </w:rPr>
            </w:pPr>
            <w:r>
              <w:rPr>
                <w:rFonts w:hint="eastAsia" w:ascii="宋体" w:hAnsi="宋体" w:eastAsia="方正仿宋_GBK" w:cs="宋体"/>
                <w:color w:val="000000"/>
                <w:kern w:val="0"/>
                <w:sz w:val="24"/>
              </w:rPr>
              <w:t>成品油零售经营资格审批</w:t>
            </w:r>
          </w:p>
        </w:tc>
        <w:tc>
          <w:tcPr>
            <w:tcW w:w="1258" w:type="dxa"/>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宋体" w:hAnsi="宋体" w:eastAsia="方正仿宋_GBK" w:cs="宋体"/>
                <w:color w:val="000000"/>
                <w:kern w:val="0"/>
                <w:sz w:val="24"/>
              </w:rPr>
            </w:pPr>
            <w:r>
              <w:rPr>
                <w:rFonts w:hint="eastAsia" w:ascii="宋体" w:hAnsi="宋体" w:eastAsia="方正仿宋_GBK" w:cs="宋体"/>
                <w:color w:val="000000"/>
                <w:kern w:val="0"/>
                <w:sz w:val="24"/>
              </w:rPr>
              <w:t>《国务院对确需保留的行政审批项目设定行政许可的决定》</w:t>
            </w:r>
          </w:p>
          <w:p>
            <w:pPr>
              <w:keepNext w:val="0"/>
              <w:keepLines w:val="0"/>
              <w:pageBreakBefore w:val="0"/>
              <w:kinsoku/>
              <w:wordWrap/>
              <w:overflowPunct/>
              <w:topLinePunct w:val="0"/>
              <w:autoSpaceDE/>
              <w:autoSpaceDN/>
              <w:bidi w:val="0"/>
              <w:adjustRightInd/>
              <w:snapToGrid w:val="0"/>
              <w:spacing w:line="300" w:lineRule="exact"/>
              <w:textAlignment w:val="auto"/>
              <w:rPr>
                <w:rFonts w:ascii="宋体" w:hAnsi="宋体" w:eastAsia="方正仿宋_GBK" w:cs="宋体"/>
                <w:color w:val="000000"/>
                <w:kern w:val="0"/>
                <w:sz w:val="24"/>
              </w:rPr>
            </w:pPr>
            <w:r>
              <w:rPr>
                <w:rFonts w:hint="eastAsia" w:ascii="宋体" w:hAnsi="宋体" w:eastAsia="方正仿宋_GBK" w:cs="宋体"/>
                <w:color w:val="000000"/>
                <w:kern w:val="0"/>
                <w:sz w:val="24"/>
              </w:rPr>
              <w:t>《国务院办公厅关于加快发展流通促进商业消费的意见》</w:t>
            </w:r>
            <w:r>
              <w:rPr>
                <w:rFonts w:hint="eastAsia" w:ascii="宋体" w:hAnsi="宋体" w:eastAsia="宋体" w:cs="宋体"/>
                <w:kern w:val="0"/>
                <w:sz w:val="24"/>
              </w:rPr>
              <w:t>　</w:t>
            </w:r>
          </w:p>
        </w:tc>
        <w:tc>
          <w:tcPr>
            <w:tcW w:w="919" w:type="dxa"/>
            <w:tcBorders>
              <w:bottom w:val="single" w:color="808080" w:sz="8" w:space="0"/>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方正仿宋_GBK" w:cs="宋体"/>
                <w:color w:val="000000"/>
                <w:kern w:val="0"/>
                <w:sz w:val="24"/>
              </w:rPr>
            </w:pPr>
            <w:r>
              <w:rPr>
                <w:rFonts w:hint="eastAsia" w:ascii="宋体" w:hAnsi="宋体" w:eastAsia="方正仿宋_GBK" w:cs="宋体"/>
                <w:color w:val="000000"/>
                <w:kern w:val="0"/>
                <w:sz w:val="24"/>
              </w:rPr>
              <w:t>市商</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eastAsia="方正仿宋_GBK" w:cs="宋体"/>
                <w:color w:val="000000"/>
                <w:kern w:val="0"/>
                <w:sz w:val="24"/>
              </w:rPr>
            </w:pPr>
            <w:r>
              <w:rPr>
                <w:rFonts w:hint="eastAsia" w:ascii="宋体" w:hAnsi="宋体" w:eastAsia="方正仿宋_GBK" w:cs="宋体"/>
                <w:color w:val="000000"/>
                <w:kern w:val="0"/>
                <w:sz w:val="24"/>
              </w:rPr>
              <w:t>务委</w:t>
            </w:r>
          </w:p>
        </w:tc>
        <w:tc>
          <w:tcPr>
            <w:tcW w:w="862" w:type="dxa"/>
            <w:tcBorders>
              <w:bottom w:val="single" w:color="808080" w:sz="8" w:space="0"/>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方正仿宋_GBK" w:cs="宋体"/>
                <w:color w:val="000000"/>
                <w:kern w:val="0"/>
                <w:sz w:val="24"/>
              </w:rPr>
            </w:pPr>
            <w:r>
              <w:rPr>
                <w:rFonts w:hint="eastAsia" w:ascii="宋体" w:hAnsi="宋体" w:eastAsia="方正仿宋_GBK" w:cs="宋体"/>
                <w:color w:val="000000"/>
                <w:kern w:val="0"/>
                <w:sz w:val="24"/>
              </w:rPr>
              <w:t>区商</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eastAsia="方正仿宋_GBK" w:cs="宋体"/>
                <w:color w:val="000000"/>
                <w:kern w:val="0"/>
                <w:sz w:val="24"/>
              </w:rPr>
            </w:pPr>
            <w:r>
              <w:rPr>
                <w:rFonts w:hint="eastAsia" w:ascii="宋体" w:hAnsi="宋体" w:eastAsia="方正仿宋_GBK" w:cs="宋体"/>
                <w:color w:val="000000"/>
                <w:kern w:val="0"/>
                <w:sz w:val="24"/>
              </w:rPr>
              <w:t>务委</w:t>
            </w:r>
          </w:p>
        </w:tc>
        <w:tc>
          <w:tcPr>
            <w:tcW w:w="9839" w:type="dxa"/>
            <w:tcBorders>
              <w:bottom w:val="single" w:color="808080"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ind w:firstLine="480" w:firstLineChars="200"/>
              <w:jc w:val="left"/>
              <w:textAlignment w:val="auto"/>
              <w:rPr>
                <w:rFonts w:ascii="宋体" w:hAnsi="宋体" w:eastAsia="方正仿宋_GBK" w:cs="宋体"/>
                <w:color w:val="000000"/>
                <w:kern w:val="0"/>
                <w:sz w:val="24"/>
              </w:rPr>
            </w:pPr>
            <w:r>
              <w:rPr>
                <w:rFonts w:hint="eastAsia" w:ascii="宋体" w:hAnsi="宋体" w:eastAsia="方正仿宋_GBK" w:cs="宋体"/>
                <w:color w:val="000000"/>
                <w:kern w:val="0"/>
                <w:sz w:val="24"/>
              </w:rPr>
              <w:t>承接后，区商务委会同有关部门通过以下措施加强事中事后监管：</w:t>
            </w:r>
          </w:p>
          <w:p>
            <w:pPr>
              <w:keepNext w:val="0"/>
              <w:keepLines w:val="0"/>
              <w:pageBreakBefore w:val="0"/>
              <w:widowControl/>
              <w:kinsoku/>
              <w:wordWrap/>
              <w:overflowPunct/>
              <w:topLinePunct w:val="0"/>
              <w:autoSpaceDE/>
              <w:autoSpaceDN/>
              <w:bidi w:val="0"/>
              <w:adjustRightInd/>
              <w:snapToGrid w:val="0"/>
              <w:spacing w:line="260" w:lineRule="exact"/>
              <w:ind w:firstLine="480" w:firstLineChars="20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方正仿宋_GBK" w:cs="宋体"/>
                <w:color w:val="000000"/>
                <w:kern w:val="0"/>
                <w:sz w:val="24"/>
              </w:rPr>
              <w:t>严格落实成品油流通行业监管职责。要求成品油零售企业建立购销台账制度，完善油品来源、检验报告、检查记录等凭证材料档案。指定部门开展</w:t>
            </w:r>
            <w:r>
              <w:rPr>
                <w:rFonts w:hint="eastAsia" w:ascii="宋体" w:hAnsi="宋体" w:eastAsia="宋体" w:cs="宋体"/>
                <w:color w:val="000000"/>
                <w:kern w:val="0"/>
                <w:sz w:val="24"/>
              </w:rPr>
              <w:t>“</w:t>
            </w:r>
            <w:r>
              <w:rPr>
                <w:rFonts w:hint="eastAsia" w:ascii="宋体" w:hAnsi="宋体" w:eastAsia="方正仿宋_GBK" w:cs="宋体"/>
                <w:color w:val="000000"/>
                <w:kern w:val="0"/>
                <w:sz w:val="24"/>
              </w:rPr>
              <w:t>双随机、一公开</w:t>
            </w:r>
            <w:r>
              <w:rPr>
                <w:rFonts w:hint="eastAsia" w:ascii="宋体" w:hAnsi="宋体" w:eastAsia="宋体" w:cs="宋体"/>
                <w:color w:val="000000"/>
                <w:kern w:val="0"/>
                <w:sz w:val="24"/>
              </w:rPr>
              <w:t>”</w:t>
            </w:r>
            <w:r>
              <w:rPr>
                <w:rFonts w:hint="eastAsia" w:ascii="宋体" w:hAnsi="宋体" w:eastAsia="方正仿宋_GBK" w:cs="宋体"/>
                <w:color w:val="000000"/>
                <w:kern w:val="0"/>
                <w:sz w:val="24"/>
              </w:rPr>
              <w:t>监管，重点检查企业台账制度建立执行情况，发现违法违规行为依法处理或者提请有关部门予以查处。结合企业诚信经营和风险状况依法实施差异化监管。支持行业协会发挥行业自律作用。</w:t>
            </w:r>
          </w:p>
          <w:p>
            <w:pPr>
              <w:keepNext w:val="0"/>
              <w:keepLines w:val="0"/>
              <w:pageBreakBefore w:val="0"/>
              <w:widowControl/>
              <w:kinsoku/>
              <w:wordWrap/>
              <w:overflowPunct/>
              <w:topLinePunct w:val="0"/>
              <w:autoSpaceDE/>
              <w:autoSpaceDN/>
              <w:bidi w:val="0"/>
              <w:adjustRightInd/>
              <w:snapToGrid w:val="0"/>
              <w:spacing w:line="260" w:lineRule="exact"/>
              <w:ind w:firstLine="480" w:firstLineChars="20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方正仿宋_GBK" w:cs="宋体"/>
                <w:color w:val="000000"/>
                <w:kern w:val="0"/>
                <w:sz w:val="24"/>
              </w:rPr>
              <w:t>区政府严格落实属地监管职责。要建立跨部门联合监管机制，按照综合行政执法改革精神，统筹配置行政处罚职能和执法资源，加强协同监管。建立投诉举报制度，定期组织开展对成品油零售企业的专项检查，发现违法违规行为由各有关部门按职责依法依规查处。建立企业信用记录并纳入全国信用信息共享平台，对违法失信企业依法实施失信惩戒。</w:t>
            </w:r>
          </w:p>
          <w:p>
            <w:pPr>
              <w:keepNext w:val="0"/>
              <w:keepLines w:val="0"/>
              <w:pageBreakBefore w:val="0"/>
              <w:widowControl/>
              <w:kinsoku/>
              <w:wordWrap/>
              <w:overflowPunct/>
              <w:topLinePunct w:val="0"/>
              <w:autoSpaceDE/>
              <w:autoSpaceDN/>
              <w:bidi w:val="0"/>
              <w:adjustRightInd/>
              <w:snapToGrid w:val="0"/>
              <w:spacing w:line="260" w:lineRule="exact"/>
              <w:ind w:firstLine="480" w:firstLineChars="20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方正仿宋_GBK" w:cs="宋体"/>
                <w:color w:val="000000"/>
                <w:kern w:val="0"/>
                <w:sz w:val="24"/>
              </w:rPr>
              <w:t>相关部门严格落实专项监管职责。从事成品油零售经营活动的企业必须符合自然资源、规划、建设、质量计量、环保、安全生产、消防、治安反恐、商务、税务、交通运输、气象等方面法律法规和标准要求，依法依规开展经营。公安、规划自然资源、生态环境、住房城乡建设、交通运输、商务、应急管理、税务、市场监管、能源等部门按职责依法依规加强监管，承担安全生产监管责任的部门切实履行监管责任、守牢安全底线。</w:t>
            </w:r>
          </w:p>
          <w:p>
            <w:pPr>
              <w:keepNext w:val="0"/>
              <w:keepLines w:val="0"/>
              <w:pageBreakBefore w:val="0"/>
              <w:kinsoku/>
              <w:wordWrap/>
              <w:overflowPunct/>
              <w:topLinePunct w:val="0"/>
              <w:autoSpaceDE/>
              <w:autoSpaceDN/>
              <w:bidi w:val="0"/>
              <w:adjustRightInd/>
              <w:snapToGrid w:val="0"/>
              <w:spacing w:line="260" w:lineRule="exact"/>
              <w:ind w:firstLine="480" w:firstLineChars="200"/>
              <w:jc w:val="left"/>
              <w:textAlignment w:val="auto"/>
              <w:rPr>
                <w:rFonts w:ascii="宋体" w:hAnsi="宋体" w:eastAsia="方正仿宋_GBK" w:cs="宋体"/>
                <w:color w:val="000000"/>
                <w:kern w:val="0"/>
                <w:sz w:val="24"/>
              </w:rPr>
            </w:pPr>
            <w:r>
              <w:rPr>
                <w:rFonts w:hint="eastAsia" w:ascii="宋体" w:hAnsi="宋体" w:eastAsia="宋体" w:cs="宋体"/>
                <w:color w:val="000000"/>
                <w:kern w:val="0"/>
                <w:sz w:val="24"/>
              </w:rPr>
              <w:t>4</w:t>
            </w:r>
            <w:r>
              <w:rPr>
                <w:rFonts w:hint="eastAsia" w:ascii="宋体" w:hAnsi="宋体" w:eastAsia="方正仿宋_GBK" w:cs="宋体"/>
                <w:color w:val="000000"/>
                <w:kern w:val="0"/>
                <w:sz w:val="24"/>
              </w:rPr>
              <w:t>．加强成品油零售行业监管信息共享运用。市场监管部门要及时将新登记经营范围涉及成品油零售的企业信息推送至有关主管部门。商务部门要将改革前已取得相应许可的成品油零售企业信息推送至有关主管部门。指定部门要将行业监管中发现的超经营范围经营企业信息或者无照经营信息及时推送至有关主管部门。有关行业主管部门要充分运用共享的监管信息，有针对性地加强监管执法。</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方正仿宋简体">
    <w:altName w:val="方正仿宋_GBK"/>
    <w:panose1 w:val="02010601030101010101"/>
    <w:charset w:val="00"/>
    <w:family w:val="roma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重庆市荣昌区人民政府办公室发布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6FF2E2B"/>
    <w:rsid w:val="4BC77339"/>
    <w:rsid w:val="4C9236C5"/>
    <w:rsid w:val="4CE85B19"/>
    <w:rsid w:val="4E250A85"/>
    <w:rsid w:val="4FFD4925"/>
    <w:rsid w:val="505C172E"/>
    <w:rsid w:val="506405EA"/>
    <w:rsid w:val="52F46F0B"/>
    <w:rsid w:val="532B6A10"/>
    <w:rsid w:val="539E4E99"/>
    <w:rsid w:val="53D8014D"/>
    <w:rsid w:val="550C209A"/>
    <w:rsid w:val="555D79E7"/>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EF772305"/>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2023-11-02T08:21:08Z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