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方正黑体_GBK"/>
        </w:rPr>
      </w:pPr>
    </w:p>
    <w:p>
      <w:pPr>
        <w:rPr>
          <w:rFonts w:hint="eastAsia" w:ascii="宋体" w:hAnsi="宋体" w:eastAsia="方正黑体_GBK"/>
        </w:rPr>
      </w:pPr>
    </w:p>
    <w:p>
      <w:pPr>
        <w:rPr>
          <w:rFonts w:hint="eastAsia" w:ascii="宋体" w:hAnsi="宋体" w:eastAsia="方正黑体_GBK"/>
        </w:rPr>
      </w:pPr>
    </w:p>
    <w:p>
      <w:pPr>
        <w:snapToGrid w:val="0"/>
        <w:spacing w:before="115" w:beforeLines="20" w:line="1320" w:lineRule="exact"/>
        <w:ind w:right="54" w:rightChars="17" w:firstLine="222" w:firstLineChars="40"/>
        <w:jc w:val="left"/>
        <w:rPr>
          <w:rFonts w:hint="eastAsia" w:ascii="宋体" w:hAnsi="宋体" w:eastAsia="方正小标宋_GBK"/>
          <w:b/>
          <w:color w:val="FF0000"/>
          <w:w w:val="53"/>
          <w:sz w:val="110"/>
          <w:szCs w:val="110"/>
        </w:rPr>
      </w:pPr>
      <w:r>
        <w:rPr>
          <w:rFonts w:hint="eastAsia" w:ascii="宋体" w:hAnsi="宋体" w:eastAsia="方正小标宋_GBK"/>
          <w:b/>
          <w:color w:val="FF0000"/>
          <w:w w:val="51"/>
          <w:sz w:val="108"/>
          <w:szCs w:val="108"/>
        </w:rPr>
        <w:t>重庆市荣昌区人民政府办公室文件</w:t>
      </w:r>
    </w:p>
    <w:p>
      <w:pPr>
        <w:snapToGrid w:val="0"/>
        <w:spacing w:before="28" w:beforeLines="5"/>
        <w:rPr>
          <w:rFonts w:hint="eastAsia" w:ascii="宋体" w:hAnsi="宋体"/>
          <w:szCs w:val="32"/>
        </w:rPr>
      </w:pPr>
    </w:p>
    <w:p>
      <w:pPr>
        <w:rPr>
          <w:rFonts w:hint="eastAsia" w:ascii="宋体" w:hAnsi="宋体"/>
        </w:rPr>
      </w:pPr>
    </w:p>
    <w:p>
      <w:pPr>
        <w:ind w:left="0" w:leftChars="0" w:right="0" w:rightChars="0" w:firstLine="0" w:firstLineChars="0"/>
        <w:jc w:val="center"/>
        <w:rPr>
          <w:rFonts w:hint="eastAsia" w:ascii="宋体" w:hAnsi="宋体"/>
        </w:rPr>
      </w:pPr>
      <w:bookmarkStart w:id="68" w:name="_GoBack"/>
      <w:r>
        <w:rPr>
          <w:rFonts w:hint="eastAsia" w:ascii="宋体" w:hAnsi="宋体" w:eastAsia="方正仿宋_GBK"/>
          <w:bCs/>
          <w:szCs w:val="32"/>
        </w:rPr>
        <w:t>荣昌府办发〔</w:t>
      </w:r>
      <w:r>
        <w:rPr>
          <w:rFonts w:hint="eastAsia" w:ascii="宋体" w:hAnsi="宋体" w:eastAsia="方正仿宋_GBK"/>
          <w:bCs/>
          <w:szCs w:val="32"/>
          <w:lang w:eastAsia="zh-CN"/>
        </w:rPr>
        <w:t>2022</w:t>
      </w:r>
      <w:r>
        <w:rPr>
          <w:rFonts w:hint="eastAsia" w:ascii="宋体" w:hAnsi="宋体" w:eastAsia="方正仿宋_GBK"/>
          <w:bCs/>
          <w:szCs w:val="32"/>
        </w:rPr>
        <w:t>〕</w:t>
      </w:r>
      <w:r>
        <w:rPr>
          <w:rFonts w:hint="eastAsia" w:ascii="宋体" w:hAnsi="宋体"/>
          <w:bCs/>
          <w:szCs w:val="32"/>
          <w:lang w:val="en-US" w:eastAsia="zh-CN"/>
        </w:rPr>
        <w:t>104</w:t>
      </w:r>
      <w:r>
        <w:rPr>
          <w:rFonts w:hint="eastAsia" w:ascii="宋体" w:hAnsi="宋体" w:eastAsia="方正仿宋_GBK"/>
          <w:bCs/>
          <w:szCs w:val="32"/>
        </w:rPr>
        <w:t>号</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rPr>
      </w:pPr>
      <w:r>
        <w:rPr>
          <w:rFonts w:hint="eastAsia" w:ascii="宋体" w:hAnsi="宋体" w:eastAsia="方正小标宋_GBK"/>
          <w:b/>
          <w:color w:val="FF0000"/>
          <w:w w:val="55"/>
          <w:sz w:val="108"/>
          <w:szCs w:val="108"/>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3044190</wp:posOffset>
                </wp:positionV>
                <wp:extent cx="5615940" cy="0"/>
                <wp:effectExtent l="0" t="10795" r="3810" b="17780"/>
                <wp:wrapNone/>
                <wp:docPr id="3" name="直线 160"/>
                <wp:cNvGraphicFramePr/>
                <a:graphic xmlns:a="http://schemas.openxmlformats.org/drawingml/2006/main">
                  <a:graphicData uri="http://schemas.microsoft.com/office/word/2010/wordprocessingShape">
                    <wps:wsp>
                      <wps:cNvSp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160" o:spid="_x0000_s1026" o:spt="20" style="position:absolute;left:0pt;margin-left:76.55pt;margin-top:239.7pt;height:0pt;width:442.2pt;mso-position-horizontal-relative:page;mso-position-vertical-relative:margin;z-index:251661312;mso-width-relative:page;mso-height-relative:page;" filled="f" stroked="t" coordsize="21600,21600" o:gfxdata="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sn&#10;SQ/ZAAAADAEAAA8AAAAAAAAAAQAgAAAAIgAAAGRycy9kb3ducmV2LnhtbFBLAQIUABQAAAAIAIdO&#10;4kAYc1gu6QEAAN4DAAAOAAAAAAAAAAEAIAAAACgBAABkcnMvZTJvRG9jLnhtbFBLBQYAAAAABgAG&#10;AFkBAACD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方正小标宋_GBK" w:cs="方正小标宋_GBK"/>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0"/>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重庆市荣昌区人民政府办公室</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0"/>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关于印发</w:t>
      </w:r>
      <w:r>
        <w:rPr>
          <w:rFonts w:hint="eastAsia" w:ascii="Times New Roman" w:hAnsi="Times New Roman" w:eastAsia="方正小标宋_GBK" w:cs="Times New Roman"/>
          <w:sz w:val="44"/>
          <w:szCs w:val="44"/>
          <w:lang w:eastAsia="zh-CN"/>
        </w:rPr>
        <w:t>荣昌区</w:t>
      </w:r>
      <w:r>
        <w:rPr>
          <w:rFonts w:hint="eastAsia" w:eastAsia="方正小标宋_GBK" w:cs="Times New Roman"/>
          <w:sz w:val="44"/>
          <w:szCs w:val="44"/>
          <w:lang w:eastAsia="zh-CN"/>
        </w:rPr>
        <w:t>“</w:t>
      </w:r>
      <w:r>
        <w:rPr>
          <w:rFonts w:hint="default" w:ascii="Times New Roman" w:hAnsi="Times New Roman" w:eastAsia="方正小标宋_GBK" w:cs="Times New Roman"/>
          <w:sz w:val="44"/>
          <w:szCs w:val="44"/>
        </w:rPr>
        <w:t>十四五</w:t>
      </w:r>
      <w:r>
        <w:rPr>
          <w:rFonts w:hint="eastAsia" w:eastAsia="方正小标宋_GBK" w:cs="Times New Roman"/>
          <w:sz w:val="44"/>
          <w:szCs w:val="44"/>
          <w:lang w:eastAsia="zh-CN"/>
        </w:rPr>
        <w:t>”</w:t>
      </w:r>
      <w:r>
        <w:rPr>
          <w:rFonts w:hint="default" w:ascii="Times New Roman" w:hAnsi="Times New Roman" w:eastAsia="方正小标宋_GBK" w:cs="Times New Roman"/>
          <w:sz w:val="44"/>
          <w:szCs w:val="44"/>
        </w:rPr>
        <w:t>工业固体废物</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0"/>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污染环境防治规划</w:t>
      </w:r>
      <w:r>
        <w:rPr>
          <w:rFonts w:hint="eastAsia" w:ascii="Times New Roman" w:hAnsi="Times New Roman" w:eastAsia="方正小标宋_GBK" w:cs="Times New Roman"/>
          <w:sz w:val="44"/>
          <w:szCs w:val="44"/>
          <w:lang w:val="en-US" w:eastAsia="zh-CN"/>
        </w:rPr>
        <w:t>的通知</w:t>
      </w:r>
    </w:p>
    <w:bookmarkEnd w:id="68"/>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各镇人民政府，各街道办事处，区政府各部门，有关单位：</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现将《荣昌区“十四五”工业固体废物污染环境防治规划》印发给你们，请认真贯彻执行。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rPr>
      </w:pPr>
    </w:p>
    <w:p>
      <w:pPr>
        <w:keepNext w:val="0"/>
        <w:keepLines w:val="0"/>
        <w:pageBreakBefore w:val="0"/>
        <w:widowControl w:val="0"/>
        <w:kinsoku/>
        <w:wordWrap w:val="0"/>
        <w:overflowPunct/>
        <w:topLinePunct w:val="0"/>
        <w:autoSpaceDE/>
        <w:autoSpaceDN/>
        <w:bidi w:val="0"/>
        <w:adjustRightInd/>
        <w:spacing w:line="520" w:lineRule="exact"/>
        <w:jc w:val="right"/>
        <w:textAlignment w:val="auto"/>
        <w:rPr>
          <w:rFonts w:hint="default" w:eastAsia="方正仿宋_GBK"/>
          <w:lang w:val="en-US" w:eastAsia="zh-CN"/>
        </w:rPr>
      </w:pPr>
      <w:r>
        <w:t>重庆市荣昌区人民政府办公室</w:t>
      </w:r>
      <w:r>
        <w:rPr>
          <w:rFonts w:hint="eastAsia"/>
          <w:lang w:val="en-US" w:eastAsia="zh-CN"/>
        </w:rPr>
        <w:t xml:space="preserve">   </w:t>
      </w:r>
    </w:p>
    <w:p>
      <w:pPr>
        <w:wordWrap w:val="0"/>
        <w:bidi w:val="0"/>
        <w:jc w:val="right"/>
        <w:rPr>
          <w:rFonts w:hint="eastAsia" w:eastAsia="方正仿宋_GBK"/>
          <w:lang w:eastAsia="zh-CN"/>
        </w:rPr>
      </w:pPr>
      <w:r>
        <w:t>202</w:t>
      </w:r>
      <w:r>
        <w:rPr>
          <w:rFonts w:hint="eastAsia"/>
        </w:rPr>
        <w:t>2</w:t>
      </w:r>
      <w:r>
        <w:t>年</w:t>
      </w:r>
      <w:r>
        <w:rPr>
          <w:rFonts w:hint="eastAsia"/>
          <w:lang w:val="en-US" w:eastAsia="zh-CN"/>
        </w:rPr>
        <w:t>12</w:t>
      </w:r>
      <w:r>
        <w:t>月</w:t>
      </w:r>
      <w:r>
        <w:rPr>
          <w:rFonts w:hint="eastAsia"/>
          <w:lang w:val="en-US" w:eastAsia="zh-CN"/>
        </w:rPr>
        <w:t>28</w:t>
      </w:r>
      <w:r>
        <w:t>日</w:t>
      </w:r>
      <w:r>
        <w:rPr>
          <w:rFonts w:hint="eastAsia"/>
          <w:lang w:eastAsia="zh-CN"/>
        </w:rPr>
        <w:t>　　　　</w:t>
      </w:r>
    </w:p>
    <w:p>
      <w:pPr>
        <w:widowControl/>
        <w:ind w:firstLine="640" w:firstLineChars="200"/>
        <w:jc w:val="left"/>
        <w:rPr>
          <w:rFonts w:hint="eastAsia" w:ascii="宋体" w:hAnsi="宋体" w:eastAsia="方正仿宋_GBK" w:cs="方正仿宋_GBK"/>
          <w:color w:val="000000"/>
          <w:kern w:val="0"/>
          <w:szCs w:val="32"/>
          <w:shd w:val="clear" w:color="auto" w:fill="FFFFFF"/>
          <w:lang w:bidi="ar"/>
        </w:rPr>
      </w:pPr>
      <w:r>
        <w:rPr>
          <w:rFonts w:hint="eastAsia" w:ascii="宋体" w:hAnsi="宋体" w:eastAsia="方正仿宋_GBK" w:cs="方正仿宋_GBK"/>
          <w:color w:val="000000"/>
          <w:kern w:val="0"/>
          <w:szCs w:val="32"/>
          <w:shd w:val="clear" w:color="auto" w:fill="FFFFFF"/>
          <w:lang w:bidi="ar"/>
        </w:rPr>
        <w:t>（此件公开发布）</w:t>
      </w:r>
    </w:p>
    <w:p>
      <w:pPr>
        <w:pStyle w:val="10"/>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sz w:val="32"/>
          <w:szCs w:val="32"/>
        </w:rPr>
      </w:pPr>
    </w:p>
    <w:p>
      <w:pPr>
        <w:pStyle w:val="24"/>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ind w:firstLine="0" w:firstLineChars="0"/>
        <w:jc w:val="center"/>
        <w:textAlignment w:val="auto"/>
        <w:outlineLvl w:val="0"/>
        <w:rPr>
          <w:rFonts w:hint="default" w:ascii="Times New Roman" w:hAnsi="Times New Roman" w:eastAsia="方正小标宋_GBK" w:cs="Times New Roman"/>
          <w:spacing w:val="0"/>
          <w:w w:val="100"/>
          <w:sz w:val="44"/>
          <w:szCs w:val="44"/>
        </w:rPr>
      </w:pPr>
      <w:bookmarkStart w:id="0" w:name="_Toc6523"/>
      <w:bookmarkStart w:id="1" w:name="_Toc3764"/>
      <w:bookmarkStart w:id="2" w:name="_Toc18256"/>
      <w:r>
        <w:rPr>
          <w:rFonts w:hint="eastAsia" w:eastAsia="方正小标宋_GBK" w:cs="Times New Roman"/>
          <w:spacing w:val="0"/>
          <w:w w:val="100"/>
          <w:sz w:val="44"/>
          <w:szCs w:val="44"/>
          <w:lang w:eastAsia="zh-CN"/>
        </w:rPr>
        <w:t>荣昌区“</w:t>
      </w:r>
      <w:r>
        <w:rPr>
          <w:rFonts w:hint="default" w:ascii="Times New Roman" w:hAnsi="Times New Roman" w:eastAsia="方正小标宋_GBK" w:cs="Times New Roman"/>
          <w:spacing w:val="0"/>
          <w:w w:val="100"/>
          <w:sz w:val="44"/>
          <w:szCs w:val="44"/>
        </w:rPr>
        <w:t>十四五</w:t>
      </w:r>
      <w:r>
        <w:rPr>
          <w:rFonts w:hint="eastAsia" w:ascii="Times New Roman" w:hAnsi="Times New Roman" w:eastAsia="方正小标宋_GBK" w:cs="Times New Roman"/>
          <w:spacing w:val="0"/>
          <w:w w:val="100"/>
          <w:sz w:val="44"/>
          <w:szCs w:val="44"/>
          <w:lang w:eastAsia="zh-CN"/>
        </w:rPr>
        <w:t>”</w:t>
      </w:r>
      <w:r>
        <w:rPr>
          <w:rFonts w:hint="default" w:ascii="Times New Roman" w:hAnsi="Times New Roman" w:eastAsia="方正小标宋_GBK" w:cs="Times New Roman"/>
          <w:spacing w:val="0"/>
          <w:w w:val="100"/>
          <w:sz w:val="44"/>
          <w:szCs w:val="44"/>
        </w:rPr>
        <w:t>工业固体废物</w:t>
      </w:r>
      <w:bookmarkEnd w:id="0"/>
      <w:bookmarkEnd w:id="1"/>
      <w:bookmarkEnd w:id="2"/>
    </w:p>
    <w:p>
      <w:pPr>
        <w:keepNext w:val="0"/>
        <w:keepLines w:val="0"/>
        <w:pageBreakBefore w:val="0"/>
        <w:widowControl w:val="0"/>
        <w:kinsoku/>
        <w:wordWrap/>
        <w:overflowPunct/>
        <w:topLinePunct w:val="0"/>
        <w:autoSpaceDE/>
        <w:autoSpaceDN/>
        <w:bidi w:val="0"/>
        <w:adjustRightInd/>
        <w:snapToGrid w:val="0"/>
        <w:spacing w:line="720" w:lineRule="atLeast"/>
        <w:ind w:firstLine="0" w:firstLineChars="0"/>
        <w:jc w:val="center"/>
        <w:textAlignment w:val="auto"/>
        <w:outlineLvl w:val="0"/>
        <w:rPr>
          <w:rFonts w:hint="default" w:ascii="Times New Roman" w:hAnsi="Times New Roman" w:eastAsia="方正小标宋_GBK" w:cs="Times New Roman"/>
          <w:spacing w:val="0"/>
          <w:w w:val="100"/>
          <w:sz w:val="44"/>
          <w:szCs w:val="44"/>
        </w:rPr>
      </w:pPr>
      <w:bookmarkStart w:id="3" w:name="_Toc6494"/>
      <w:bookmarkStart w:id="4" w:name="_Toc25730"/>
      <w:bookmarkStart w:id="5" w:name="_Toc9225"/>
      <w:r>
        <w:rPr>
          <w:rFonts w:hint="default" w:ascii="Times New Roman" w:hAnsi="Times New Roman" w:eastAsia="方正小标宋_GBK" w:cs="Times New Roman"/>
          <w:spacing w:val="0"/>
          <w:w w:val="100"/>
          <w:sz w:val="44"/>
          <w:szCs w:val="44"/>
        </w:rPr>
        <w:t>污染环境防治规划</w:t>
      </w:r>
      <w:bookmarkEnd w:id="3"/>
      <w:bookmarkEnd w:id="4"/>
      <w:bookmarkEnd w:id="5"/>
    </w:p>
    <w:p>
      <w:pPr>
        <w:spacing w:line="579" w:lineRule="exact"/>
        <w:ind w:left="0" w:leftChars="0" w:right="0" w:rightChars="0" w:firstLine="0" w:firstLineChars="0"/>
        <w:jc w:val="center"/>
        <w:rPr>
          <w:rFonts w:hint="eastAsia" w:ascii="方正楷体_GBK" w:hAnsi="方正楷体_GBK" w:eastAsia="方正楷体_GBK" w:cs="方正楷体_GBK"/>
          <w:spacing w:val="0"/>
          <w:w w:val="100"/>
        </w:rPr>
      </w:pPr>
    </w:p>
    <w:p>
      <w:pPr>
        <w:spacing w:line="579" w:lineRule="exact"/>
        <w:ind w:firstLine="0" w:firstLineChars="0"/>
        <w:jc w:val="center"/>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 xml:space="preserve"> </w:t>
      </w:r>
    </w:p>
    <w:p>
      <w:pPr>
        <w:spacing w:line="579" w:lineRule="exact"/>
        <w:ind w:firstLine="0" w:firstLineChars="0"/>
        <w:jc w:val="center"/>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 xml:space="preserve"> </w:t>
      </w:r>
    </w:p>
    <w:p>
      <w:pPr>
        <w:spacing w:line="579" w:lineRule="exact"/>
        <w:ind w:firstLine="0" w:firstLineChars="0"/>
        <w:jc w:val="center"/>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 xml:space="preserve"> </w:t>
      </w:r>
    </w:p>
    <w:p>
      <w:pPr>
        <w:spacing w:line="579" w:lineRule="exact"/>
        <w:ind w:firstLine="0" w:firstLineChars="0"/>
        <w:jc w:val="center"/>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 xml:space="preserve"> </w:t>
      </w:r>
    </w:p>
    <w:p>
      <w:pPr>
        <w:spacing w:line="579" w:lineRule="exact"/>
        <w:ind w:firstLine="0" w:firstLineChars="0"/>
        <w:jc w:val="center"/>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spacing w:val="0"/>
          <w:w w:val="100"/>
          <w:sz w:val="44"/>
          <w:szCs w:val="44"/>
        </w:rPr>
        <w:t xml:space="preserve"> </w:t>
      </w:r>
    </w:p>
    <w:p>
      <w:pPr>
        <w:spacing w:line="579" w:lineRule="exact"/>
        <w:ind w:firstLine="0" w:firstLineChars="0"/>
        <w:jc w:val="center"/>
        <w:rPr>
          <w:rFonts w:hint="default" w:ascii="Times New Roman" w:hAnsi="Times New Roman" w:eastAsia="方正小标宋_GBK" w:cs="Times New Roman"/>
          <w:spacing w:val="0"/>
          <w:w w:val="100"/>
          <w:sz w:val="44"/>
          <w:szCs w:val="44"/>
        </w:rPr>
      </w:pPr>
    </w:p>
    <w:p>
      <w:pPr>
        <w:spacing w:line="579" w:lineRule="exact"/>
        <w:ind w:firstLine="0" w:firstLineChars="0"/>
        <w:jc w:val="center"/>
        <w:rPr>
          <w:rFonts w:hint="default" w:ascii="Times New Roman" w:hAnsi="Times New Roman" w:eastAsia="方正小标宋_GBK" w:cs="Times New Roman"/>
          <w:spacing w:val="0"/>
          <w:w w:val="100"/>
          <w:sz w:val="44"/>
          <w:szCs w:val="44"/>
        </w:rPr>
      </w:pPr>
    </w:p>
    <w:p>
      <w:pPr>
        <w:spacing w:line="579" w:lineRule="exact"/>
        <w:ind w:firstLine="0" w:firstLineChars="0"/>
        <w:jc w:val="center"/>
        <w:rPr>
          <w:rFonts w:hint="default" w:ascii="Times New Roman" w:hAnsi="Times New Roman" w:eastAsia="方正小标宋_GBK" w:cs="Times New Roman"/>
          <w:spacing w:val="0"/>
          <w:w w:val="100"/>
          <w:sz w:val="44"/>
          <w:szCs w:val="44"/>
        </w:rPr>
      </w:pPr>
    </w:p>
    <w:p>
      <w:pPr>
        <w:spacing w:line="579" w:lineRule="exact"/>
        <w:ind w:firstLine="0" w:firstLineChars="0"/>
        <w:jc w:val="center"/>
        <w:rPr>
          <w:rFonts w:hint="default" w:ascii="Times New Roman" w:hAnsi="Times New Roman" w:eastAsia="方正小标宋_GBK" w:cs="Times New Roman"/>
          <w:spacing w:val="0"/>
          <w:w w:val="100"/>
          <w:sz w:val="44"/>
          <w:szCs w:val="44"/>
        </w:rPr>
      </w:pPr>
    </w:p>
    <w:p>
      <w:pPr>
        <w:spacing w:line="579" w:lineRule="exact"/>
        <w:ind w:firstLine="0" w:firstLineChars="0"/>
        <w:jc w:val="center"/>
        <w:rPr>
          <w:rFonts w:hint="default" w:ascii="Times New Roman" w:hAnsi="Times New Roman" w:eastAsia="方正小标宋_GBK" w:cs="Times New Roman"/>
          <w:spacing w:val="0"/>
          <w:w w:val="100"/>
          <w:sz w:val="44"/>
          <w:szCs w:val="44"/>
        </w:rPr>
      </w:pPr>
    </w:p>
    <w:p>
      <w:pPr>
        <w:pStyle w:val="9"/>
        <w:rPr>
          <w:rFonts w:hint="default" w:ascii="Times New Roman" w:hAnsi="Times New Roman" w:eastAsia="方正小标宋_GBK" w:cs="Times New Roman"/>
          <w:spacing w:val="0"/>
          <w:w w:val="100"/>
          <w:sz w:val="44"/>
          <w:szCs w:val="44"/>
        </w:rPr>
      </w:pPr>
    </w:p>
    <w:p>
      <w:pPr>
        <w:rPr>
          <w:rFonts w:hint="default"/>
          <w:spacing w:val="0"/>
          <w:w w:val="100"/>
        </w:rPr>
      </w:pPr>
    </w:p>
    <w:p>
      <w:pPr>
        <w:spacing w:line="579" w:lineRule="exact"/>
        <w:ind w:firstLine="0" w:firstLineChars="0"/>
        <w:jc w:val="center"/>
        <w:rPr>
          <w:rFonts w:hint="default" w:ascii="Times New Roman" w:hAnsi="Times New Roman" w:eastAsia="方正小标宋_GBK" w:cs="Times New Roman"/>
          <w:spacing w:val="0"/>
          <w:w w:val="100"/>
          <w:sz w:val="44"/>
          <w:szCs w:val="44"/>
        </w:rPr>
      </w:pPr>
    </w:p>
    <w:p>
      <w:pPr>
        <w:tabs>
          <w:tab w:val="left" w:pos="4800"/>
        </w:tabs>
        <w:ind w:left="0" w:leftChars="0" w:right="0" w:rightChars="0" w:firstLine="0" w:firstLineChars="0"/>
        <w:jc w:val="center"/>
        <w:rPr>
          <w:rFonts w:hint="eastAsia" w:ascii="方正黑体_GBK" w:hAnsi="方正黑体_GBK" w:eastAsia="方正黑体_GBK" w:cs="方正黑体_GBK"/>
          <w:b w:val="0"/>
          <w:bCs w:val="0"/>
          <w:spacing w:val="0"/>
          <w:w w:val="100"/>
        </w:rPr>
      </w:pPr>
      <w:r>
        <w:rPr>
          <w:rFonts w:hint="eastAsia" w:ascii="方正黑体_GBK" w:hAnsi="方正黑体_GBK" w:eastAsia="方正黑体_GBK" w:cs="方正黑体_GBK"/>
          <w:b w:val="0"/>
          <w:bCs w:val="0"/>
          <w:spacing w:val="0"/>
          <w:w w:val="100"/>
        </w:rPr>
        <w:t>二零二二年</w:t>
      </w:r>
      <w:r>
        <w:rPr>
          <w:rFonts w:hint="eastAsia" w:ascii="方正黑体_GBK" w:hAnsi="方正黑体_GBK" w:eastAsia="方正黑体_GBK" w:cs="方正黑体_GBK"/>
          <w:b w:val="0"/>
          <w:bCs w:val="0"/>
          <w:spacing w:val="0"/>
          <w:w w:val="100"/>
          <w:lang w:eastAsia="zh-CN"/>
        </w:rPr>
        <w:t>十</w:t>
      </w:r>
      <w:r>
        <w:rPr>
          <w:rFonts w:hint="eastAsia" w:ascii="方正黑体_GBK" w:hAnsi="方正黑体_GBK" w:eastAsia="方正黑体_GBK" w:cs="方正黑体_GBK"/>
          <w:b w:val="0"/>
          <w:bCs w:val="0"/>
          <w:spacing w:val="0"/>
          <w:w w:val="100"/>
          <w:lang w:val="en-US" w:eastAsia="zh-CN"/>
        </w:rPr>
        <w:t>二</w:t>
      </w:r>
      <w:r>
        <w:rPr>
          <w:rFonts w:hint="eastAsia" w:ascii="方正黑体_GBK" w:hAnsi="方正黑体_GBK" w:eastAsia="方正黑体_GBK" w:cs="方正黑体_GBK"/>
          <w:b w:val="0"/>
          <w:bCs w:val="0"/>
          <w:spacing w:val="0"/>
          <w:w w:val="100"/>
        </w:rPr>
        <w:t>月</w:t>
      </w:r>
    </w:p>
    <w:p>
      <w:pPr>
        <w:pStyle w:val="2"/>
        <w:keepLines w:val="0"/>
        <w:spacing w:line="579" w:lineRule="exact"/>
        <w:ind w:firstLine="0" w:firstLineChars="0"/>
        <w:jc w:val="center"/>
        <w:rPr>
          <w:rFonts w:hint="eastAsia" w:ascii="方正楷体_GBK" w:hAnsi="方正楷体_GBK" w:eastAsia="方正楷体_GBK" w:cs="方正楷体_GBK"/>
          <w:b/>
          <w:bCs/>
          <w:spacing w:val="0"/>
          <w:w w:val="100"/>
        </w:rPr>
      </w:pPr>
      <w:r>
        <w:rPr>
          <w:rFonts w:hint="eastAsia" w:ascii="方正楷体_GBK" w:hAnsi="方正楷体_GBK" w:eastAsia="方正楷体_GBK" w:cs="方正楷体_GBK"/>
          <w:b/>
          <w:bCs/>
          <w:spacing w:val="0"/>
          <w:w w:val="100"/>
        </w:rPr>
        <w:br w:type="page"/>
      </w:r>
      <w:bookmarkStart w:id="6" w:name="_Toc7803"/>
      <w:bookmarkStart w:id="7" w:name="_Toc2318"/>
      <w:bookmarkStart w:id="8" w:name="_Toc13548"/>
    </w:p>
    <w:p>
      <w:pPr>
        <w:pStyle w:val="2"/>
        <w:keepLines w:val="0"/>
        <w:spacing w:line="579" w:lineRule="exact"/>
        <w:ind w:firstLine="0" w:firstLineChars="0"/>
        <w:jc w:val="center"/>
        <w:rPr>
          <w:rFonts w:hint="eastAsia" w:ascii="方正楷体_GBK" w:hAnsi="方正楷体_GBK" w:eastAsia="方正楷体_GBK" w:cs="方正楷体_GBK"/>
          <w:b/>
          <w:bCs/>
          <w:spacing w:val="0"/>
          <w:w w:val="100"/>
        </w:rPr>
      </w:pPr>
    </w:p>
    <w:p>
      <w:pPr>
        <w:pStyle w:val="2"/>
        <w:keepLines w:val="0"/>
        <w:spacing w:line="579" w:lineRule="exact"/>
        <w:ind w:firstLine="0" w:firstLineChars="0"/>
        <w:jc w:val="center"/>
        <w:rPr>
          <w:rFonts w:hint="default" w:ascii="Times New Roman" w:hAnsi="Times New Roman" w:cs="Times New Roman"/>
          <w:bCs w:val="0"/>
          <w:spacing w:val="0"/>
          <w:w w:val="100"/>
          <w:sz w:val="44"/>
          <w:szCs w:val="44"/>
        </w:rPr>
      </w:pPr>
      <w:r>
        <w:rPr>
          <w:rFonts w:hint="default" w:ascii="Times New Roman" w:hAnsi="Times New Roman" w:cs="Times New Roman"/>
          <w:bCs w:val="0"/>
          <w:spacing w:val="0"/>
          <w:w w:val="100"/>
          <w:sz w:val="44"/>
          <w:szCs w:val="44"/>
        </w:rPr>
        <w:t>前</w:t>
      </w:r>
      <w:r>
        <w:rPr>
          <w:rFonts w:hint="eastAsia" w:cs="Times New Roman"/>
          <w:bCs w:val="0"/>
          <w:spacing w:val="0"/>
          <w:w w:val="100"/>
          <w:sz w:val="44"/>
          <w:szCs w:val="44"/>
          <w:lang w:val="en-US" w:eastAsia="zh-CN"/>
        </w:rPr>
        <w:t xml:space="preserve">  </w:t>
      </w:r>
      <w:r>
        <w:rPr>
          <w:rFonts w:hint="default" w:ascii="Times New Roman" w:hAnsi="Times New Roman" w:cs="Times New Roman"/>
          <w:bCs w:val="0"/>
          <w:spacing w:val="0"/>
          <w:w w:val="100"/>
          <w:sz w:val="44"/>
          <w:szCs w:val="44"/>
        </w:rPr>
        <w:t>言</w:t>
      </w:r>
      <w:bookmarkEnd w:id="6"/>
      <w:bookmarkEnd w:id="7"/>
      <w:bookmarkEnd w:id="8"/>
    </w:p>
    <w:p>
      <w:pPr>
        <w:spacing w:line="579" w:lineRule="exact"/>
        <w:ind w:firstLine="594"/>
        <w:rPr>
          <w:rFonts w:hint="default" w:ascii="Times New Roman" w:hAnsi="Times New Roman" w:cs="Times New Roman"/>
          <w:spacing w:val="0"/>
          <w:w w:val="100"/>
        </w:rPr>
      </w:pPr>
    </w:p>
    <w:p>
      <w:pPr>
        <w:bidi w:val="0"/>
        <w:rPr>
          <w:rFonts w:hint="default"/>
        </w:rPr>
      </w:pPr>
      <w:r>
        <w:rPr>
          <w:rFonts w:hint="default"/>
        </w:rPr>
        <w:t>党中央、国务院高度重视固体废物污染环境防治工作，习近平总书记多次</w:t>
      </w:r>
      <w:r>
        <w:rPr>
          <w:rFonts w:hint="eastAsia"/>
          <w:lang w:eastAsia="zh-CN"/>
        </w:rPr>
        <w:t>作</w:t>
      </w:r>
      <w:r>
        <w:rPr>
          <w:rFonts w:hint="default"/>
        </w:rPr>
        <w:t>出重要部署和指示批示，亲自谋划、亲自推动了全面禁止洋垃圾入境、生活垃圾分类等一系列重大改革举措。2020年9月1日，新修订的《中华人民共和国固体废物污染环境防治法》（以下简称《固废法》）正式实施，《固废法》第三十五条规定，县级以上地方人民政府应当制定工业固体废物污染环境防治工作规划，组织建设工业固体废物集中处置等设施，推动工业固体废物污染环境防治工作。重庆市《2021年全市污染防治攻坚战目标任务》文件中要求区县编制工业固体废物污染环境防治规划，为推动</w:t>
      </w:r>
      <w:r>
        <w:rPr>
          <w:rFonts w:hint="eastAsia"/>
          <w:lang w:eastAsia="zh-CN"/>
        </w:rPr>
        <w:t>荣昌区</w:t>
      </w:r>
      <w:r>
        <w:rPr>
          <w:rFonts w:hint="default"/>
        </w:rPr>
        <w:t>工业固体废物污染防治管理水平全面提升、开展“无废城市”建设提供了新的契机。</w:t>
      </w:r>
    </w:p>
    <w:p>
      <w:pPr>
        <w:bidi w:val="0"/>
        <w:rPr>
          <w:rFonts w:hint="default"/>
        </w:rPr>
      </w:pPr>
      <w:r>
        <w:rPr>
          <w:rFonts w:hint="default"/>
        </w:rPr>
        <w:t>“十四五”时期是深入打好污染防治攻坚战、推动经济社会实现绿色转型的关键阶段，固体废物污染防治一头连着减污、一头连着降碳，是建设生态文明、</w:t>
      </w:r>
      <w:r>
        <w:rPr>
          <w:rFonts w:hint="eastAsia"/>
          <w:lang w:val="en-US" w:eastAsia="zh-CN"/>
        </w:rPr>
        <w:t>深入</w:t>
      </w:r>
      <w:r>
        <w:rPr>
          <w:rFonts w:hint="default"/>
        </w:rPr>
        <w:t>打好污染防治攻坚战的重要内容。为深入贯彻落实</w:t>
      </w:r>
      <w:r>
        <w:rPr>
          <w:rFonts w:hint="eastAsia"/>
          <w:lang w:eastAsia="zh-CN"/>
        </w:rPr>
        <w:t>习近平总书记重要讲话重要指示精神</w:t>
      </w:r>
      <w:r>
        <w:rPr>
          <w:rFonts w:hint="default"/>
        </w:rPr>
        <w:t>，贯彻落实《固废法》新要求，稳步推进“无废城市”建设，在立足新发展阶段、贯彻新发展理念、融入新发展格局的时代背景下系统谋划“十四五”时期我</w:t>
      </w:r>
      <w:r>
        <w:rPr>
          <w:rFonts w:hint="eastAsia"/>
          <w:lang w:eastAsia="zh-CN"/>
        </w:rPr>
        <w:t>区</w:t>
      </w:r>
      <w:r>
        <w:rPr>
          <w:rFonts w:hint="default"/>
        </w:rPr>
        <w:t>工业固体废物污染环境防治工作，着力提升工业固体废物减量化、资源化、无害化水平。根据《中共中央国务院关于深入打好污染防治攻坚战的意见》《重庆市深入打好污染防治攻坚战实施方案》《成渝地区双城经济圈生态环境保护规划》《危险废物焚烧污染控制标准》</w:t>
      </w:r>
      <w:r>
        <w:rPr>
          <w:rFonts w:hint="eastAsia"/>
          <w:lang w:eastAsia="zh-CN"/>
        </w:rPr>
        <w:t>(</w:t>
      </w:r>
      <w:r>
        <w:rPr>
          <w:rFonts w:hint="default"/>
        </w:rPr>
        <w:t>GB18484</w:t>
      </w:r>
      <w:r>
        <w:rPr>
          <w:rFonts w:hint="eastAsia"/>
          <w:lang w:eastAsia="zh-CN"/>
        </w:rPr>
        <w:t>—</w:t>
      </w:r>
      <w:r>
        <w:rPr>
          <w:rFonts w:hint="default"/>
        </w:rPr>
        <w:t>2020</w:t>
      </w:r>
      <w:r>
        <w:rPr>
          <w:rFonts w:hint="eastAsia"/>
          <w:lang w:eastAsia="zh-CN"/>
        </w:rPr>
        <w:t>）、</w:t>
      </w:r>
      <w:r>
        <w:rPr>
          <w:rFonts w:hint="default"/>
        </w:rPr>
        <w:t>《一般工业固体废物贮存和填埋污染控制标准》（GB18599</w:t>
      </w:r>
      <w:r>
        <w:rPr>
          <w:rFonts w:hint="eastAsia"/>
          <w:lang w:eastAsia="zh-CN"/>
        </w:rPr>
        <w:t>—</w:t>
      </w:r>
      <w:r>
        <w:rPr>
          <w:rFonts w:hint="default"/>
        </w:rPr>
        <w:t>2020）</w:t>
      </w:r>
      <w:r>
        <w:rPr>
          <w:rFonts w:hint="eastAsia"/>
          <w:lang w:eastAsia="zh-CN"/>
        </w:rPr>
        <w:t>、</w:t>
      </w:r>
      <w:r>
        <w:rPr>
          <w:rFonts w:hint="default"/>
        </w:rPr>
        <w:t>《“十四五”全国危险废物规范化环境管理评估工作方案》（2021年9月1日）</w:t>
      </w:r>
      <w:r>
        <w:rPr>
          <w:rFonts w:hint="eastAsia"/>
          <w:lang w:eastAsia="zh-CN"/>
        </w:rPr>
        <w:t>、</w:t>
      </w:r>
      <w:r>
        <w:rPr>
          <w:rFonts w:hint="default"/>
        </w:rPr>
        <w:t>《一般工业固体废物管理台账制定指南（试行）》（2021年12月31日）</w:t>
      </w:r>
      <w:r>
        <w:rPr>
          <w:rFonts w:hint="eastAsia"/>
          <w:lang w:eastAsia="zh-CN"/>
        </w:rPr>
        <w:t>、</w:t>
      </w:r>
      <w:r>
        <w:rPr>
          <w:rFonts w:hint="default"/>
        </w:rPr>
        <w:t>《关于开展工业固体废物排污许可管理工作的通知》（2021年12月21日）</w:t>
      </w:r>
      <w:r>
        <w:rPr>
          <w:rFonts w:hint="eastAsia"/>
          <w:lang w:eastAsia="zh-CN"/>
        </w:rPr>
        <w:t>、</w:t>
      </w:r>
      <w:r>
        <w:rPr>
          <w:rFonts w:hint="default"/>
        </w:rPr>
        <w:t>《排污许可证申请与核发技术规范工业固体废物（试行）》《关于印发“无废城市”建设试点工作方案的通知》（国办发〔2018〕128号）</w:t>
      </w:r>
      <w:r>
        <w:rPr>
          <w:rFonts w:hint="eastAsia"/>
          <w:lang w:eastAsia="zh-CN"/>
        </w:rPr>
        <w:t>、</w:t>
      </w:r>
      <w:r>
        <w:rPr>
          <w:rFonts w:hint="default"/>
        </w:rPr>
        <w:t>《关于印发“无废城市”建设试点实施方案编制指南》和《“无废城市”建设指标体系（试行）》的函（生态环境部办公厅，2019年5月）</w:t>
      </w:r>
      <w:r>
        <w:rPr>
          <w:rFonts w:hint="eastAsia"/>
          <w:lang w:eastAsia="zh-CN"/>
        </w:rPr>
        <w:t>、</w:t>
      </w:r>
      <w:r>
        <w:rPr>
          <w:rFonts w:hint="default"/>
        </w:rPr>
        <w:t>《重庆市固体废物处理处置规划（2019</w:t>
      </w:r>
      <w:r>
        <w:rPr>
          <w:rFonts w:hint="eastAsia"/>
          <w:lang w:eastAsia="zh-CN"/>
        </w:rPr>
        <w:t>—</w:t>
      </w:r>
      <w:r>
        <w:rPr>
          <w:rFonts w:hint="default"/>
        </w:rPr>
        <w:t>2035年）》</w:t>
      </w:r>
      <w:r>
        <w:t>《重庆市“十四五”工业固体废物污染环境防治规划》</w:t>
      </w:r>
      <w:r>
        <w:rPr>
          <w:rFonts w:hint="default"/>
        </w:rPr>
        <w:t>《</w:t>
      </w:r>
      <w:r>
        <w:rPr>
          <w:rFonts w:hint="eastAsia"/>
          <w:lang w:eastAsia="zh-CN"/>
        </w:rPr>
        <w:t>荣昌区</w:t>
      </w:r>
      <w:r>
        <w:rPr>
          <w:rFonts w:hint="default"/>
        </w:rPr>
        <w:t>国民经济和社会发展第十四个五年规划和二〇三五年远景目标的建议》《</w:t>
      </w:r>
      <w:r>
        <w:rPr>
          <w:rFonts w:hint="eastAsia"/>
          <w:lang w:eastAsia="zh-CN"/>
        </w:rPr>
        <w:t>荣昌区</w:t>
      </w:r>
      <w:r>
        <w:rPr>
          <w:rFonts w:hint="default"/>
        </w:rPr>
        <w:t>国民经济和社会发展第十四个五年规划和二〇三五年远景目标纲要》《</w:t>
      </w:r>
      <w:r>
        <w:rPr>
          <w:rFonts w:hint="eastAsia"/>
          <w:lang w:eastAsia="zh-CN"/>
        </w:rPr>
        <w:t>荣昌区</w:t>
      </w:r>
      <w:r>
        <w:rPr>
          <w:rFonts w:hint="default"/>
        </w:rPr>
        <w:t>生态环境保护“十四五”规划（2021—2025年）》。依据上述法律法规、政策、规划、规范，组织编制了《</w:t>
      </w:r>
      <w:r>
        <w:rPr>
          <w:rFonts w:hint="eastAsia"/>
          <w:lang w:eastAsia="zh-CN"/>
        </w:rPr>
        <w:t>荣昌区</w:t>
      </w:r>
      <w:r>
        <w:rPr>
          <w:rFonts w:hint="default"/>
        </w:rPr>
        <w:t>“十四五”工业固体废物污染环境防治规划》。</w:t>
      </w:r>
    </w:p>
    <w:p>
      <w:pPr>
        <w:bidi w:val="0"/>
        <w:rPr>
          <w:rFonts w:hint="default"/>
        </w:rPr>
      </w:pPr>
      <w:r>
        <w:rPr>
          <w:rFonts w:hint="default"/>
        </w:rPr>
        <w:t>本规划坚持绿色低碳循环理念，统筹一般工业固体废物与工业危险废物，提出全</w:t>
      </w:r>
      <w:r>
        <w:rPr>
          <w:rFonts w:hint="eastAsia"/>
          <w:lang w:eastAsia="zh-CN"/>
        </w:rPr>
        <w:t>区</w:t>
      </w:r>
      <w:r>
        <w:rPr>
          <w:rFonts w:hint="default"/>
        </w:rPr>
        <w:t>工业固体废物污染环境防治工作的目标、思路、主要任务与重点工程。通过实施本规划，进一步完善各项监管制度、压实各方监管责任、建立联防联控机制，推动全</w:t>
      </w:r>
      <w:r>
        <w:rPr>
          <w:rFonts w:hint="eastAsia"/>
          <w:lang w:eastAsia="zh-CN"/>
        </w:rPr>
        <w:t>区</w:t>
      </w:r>
      <w:r>
        <w:rPr>
          <w:rFonts w:hint="default"/>
        </w:rPr>
        <w:t>“十四五”期间工业固体废物的减量化、资源化、无害化，加快推进全</w:t>
      </w:r>
      <w:r>
        <w:rPr>
          <w:rFonts w:hint="eastAsia"/>
          <w:lang w:eastAsia="zh-CN"/>
        </w:rPr>
        <w:t>区</w:t>
      </w:r>
      <w:r>
        <w:rPr>
          <w:rFonts w:hint="default"/>
        </w:rPr>
        <w:t>生态环境治理体系和治理能力现代化。规划基准年是2020年，规划时期为2021</w:t>
      </w:r>
      <w:r>
        <w:rPr>
          <w:rFonts w:hint="eastAsia"/>
          <w:lang w:eastAsia="zh-CN"/>
        </w:rPr>
        <w:t>—</w:t>
      </w:r>
      <w:r>
        <w:rPr>
          <w:rFonts w:hint="default"/>
        </w:rPr>
        <w:t>2025年。</w:t>
      </w:r>
    </w:p>
    <w:p>
      <w:pPr>
        <w:pStyle w:val="31"/>
        <w:pageBreakBefore w:val="0"/>
        <w:kinsoku/>
        <w:wordWrap/>
        <w:overflowPunct/>
        <w:topLinePunct w:val="0"/>
        <w:autoSpaceDE/>
        <w:autoSpaceDN/>
        <w:bidi w:val="0"/>
        <w:adjustRightInd/>
        <w:snapToGrid/>
        <w:spacing w:before="0" w:line="500" w:lineRule="exact"/>
        <w:jc w:val="center"/>
        <w:textAlignment w:val="auto"/>
        <w:rPr>
          <w:rFonts w:hint="default" w:ascii="Times New Roman" w:hAnsi="Times New Roman" w:cs="Times New Roman"/>
          <w:spacing w:val="0"/>
          <w:w w:val="100"/>
        </w:rPr>
      </w:pPr>
      <w:r>
        <w:rPr>
          <w:rFonts w:hint="default" w:ascii="Times New Roman" w:hAnsi="Times New Roman" w:cs="Times New Roman"/>
          <w:spacing w:val="0"/>
          <w:w w:val="100"/>
        </w:rPr>
        <w:br w:type="page"/>
      </w:r>
    </w:p>
    <w:p>
      <w:pPr>
        <w:pStyle w:val="31"/>
        <w:pageBreakBefore w:val="0"/>
        <w:kinsoku/>
        <w:wordWrap/>
        <w:overflowPunct/>
        <w:topLinePunct w:val="0"/>
        <w:autoSpaceDE/>
        <w:autoSpaceDN/>
        <w:bidi w:val="0"/>
        <w:adjustRightInd/>
        <w:snapToGrid/>
        <w:spacing w:before="0" w:line="500" w:lineRule="exact"/>
        <w:jc w:val="center"/>
        <w:textAlignment w:val="auto"/>
        <w:rPr>
          <w:rFonts w:hint="default" w:ascii="Times New Roman" w:hAnsi="Times New Roman" w:cs="Times New Roman"/>
          <w:spacing w:val="0"/>
          <w:w w:val="100"/>
        </w:rPr>
      </w:pPr>
    </w:p>
    <w:p>
      <w:pPr>
        <w:pStyle w:val="31"/>
        <w:pageBreakBefore w:val="0"/>
        <w:kinsoku/>
        <w:wordWrap/>
        <w:overflowPunct/>
        <w:topLinePunct w:val="0"/>
        <w:autoSpaceDE/>
        <w:autoSpaceDN/>
        <w:bidi w:val="0"/>
        <w:adjustRightInd/>
        <w:snapToGrid/>
        <w:spacing w:before="0" w:line="500" w:lineRule="exact"/>
        <w:jc w:val="center"/>
        <w:textAlignment w:val="auto"/>
        <w:rPr>
          <w:rFonts w:hint="default" w:ascii="Times New Roman" w:hAnsi="Times New Roman" w:eastAsia="方正仿宋_GBK" w:cs="Times New Roman"/>
          <w:bCs/>
          <w:spacing w:val="0"/>
          <w:w w:val="100"/>
          <w:kern w:val="2"/>
          <w:sz w:val="32"/>
          <w:szCs w:val="32"/>
          <w:lang w:val="zh-CN" w:eastAsia="zh-CN" w:bidi="ar-SA"/>
        </w:rPr>
      </w:pPr>
      <w:r>
        <w:rPr>
          <w:rStyle w:val="20"/>
          <w:rFonts w:hint="default"/>
          <w:color w:val="auto"/>
          <w:lang w:val="zh-CN"/>
        </w:rPr>
        <w:t>目  录</w:t>
      </w:r>
      <w:r>
        <w:rPr>
          <w:rStyle w:val="20"/>
          <w:rFonts w:hint="default"/>
          <w:lang w:val="zh-CN"/>
        </w:rPr>
        <w:fldChar w:fldCharType="begin"/>
      </w:r>
      <w:r>
        <w:rPr>
          <w:rStyle w:val="20"/>
          <w:rFonts w:hint="default"/>
          <w:lang w:val="zh-CN"/>
        </w:rPr>
        <w:instrText xml:space="preserve"> HYPERLINK \l _Toc11941 </w:instrText>
      </w:r>
      <w:r>
        <w:rPr>
          <w:rStyle w:val="20"/>
          <w:rFonts w:hint="default"/>
          <w:lang w:val="zh-CN"/>
        </w:rPr>
        <w:fldChar w:fldCharType="separate"/>
      </w:r>
      <w:r>
        <w:rPr>
          <w:rStyle w:val="20"/>
          <w:rFonts w:hint="default"/>
          <w:lang w:val="zh-CN"/>
        </w:rPr>
        <w:fldChar w:fldCharType="end"/>
      </w:r>
      <w:r>
        <w:rPr>
          <w:rFonts w:hint="default" w:ascii="Times New Roman" w:hAnsi="Times New Roman" w:cs="Times New Roman"/>
          <w:spacing w:val="0"/>
          <w:w w:val="100"/>
        </w:rPr>
        <w:fldChar w:fldCharType="begin"/>
      </w:r>
      <w:r>
        <w:rPr>
          <w:rFonts w:hint="default" w:ascii="Times New Roman" w:hAnsi="Times New Roman" w:cs="Times New Roman"/>
          <w:spacing w:val="0"/>
          <w:w w:val="100"/>
        </w:rPr>
        <w:instrText xml:space="preserve"> TOC \o "1-3" \h \z \u </w:instrText>
      </w:r>
      <w:r>
        <w:rPr>
          <w:rFonts w:hint="default" w:ascii="Times New Roman" w:hAnsi="Times New Roman" w:cs="Times New Roman"/>
          <w:spacing w:val="0"/>
          <w:w w:val="100"/>
        </w:rPr>
        <w:fldChar w:fldCharType="separate"/>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bCs/>
          <w:spacing w:val="0"/>
          <w:w w:val="100"/>
          <w:sz w:val="28"/>
          <w:szCs w:val="28"/>
          <w:lang w:val="zh-CN"/>
        </w:rPr>
      </w:pP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firstLine="0" w:firstLineChars="0"/>
        <w:textAlignment w:val="auto"/>
        <w:rPr>
          <w:spacing w:val="0"/>
          <w:w w:val="100"/>
          <w:sz w:val="28"/>
          <w:szCs w:val="28"/>
        </w:rPr>
      </w:pPr>
      <w:r>
        <w:rPr>
          <w:rFonts w:hint="default" w:ascii="Times New Roman" w:hAnsi="Times New Roman" w:cs="Times New Roman"/>
          <w:bCs/>
          <w:spacing w:val="0"/>
          <w:w w:val="100"/>
          <w:sz w:val="28"/>
          <w:szCs w:val="28"/>
          <w:lang w:val="zh-CN"/>
        </w:rPr>
        <w:fldChar w:fldCharType="begin"/>
      </w:r>
      <w:r>
        <w:rPr>
          <w:rFonts w:hint="default" w:ascii="Times New Roman" w:hAnsi="Times New Roman" w:cs="Times New Roman"/>
          <w:bCs/>
          <w:spacing w:val="0"/>
          <w:w w:val="100"/>
          <w:sz w:val="28"/>
          <w:szCs w:val="28"/>
          <w:lang w:val="zh-CN"/>
        </w:rPr>
        <w:instrText xml:space="preserve"> HYPERLINK \l _Toc6027 </w:instrText>
      </w:r>
      <w:r>
        <w:rPr>
          <w:rFonts w:hint="default" w:ascii="Times New Roman" w:hAnsi="Times New Roman" w:cs="Times New Roman"/>
          <w:bCs/>
          <w:spacing w:val="0"/>
          <w:w w:val="100"/>
          <w:sz w:val="28"/>
          <w:szCs w:val="28"/>
          <w:lang w:val="zh-CN"/>
        </w:rPr>
        <w:fldChar w:fldCharType="separate"/>
      </w:r>
      <w:r>
        <w:rPr>
          <w:rFonts w:hint="eastAsia" w:ascii="方正黑体_GBK" w:hAnsi="方正黑体_GBK" w:eastAsia="方正黑体_GBK" w:cs="方正黑体_GBK"/>
          <w:bCs w:val="0"/>
          <w:spacing w:val="0"/>
          <w:w w:val="100"/>
          <w:sz w:val="28"/>
          <w:szCs w:val="28"/>
          <w:lang w:val="en-US" w:eastAsia="zh-CN"/>
        </w:rPr>
        <w:t>第一章  现状、形势与挑战</w:t>
      </w:r>
      <w:r>
        <w:rPr>
          <w:spacing w:val="0"/>
          <w:w w:val="100"/>
          <w:sz w:val="28"/>
          <w:szCs w:val="28"/>
        </w:rPr>
        <w:tab/>
      </w:r>
      <w:r>
        <w:rPr>
          <w:spacing w:val="0"/>
          <w:w w:val="100"/>
          <w:sz w:val="28"/>
          <w:szCs w:val="28"/>
        </w:rPr>
        <w:fldChar w:fldCharType="begin"/>
      </w:r>
      <w:r>
        <w:rPr>
          <w:spacing w:val="0"/>
          <w:w w:val="100"/>
          <w:sz w:val="28"/>
          <w:szCs w:val="28"/>
        </w:rPr>
        <w:instrText xml:space="preserve"> PAGEREF _Toc6027 \h </w:instrText>
      </w:r>
      <w:r>
        <w:rPr>
          <w:spacing w:val="0"/>
          <w:w w:val="100"/>
          <w:sz w:val="28"/>
          <w:szCs w:val="28"/>
        </w:rPr>
        <w:fldChar w:fldCharType="separate"/>
      </w:r>
      <w:r>
        <w:rPr>
          <w:spacing w:val="0"/>
          <w:w w:val="100"/>
          <w:sz w:val="28"/>
          <w:szCs w:val="28"/>
        </w:rPr>
        <w:t>8</w:t>
      </w:r>
      <w:r>
        <w:rPr>
          <w:spacing w:val="0"/>
          <w:w w:val="100"/>
          <w:sz w:val="28"/>
          <w:szCs w:val="28"/>
        </w:rPr>
        <w:fldChar w:fldCharType="end"/>
      </w:r>
      <w:r>
        <w:rPr>
          <w:rFonts w:hint="default" w:ascii="Times New Roman" w:hAnsi="Times New Roman" w:cs="Times New Roman"/>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_Toc16640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zh-CN" w:bidi="zh-CN"/>
        </w:rPr>
        <w:t xml:space="preserve">第一节 </w:t>
      </w:r>
      <w:r>
        <w:rPr>
          <w:rFonts w:hint="eastAsia" w:ascii="方正楷体_GBK" w:hAnsi="方正楷体_GBK" w:eastAsia="方正楷体_GBK" w:cs="方正楷体_GBK"/>
          <w:spacing w:val="0"/>
          <w:w w:val="100"/>
          <w:kern w:val="0"/>
          <w:sz w:val="28"/>
          <w:szCs w:val="28"/>
          <w:lang w:val="en-US" w:bidi="zh-CN"/>
        </w:rPr>
        <w:t xml:space="preserve"> </w:t>
      </w:r>
      <w:r>
        <w:rPr>
          <w:rFonts w:hint="eastAsia" w:ascii="方正楷体_GBK" w:hAnsi="方正楷体_GBK" w:eastAsia="方正楷体_GBK" w:cs="方正楷体_GBK"/>
          <w:spacing w:val="0"/>
          <w:w w:val="100"/>
          <w:kern w:val="0"/>
          <w:sz w:val="28"/>
          <w:szCs w:val="28"/>
          <w:lang w:val="zh-CN" w:bidi="zh-CN"/>
        </w:rPr>
        <w:t>工业固体废物污染环境防治取得明显成效</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_Toc16640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8</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_Toc5660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zh-CN" w:bidi="zh-CN"/>
        </w:rPr>
        <w:t>第</w:t>
      </w:r>
      <w:r>
        <w:rPr>
          <w:rFonts w:hint="eastAsia" w:ascii="方正楷体_GBK" w:hAnsi="方正楷体_GBK" w:eastAsia="方正楷体_GBK" w:cs="方正楷体_GBK"/>
          <w:spacing w:val="0"/>
          <w:w w:val="100"/>
          <w:kern w:val="0"/>
          <w:sz w:val="28"/>
          <w:szCs w:val="28"/>
          <w:lang w:val="en-US" w:bidi="zh-CN"/>
        </w:rPr>
        <w:t>二</w:t>
      </w:r>
      <w:r>
        <w:rPr>
          <w:rFonts w:hint="eastAsia" w:ascii="方正楷体_GBK" w:hAnsi="方正楷体_GBK" w:eastAsia="方正楷体_GBK" w:cs="方正楷体_GBK"/>
          <w:spacing w:val="0"/>
          <w:w w:val="100"/>
          <w:kern w:val="0"/>
          <w:sz w:val="28"/>
          <w:szCs w:val="28"/>
          <w:lang w:val="zh-CN" w:bidi="zh-CN"/>
        </w:rPr>
        <w:t>节</w:t>
      </w:r>
      <w:r>
        <w:rPr>
          <w:rFonts w:hint="eastAsia" w:ascii="方正楷体_GBK" w:hAnsi="方正楷体_GBK" w:eastAsia="方正楷体_GBK" w:cs="方正楷体_GBK"/>
          <w:spacing w:val="0"/>
          <w:w w:val="100"/>
          <w:kern w:val="0"/>
          <w:sz w:val="28"/>
          <w:szCs w:val="28"/>
          <w:lang w:val="en-US" w:bidi="zh-CN"/>
        </w:rPr>
        <w:t xml:space="preserve">  </w:t>
      </w:r>
      <w:r>
        <w:rPr>
          <w:rFonts w:hint="eastAsia" w:ascii="方正楷体_GBK" w:hAnsi="方正楷体_GBK" w:eastAsia="方正楷体_GBK" w:cs="方正楷体_GBK"/>
          <w:spacing w:val="0"/>
          <w:w w:val="100"/>
          <w:kern w:val="0"/>
          <w:sz w:val="28"/>
          <w:szCs w:val="28"/>
          <w:lang w:val="zh-CN" w:bidi="zh-CN"/>
        </w:rPr>
        <w:t>工业固体废物污染环境防治任重道远</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_Toc5660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10</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_Toc3072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sz w:val="28"/>
          <w:szCs w:val="28"/>
        </w:rPr>
        <w:t xml:space="preserve">第三节 </w:t>
      </w:r>
      <w:r>
        <w:rPr>
          <w:rFonts w:hint="eastAsia" w:ascii="方正楷体_GBK" w:hAnsi="方正楷体_GBK" w:eastAsia="方正楷体_GBK" w:cs="方正楷体_GBK"/>
          <w:spacing w:val="0"/>
          <w:w w:val="100"/>
          <w:sz w:val="28"/>
          <w:szCs w:val="28"/>
          <w:lang w:val="en-US" w:eastAsia="zh-CN"/>
        </w:rPr>
        <w:t xml:space="preserve"> </w:t>
      </w:r>
      <w:r>
        <w:rPr>
          <w:rFonts w:hint="eastAsia" w:ascii="方正楷体_GBK" w:hAnsi="方正楷体_GBK" w:eastAsia="方正楷体_GBK" w:cs="方正楷体_GBK"/>
          <w:spacing w:val="0"/>
          <w:w w:val="100"/>
          <w:sz w:val="28"/>
          <w:szCs w:val="28"/>
        </w:rPr>
        <w:t>工业固体废物污染环境防治迎来重要机遇</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_Toc3072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11</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firstLine="0" w:firstLineChars="0"/>
        <w:textAlignment w:val="auto"/>
        <w:rPr>
          <w:spacing w:val="0"/>
          <w:w w:val="100"/>
          <w:sz w:val="28"/>
          <w:szCs w:val="28"/>
        </w:rPr>
      </w:pPr>
      <w:r>
        <w:rPr>
          <w:rFonts w:hint="default" w:ascii="Times New Roman" w:hAnsi="Times New Roman" w:cs="Times New Roman"/>
          <w:bCs/>
          <w:spacing w:val="0"/>
          <w:w w:val="100"/>
          <w:sz w:val="28"/>
          <w:szCs w:val="28"/>
          <w:lang w:val="zh-CN"/>
        </w:rPr>
        <w:fldChar w:fldCharType="begin"/>
      </w:r>
      <w:r>
        <w:rPr>
          <w:rFonts w:hint="default" w:ascii="Times New Roman" w:hAnsi="Times New Roman" w:cs="Times New Roman"/>
          <w:bCs/>
          <w:spacing w:val="0"/>
          <w:w w:val="100"/>
          <w:sz w:val="28"/>
          <w:szCs w:val="28"/>
          <w:lang w:val="zh-CN"/>
        </w:rPr>
        <w:instrText xml:space="preserve"> HYPERLINK \l _Toc17133 </w:instrText>
      </w:r>
      <w:r>
        <w:rPr>
          <w:rFonts w:hint="default" w:ascii="Times New Roman" w:hAnsi="Times New Roman" w:cs="Times New Roman"/>
          <w:bCs/>
          <w:spacing w:val="0"/>
          <w:w w:val="100"/>
          <w:sz w:val="28"/>
          <w:szCs w:val="28"/>
          <w:lang w:val="zh-CN"/>
        </w:rPr>
        <w:fldChar w:fldCharType="separate"/>
      </w:r>
      <w:r>
        <w:rPr>
          <w:rFonts w:hint="eastAsia" w:ascii="方正黑体_GBK" w:hAnsi="方正黑体_GBK" w:eastAsia="方正黑体_GBK" w:cs="方正黑体_GBK"/>
          <w:bCs w:val="0"/>
          <w:spacing w:val="0"/>
          <w:w w:val="100"/>
          <w:sz w:val="28"/>
          <w:szCs w:val="28"/>
          <w:lang w:val="en-US" w:eastAsia="zh-CN"/>
        </w:rPr>
        <w:t>第二章  原则和目标</w:t>
      </w:r>
      <w:r>
        <w:rPr>
          <w:spacing w:val="0"/>
          <w:w w:val="100"/>
          <w:sz w:val="28"/>
          <w:szCs w:val="28"/>
        </w:rPr>
        <w:tab/>
      </w:r>
      <w:r>
        <w:rPr>
          <w:spacing w:val="0"/>
          <w:w w:val="100"/>
          <w:sz w:val="28"/>
          <w:szCs w:val="28"/>
        </w:rPr>
        <w:fldChar w:fldCharType="begin"/>
      </w:r>
      <w:r>
        <w:rPr>
          <w:spacing w:val="0"/>
          <w:w w:val="100"/>
          <w:sz w:val="28"/>
          <w:szCs w:val="28"/>
        </w:rPr>
        <w:instrText xml:space="preserve"> PAGEREF _Toc17133 \h </w:instrText>
      </w:r>
      <w:r>
        <w:rPr>
          <w:spacing w:val="0"/>
          <w:w w:val="100"/>
          <w:sz w:val="28"/>
          <w:szCs w:val="28"/>
        </w:rPr>
        <w:fldChar w:fldCharType="separate"/>
      </w:r>
      <w:r>
        <w:rPr>
          <w:spacing w:val="0"/>
          <w:w w:val="100"/>
          <w:sz w:val="28"/>
          <w:szCs w:val="28"/>
        </w:rPr>
        <w:t>13</w:t>
      </w:r>
      <w:r>
        <w:rPr>
          <w:spacing w:val="0"/>
          <w:w w:val="100"/>
          <w:sz w:val="28"/>
          <w:szCs w:val="28"/>
        </w:rPr>
        <w:fldChar w:fldCharType="end"/>
      </w:r>
      <w:r>
        <w:rPr>
          <w:rFonts w:hint="default" w:ascii="Times New Roman" w:hAnsi="Times New Roman" w:cs="Times New Roman"/>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_Toc29453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en-US" w:eastAsia="zh-CN" w:bidi="zh-CN"/>
        </w:rPr>
        <w:t xml:space="preserve">第一节  </w:t>
      </w:r>
      <w:r>
        <w:rPr>
          <w:rFonts w:hint="eastAsia" w:ascii="方正楷体_GBK" w:hAnsi="方正楷体_GBK" w:eastAsia="方正楷体_GBK" w:cs="方正楷体_GBK"/>
          <w:spacing w:val="0"/>
          <w:w w:val="100"/>
          <w:kern w:val="0"/>
          <w:sz w:val="28"/>
          <w:szCs w:val="28"/>
          <w:lang w:val="zh-CN" w:bidi="zh-CN"/>
        </w:rPr>
        <w:t>指导思想</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_Toc29453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13</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_Toc18403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en-US" w:eastAsia="zh-CN" w:bidi="zh-CN"/>
        </w:rPr>
        <w:t xml:space="preserve">第二节  </w:t>
      </w:r>
      <w:r>
        <w:rPr>
          <w:rFonts w:hint="eastAsia" w:ascii="方正楷体_GBK" w:hAnsi="方正楷体_GBK" w:eastAsia="方正楷体_GBK" w:cs="方正楷体_GBK"/>
          <w:spacing w:val="0"/>
          <w:w w:val="100"/>
          <w:kern w:val="0"/>
          <w:sz w:val="28"/>
          <w:szCs w:val="28"/>
          <w:lang w:val="en-US" w:bidi="zh-CN"/>
        </w:rPr>
        <w:t>基本原则</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_Toc18403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13</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_Toc11755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en-US" w:eastAsia="zh-CN" w:bidi="zh-CN"/>
        </w:rPr>
        <w:t xml:space="preserve">第三节  </w:t>
      </w:r>
      <w:r>
        <w:rPr>
          <w:rFonts w:hint="eastAsia" w:ascii="方正楷体_GBK" w:hAnsi="方正楷体_GBK" w:eastAsia="方正楷体_GBK" w:cs="方正楷体_GBK"/>
          <w:spacing w:val="0"/>
          <w:w w:val="100"/>
          <w:kern w:val="0"/>
          <w:sz w:val="28"/>
          <w:szCs w:val="28"/>
          <w:lang w:val="en-US" w:bidi="zh-CN"/>
        </w:rPr>
        <w:t>主要目标</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_Toc11755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14</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firstLine="0" w:firstLineChars="0"/>
        <w:textAlignment w:val="auto"/>
        <w:rPr>
          <w:spacing w:val="0"/>
          <w:w w:val="100"/>
          <w:sz w:val="28"/>
          <w:szCs w:val="28"/>
        </w:rPr>
      </w:pPr>
      <w:r>
        <w:rPr>
          <w:rFonts w:hint="default" w:ascii="Times New Roman" w:hAnsi="Times New Roman" w:cs="Times New Roman"/>
          <w:bCs/>
          <w:spacing w:val="0"/>
          <w:w w:val="100"/>
          <w:sz w:val="28"/>
          <w:szCs w:val="28"/>
          <w:lang w:val="zh-CN"/>
        </w:rPr>
        <w:fldChar w:fldCharType="begin"/>
      </w:r>
      <w:r>
        <w:rPr>
          <w:rFonts w:hint="default" w:ascii="Times New Roman" w:hAnsi="Times New Roman" w:cs="Times New Roman"/>
          <w:bCs/>
          <w:spacing w:val="0"/>
          <w:w w:val="100"/>
          <w:sz w:val="28"/>
          <w:szCs w:val="28"/>
          <w:lang w:val="zh-CN"/>
        </w:rPr>
        <w:instrText xml:space="preserve"> HYPERLINK \l _Toc20901 </w:instrText>
      </w:r>
      <w:r>
        <w:rPr>
          <w:rFonts w:hint="default" w:ascii="Times New Roman" w:hAnsi="Times New Roman" w:cs="Times New Roman"/>
          <w:bCs/>
          <w:spacing w:val="0"/>
          <w:w w:val="100"/>
          <w:sz w:val="28"/>
          <w:szCs w:val="28"/>
          <w:lang w:val="zh-CN"/>
        </w:rPr>
        <w:fldChar w:fldCharType="separate"/>
      </w:r>
      <w:r>
        <w:rPr>
          <w:rFonts w:hint="eastAsia" w:ascii="方正黑体_GBK" w:hAnsi="方正黑体_GBK" w:eastAsia="方正黑体_GBK" w:cs="方正黑体_GBK"/>
          <w:bCs w:val="0"/>
          <w:spacing w:val="0"/>
          <w:w w:val="100"/>
          <w:sz w:val="28"/>
          <w:szCs w:val="28"/>
          <w:lang w:val="en-US" w:eastAsia="zh-CN"/>
        </w:rPr>
        <w:t>第三章  主要任务</w:t>
      </w:r>
      <w:r>
        <w:rPr>
          <w:spacing w:val="0"/>
          <w:w w:val="100"/>
          <w:sz w:val="28"/>
          <w:szCs w:val="28"/>
        </w:rPr>
        <w:tab/>
      </w:r>
      <w:r>
        <w:rPr>
          <w:spacing w:val="0"/>
          <w:w w:val="100"/>
          <w:sz w:val="28"/>
          <w:szCs w:val="28"/>
        </w:rPr>
        <w:fldChar w:fldCharType="begin"/>
      </w:r>
      <w:r>
        <w:rPr>
          <w:spacing w:val="0"/>
          <w:w w:val="100"/>
          <w:sz w:val="28"/>
          <w:szCs w:val="28"/>
        </w:rPr>
        <w:instrText xml:space="preserve"> PAGEREF _Toc20901 \h </w:instrText>
      </w:r>
      <w:r>
        <w:rPr>
          <w:spacing w:val="0"/>
          <w:w w:val="100"/>
          <w:sz w:val="28"/>
          <w:szCs w:val="28"/>
        </w:rPr>
        <w:fldChar w:fldCharType="separate"/>
      </w:r>
      <w:r>
        <w:rPr>
          <w:spacing w:val="0"/>
          <w:w w:val="100"/>
          <w:sz w:val="28"/>
          <w:szCs w:val="28"/>
        </w:rPr>
        <w:t>16</w:t>
      </w:r>
      <w:r>
        <w:rPr>
          <w:spacing w:val="0"/>
          <w:w w:val="100"/>
          <w:sz w:val="28"/>
          <w:szCs w:val="28"/>
        </w:rPr>
        <w:fldChar w:fldCharType="end"/>
      </w:r>
      <w:r>
        <w:rPr>
          <w:rFonts w:hint="default" w:ascii="Times New Roman" w:hAnsi="Times New Roman" w:cs="Times New Roman"/>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_Toc6835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en-US" w:eastAsia="zh-CN" w:bidi="zh-CN"/>
        </w:rPr>
        <w:t>第一节  强化工业固体废物源头管控</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_Toc6835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16</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_Toc16839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en-US" w:eastAsia="zh-CN" w:bidi="zh-CN"/>
        </w:rPr>
        <w:t>第二节  完善工业固体废物收运体系</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_Toc16839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20</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_Toc10495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en-US" w:eastAsia="zh-CN" w:bidi="zh-CN"/>
        </w:rPr>
        <w:t>第三节  提高工业固体废物利用水平</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_Toc10495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22</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_Toc29805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en-US" w:eastAsia="zh-CN" w:bidi="zh-CN"/>
        </w:rPr>
        <w:t>第四节  防范工业固体废物环境风险</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_Toc29805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24</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_Toc2958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en-US" w:eastAsia="zh-CN" w:bidi="zh-CN"/>
        </w:rPr>
        <w:t>第五节  提升工业固体废物监管能力</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_Toc2958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26</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_Toc9181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spacing w:val="0"/>
          <w:w w:val="100"/>
          <w:kern w:val="0"/>
          <w:sz w:val="28"/>
          <w:szCs w:val="28"/>
          <w:lang w:val="en-US" w:eastAsia="zh-CN" w:bidi="zh-CN"/>
        </w:rPr>
        <w:t>第六节  健全工业固体废物管理体系</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_Toc9181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27</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firstLine="0" w:firstLineChars="0"/>
        <w:textAlignment w:val="auto"/>
        <w:rPr>
          <w:spacing w:val="0"/>
          <w:w w:val="100"/>
          <w:sz w:val="28"/>
          <w:szCs w:val="28"/>
        </w:rPr>
      </w:pPr>
      <w:r>
        <w:rPr>
          <w:rFonts w:hint="default" w:ascii="Times New Roman" w:hAnsi="Times New Roman" w:cs="Times New Roman"/>
          <w:bCs/>
          <w:spacing w:val="0"/>
          <w:w w:val="100"/>
          <w:sz w:val="28"/>
          <w:szCs w:val="28"/>
          <w:lang w:val="zh-CN"/>
        </w:rPr>
        <w:fldChar w:fldCharType="begin"/>
      </w:r>
      <w:r>
        <w:rPr>
          <w:rFonts w:hint="default" w:ascii="Times New Roman" w:hAnsi="Times New Roman" w:cs="Times New Roman"/>
          <w:bCs/>
          <w:spacing w:val="0"/>
          <w:w w:val="100"/>
          <w:sz w:val="28"/>
          <w:szCs w:val="28"/>
          <w:lang w:val="zh-CN"/>
        </w:rPr>
        <w:instrText xml:space="preserve"> HYPERLINK \l _Toc9224 </w:instrText>
      </w:r>
      <w:r>
        <w:rPr>
          <w:rFonts w:hint="default" w:ascii="Times New Roman" w:hAnsi="Times New Roman" w:cs="Times New Roman"/>
          <w:bCs/>
          <w:spacing w:val="0"/>
          <w:w w:val="100"/>
          <w:sz w:val="28"/>
          <w:szCs w:val="28"/>
          <w:lang w:val="zh-CN"/>
        </w:rPr>
        <w:fldChar w:fldCharType="separate"/>
      </w:r>
      <w:r>
        <w:rPr>
          <w:rFonts w:hint="eastAsia" w:ascii="方正黑体_GBK" w:hAnsi="方正黑体_GBK" w:eastAsia="方正黑体_GBK" w:cs="方正黑体_GBK"/>
          <w:bCs w:val="0"/>
          <w:spacing w:val="0"/>
          <w:w w:val="100"/>
          <w:sz w:val="28"/>
          <w:szCs w:val="28"/>
          <w:lang w:val="en-US" w:eastAsia="zh-CN"/>
        </w:rPr>
        <w:t>第四章  重点工程</w:t>
      </w:r>
      <w:r>
        <w:rPr>
          <w:rFonts w:hint="eastAsia" w:eastAsia="方正黑体_GBK"/>
          <w:spacing w:val="0"/>
          <w:w w:val="100"/>
          <w:sz w:val="28"/>
          <w:szCs w:val="28"/>
          <w:lang w:val="en-US" w:eastAsia="zh-CN"/>
        </w:rPr>
        <w:tab/>
      </w:r>
      <w:r>
        <w:rPr>
          <w:spacing w:val="0"/>
          <w:w w:val="100"/>
          <w:sz w:val="28"/>
          <w:szCs w:val="28"/>
        </w:rPr>
        <w:fldChar w:fldCharType="begin"/>
      </w:r>
      <w:r>
        <w:rPr>
          <w:spacing w:val="0"/>
          <w:w w:val="100"/>
          <w:sz w:val="28"/>
          <w:szCs w:val="28"/>
        </w:rPr>
        <w:instrText xml:space="preserve"> PAGEREF _Toc9224 \h </w:instrText>
      </w:r>
      <w:r>
        <w:rPr>
          <w:spacing w:val="0"/>
          <w:w w:val="100"/>
          <w:sz w:val="28"/>
          <w:szCs w:val="28"/>
        </w:rPr>
        <w:fldChar w:fldCharType="separate"/>
      </w:r>
      <w:r>
        <w:rPr>
          <w:spacing w:val="0"/>
          <w:w w:val="100"/>
          <w:sz w:val="28"/>
          <w:szCs w:val="28"/>
        </w:rPr>
        <w:t>30</w:t>
      </w:r>
      <w:r>
        <w:rPr>
          <w:spacing w:val="0"/>
          <w:w w:val="100"/>
          <w:sz w:val="28"/>
          <w:szCs w:val="28"/>
        </w:rPr>
        <w:fldChar w:fldCharType="end"/>
      </w:r>
      <w:r>
        <w:rPr>
          <w:rFonts w:hint="default" w:ascii="Times New Roman" w:hAnsi="Times New Roman" w:cs="Times New Roman"/>
          <w:bCs/>
          <w:spacing w:val="0"/>
          <w:w w:val="100"/>
          <w:sz w:val="28"/>
          <w:szCs w:val="28"/>
          <w:lang w:val="zh-CN"/>
        </w:rPr>
        <w:fldChar w:fldCharType="end"/>
      </w:r>
    </w:p>
    <w:p>
      <w:pPr>
        <w:pStyle w:val="13"/>
        <w:keepNext w:val="0"/>
        <w:keepLines w:val="0"/>
        <w:pageBreakBefore w:val="0"/>
        <w:widowControl w:val="0"/>
        <w:tabs>
          <w:tab w:val="right" w:pos="4000"/>
          <w:tab w:val="right" w:leader="dot" w:pos="8312"/>
        </w:tabs>
        <w:kinsoku/>
        <w:wordWrap/>
        <w:overflowPunct/>
        <w:topLinePunct w:val="0"/>
        <w:autoSpaceDE/>
        <w:autoSpaceDN/>
        <w:bidi w:val="0"/>
        <w:adjustRightInd/>
        <w:snapToGrid/>
        <w:spacing w:line="500" w:lineRule="exact"/>
        <w:ind w:left="0" w:leftChars="0" w:firstLine="0" w:firstLineChars="0"/>
        <w:textAlignment w:val="auto"/>
        <w:rPr>
          <w:spacing w:val="0"/>
          <w:w w:val="100"/>
          <w:sz w:val="28"/>
          <w:szCs w:val="28"/>
        </w:rPr>
      </w:pPr>
      <w:r>
        <w:rPr>
          <w:rFonts w:hint="default" w:ascii="Times New Roman" w:hAnsi="Times New Roman" w:cs="Times New Roman"/>
          <w:bCs/>
          <w:spacing w:val="0"/>
          <w:w w:val="100"/>
          <w:sz w:val="28"/>
          <w:szCs w:val="28"/>
          <w:lang w:val="zh-CN"/>
        </w:rPr>
        <w:fldChar w:fldCharType="begin"/>
      </w:r>
      <w:r>
        <w:rPr>
          <w:rFonts w:hint="default" w:ascii="Times New Roman" w:hAnsi="Times New Roman" w:cs="Times New Roman"/>
          <w:bCs/>
          <w:spacing w:val="0"/>
          <w:w w:val="100"/>
          <w:sz w:val="28"/>
          <w:szCs w:val="28"/>
          <w:lang w:val="zh-CN"/>
        </w:rPr>
        <w:instrText xml:space="preserve"> HYPERLINK \l _Toc6790 </w:instrText>
      </w:r>
      <w:r>
        <w:rPr>
          <w:rFonts w:hint="default" w:ascii="Times New Roman" w:hAnsi="Times New Roman" w:cs="Times New Roman"/>
          <w:bCs/>
          <w:spacing w:val="0"/>
          <w:w w:val="100"/>
          <w:sz w:val="28"/>
          <w:szCs w:val="28"/>
          <w:lang w:val="zh-CN"/>
        </w:rPr>
        <w:fldChar w:fldCharType="separate"/>
      </w:r>
      <w:r>
        <w:rPr>
          <w:rFonts w:hint="eastAsia" w:ascii="方正黑体_GBK" w:hAnsi="方正黑体_GBK" w:eastAsia="方正黑体_GBK" w:cs="方正黑体_GBK"/>
          <w:bCs w:val="0"/>
          <w:spacing w:val="0"/>
          <w:w w:val="100"/>
          <w:sz w:val="28"/>
          <w:szCs w:val="28"/>
          <w:lang w:val="en-US" w:eastAsia="zh-CN"/>
        </w:rPr>
        <w:t>第五章  保障措施</w:t>
      </w:r>
      <w:r>
        <w:rPr>
          <w:rFonts w:hint="eastAsia" w:ascii="微软雅黑" w:hAnsi="微软雅黑" w:eastAsia="微软雅黑" w:cs="微软雅黑"/>
          <w:spacing w:val="0"/>
          <w:w w:val="100"/>
          <w:sz w:val="28"/>
          <w:szCs w:val="28"/>
          <w:lang w:eastAsia="zh-CN"/>
        </w:rPr>
        <w:t>…………………………………………………………</w:t>
      </w:r>
      <w:r>
        <w:rPr>
          <w:rFonts w:hint="eastAsia" w:ascii="微软雅黑" w:hAnsi="微软雅黑" w:eastAsia="微软雅黑" w:cs="微软雅黑"/>
          <w:spacing w:val="0"/>
          <w:w w:val="100"/>
          <w:sz w:val="28"/>
          <w:szCs w:val="28"/>
          <w:lang w:val="en-US" w:eastAsia="zh-CN"/>
        </w:rPr>
        <w:tab/>
      </w:r>
      <w:r>
        <w:rPr>
          <w:rFonts w:hint="eastAsia" w:ascii="微软雅黑" w:hAnsi="微软雅黑" w:eastAsia="微软雅黑" w:cs="微软雅黑"/>
          <w:spacing w:val="0"/>
          <w:w w:val="100"/>
          <w:sz w:val="28"/>
          <w:szCs w:val="28"/>
          <w:lang w:val="en-US" w:eastAsia="zh-CN"/>
        </w:rPr>
        <w:t xml:space="preserve"> </w:t>
      </w:r>
      <w:r>
        <w:rPr>
          <w:spacing w:val="0"/>
          <w:w w:val="100"/>
          <w:sz w:val="28"/>
          <w:szCs w:val="28"/>
        </w:rPr>
        <w:fldChar w:fldCharType="begin"/>
      </w:r>
      <w:r>
        <w:rPr>
          <w:spacing w:val="0"/>
          <w:w w:val="100"/>
          <w:sz w:val="28"/>
          <w:szCs w:val="28"/>
        </w:rPr>
        <w:instrText xml:space="preserve"> PAGEREF _Toc6790 \h </w:instrText>
      </w:r>
      <w:r>
        <w:rPr>
          <w:spacing w:val="0"/>
          <w:w w:val="100"/>
          <w:sz w:val="28"/>
          <w:szCs w:val="28"/>
        </w:rPr>
        <w:fldChar w:fldCharType="separate"/>
      </w:r>
      <w:r>
        <w:rPr>
          <w:spacing w:val="0"/>
          <w:w w:val="100"/>
          <w:sz w:val="28"/>
          <w:szCs w:val="28"/>
        </w:rPr>
        <w:t>31</w:t>
      </w:r>
      <w:r>
        <w:rPr>
          <w:spacing w:val="0"/>
          <w:w w:val="100"/>
          <w:sz w:val="28"/>
          <w:szCs w:val="28"/>
        </w:rPr>
        <w:fldChar w:fldCharType="end"/>
      </w:r>
      <w:r>
        <w:rPr>
          <w:rFonts w:hint="default" w:ascii="Times New Roman" w:hAnsi="Times New Roman" w:cs="Times New Roman"/>
          <w:bCs/>
          <w:spacing w:val="0"/>
          <w:w w:val="100"/>
          <w:sz w:val="28"/>
          <w:szCs w:val="28"/>
          <w:lang w:val="zh-CN"/>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rFonts w:hint="eastAsia" w:ascii="方正楷体_GBK" w:hAnsi="方正楷体_GBK" w:eastAsia="方正楷体_GBK" w:cs="方正楷体_GBK"/>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_Toc9523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bCs w:val="0"/>
          <w:spacing w:val="0"/>
          <w:w w:val="100"/>
          <w:sz w:val="28"/>
          <w:szCs w:val="28"/>
        </w:rPr>
        <w:t>附表  荣昌区工业固体废物污染防治工作规划工程项目</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_Toc9523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33</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spacing w:val="0"/>
          <w:w w:val="100"/>
          <w:sz w:val="28"/>
          <w:szCs w:val="28"/>
        </w:rPr>
      </w:pPr>
      <w:r>
        <w:rPr>
          <w:rFonts w:hint="eastAsia" w:ascii="方正楷体_GBK" w:hAnsi="方正楷体_GBK" w:eastAsia="方正楷体_GBK" w:cs="方正楷体_GBK"/>
          <w:bCs/>
          <w:spacing w:val="0"/>
          <w:w w:val="100"/>
          <w:sz w:val="28"/>
          <w:szCs w:val="28"/>
          <w:lang w:val="zh-CN"/>
        </w:rPr>
        <w:fldChar w:fldCharType="begin"/>
      </w:r>
      <w:r>
        <w:rPr>
          <w:rFonts w:hint="eastAsia" w:ascii="方正楷体_GBK" w:hAnsi="方正楷体_GBK" w:eastAsia="方正楷体_GBK" w:cs="方正楷体_GBK"/>
          <w:bCs/>
          <w:spacing w:val="0"/>
          <w:w w:val="100"/>
          <w:sz w:val="28"/>
          <w:szCs w:val="28"/>
          <w:lang w:val="zh-CN"/>
        </w:rPr>
        <w:instrText xml:space="preserve"> HYPERLINK \l _Toc23092 </w:instrText>
      </w:r>
      <w:r>
        <w:rPr>
          <w:rFonts w:hint="eastAsia" w:ascii="方正楷体_GBK" w:hAnsi="方正楷体_GBK" w:eastAsia="方正楷体_GBK" w:cs="方正楷体_GBK"/>
          <w:bCs/>
          <w:spacing w:val="0"/>
          <w:w w:val="100"/>
          <w:sz w:val="28"/>
          <w:szCs w:val="28"/>
          <w:lang w:val="zh-CN"/>
        </w:rPr>
        <w:fldChar w:fldCharType="separate"/>
      </w:r>
      <w:r>
        <w:rPr>
          <w:rFonts w:hint="eastAsia" w:ascii="方正楷体_GBK" w:hAnsi="方正楷体_GBK" w:eastAsia="方正楷体_GBK" w:cs="方正楷体_GBK"/>
          <w:bCs w:val="0"/>
          <w:spacing w:val="0"/>
          <w:w w:val="100"/>
          <w:sz w:val="28"/>
          <w:szCs w:val="28"/>
        </w:rPr>
        <w:t>附图</w:t>
      </w:r>
      <w:r>
        <w:rPr>
          <w:rFonts w:hint="eastAsia" w:ascii="方正楷体_GBK" w:hAnsi="方正楷体_GBK" w:eastAsia="方正楷体_GBK" w:cs="方正楷体_GBK"/>
          <w:spacing w:val="0"/>
          <w:w w:val="100"/>
          <w:sz w:val="28"/>
          <w:szCs w:val="28"/>
        </w:rPr>
        <w:tab/>
      </w:r>
      <w:r>
        <w:rPr>
          <w:rFonts w:hint="eastAsia" w:ascii="方正楷体_GBK" w:hAnsi="方正楷体_GBK" w:eastAsia="方正楷体_GBK" w:cs="方正楷体_GBK"/>
          <w:spacing w:val="0"/>
          <w:w w:val="100"/>
          <w:sz w:val="28"/>
          <w:szCs w:val="28"/>
        </w:rPr>
        <w:fldChar w:fldCharType="begin"/>
      </w:r>
      <w:r>
        <w:rPr>
          <w:rFonts w:hint="eastAsia" w:ascii="方正楷体_GBK" w:hAnsi="方正楷体_GBK" w:eastAsia="方正楷体_GBK" w:cs="方正楷体_GBK"/>
          <w:spacing w:val="0"/>
          <w:w w:val="100"/>
          <w:sz w:val="28"/>
          <w:szCs w:val="28"/>
        </w:rPr>
        <w:instrText xml:space="preserve"> PAGEREF _Toc23092 \h </w:instrText>
      </w:r>
      <w:r>
        <w:rPr>
          <w:rFonts w:hint="eastAsia" w:ascii="方正楷体_GBK" w:hAnsi="方正楷体_GBK" w:eastAsia="方正楷体_GBK" w:cs="方正楷体_GBK"/>
          <w:spacing w:val="0"/>
          <w:w w:val="100"/>
          <w:sz w:val="28"/>
          <w:szCs w:val="28"/>
        </w:rPr>
        <w:fldChar w:fldCharType="separate"/>
      </w:r>
      <w:r>
        <w:rPr>
          <w:rFonts w:hint="eastAsia" w:ascii="方正楷体_GBK" w:hAnsi="方正楷体_GBK" w:eastAsia="方正楷体_GBK" w:cs="方正楷体_GBK"/>
          <w:spacing w:val="0"/>
          <w:w w:val="100"/>
          <w:sz w:val="28"/>
          <w:szCs w:val="28"/>
        </w:rPr>
        <w:t>35</w:t>
      </w:r>
      <w:r>
        <w:rPr>
          <w:rFonts w:hint="eastAsia" w:ascii="方正楷体_GBK" w:hAnsi="方正楷体_GBK" w:eastAsia="方正楷体_GBK" w:cs="方正楷体_GBK"/>
          <w:spacing w:val="0"/>
          <w:w w:val="100"/>
          <w:sz w:val="28"/>
          <w:szCs w:val="28"/>
        </w:rPr>
        <w:fldChar w:fldCharType="end"/>
      </w:r>
      <w:r>
        <w:rPr>
          <w:rFonts w:hint="eastAsia" w:ascii="方正楷体_GBK" w:hAnsi="方正楷体_GBK" w:eastAsia="方正楷体_GBK" w:cs="方正楷体_GBK"/>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spacing w:val="0"/>
          <w:w w:val="100"/>
          <w:sz w:val="28"/>
          <w:szCs w:val="28"/>
        </w:rPr>
      </w:pPr>
      <w:r>
        <w:rPr>
          <w:rFonts w:hint="default" w:ascii="Times New Roman" w:hAnsi="Times New Roman" w:cs="Times New Roman"/>
          <w:bCs/>
          <w:spacing w:val="0"/>
          <w:w w:val="100"/>
          <w:sz w:val="28"/>
          <w:szCs w:val="28"/>
          <w:lang w:val="zh-CN"/>
        </w:rPr>
        <w:fldChar w:fldCharType="begin"/>
      </w:r>
      <w:r>
        <w:rPr>
          <w:rFonts w:hint="default" w:ascii="Times New Roman" w:hAnsi="Times New Roman" w:cs="Times New Roman"/>
          <w:bCs/>
          <w:spacing w:val="0"/>
          <w:w w:val="100"/>
          <w:sz w:val="28"/>
          <w:szCs w:val="28"/>
          <w:lang w:val="zh-CN"/>
        </w:rPr>
        <w:instrText xml:space="preserve"> HYPERLINK \l _Toc25295 </w:instrText>
      </w:r>
      <w:r>
        <w:rPr>
          <w:rFonts w:hint="default" w:ascii="Times New Roman" w:hAnsi="Times New Roman" w:cs="Times New Roman"/>
          <w:bCs/>
          <w:spacing w:val="0"/>
          <w:w w:val="100"/>
          <w:sz w:val="28"/>
          <w:szCs w:val="28"/>
          <w:lang w:val="zh-CN"/>
        </w:rPr>
        <w:fldChar w:fldCharType="separate"/>
      </w:r>
      <w:r>
        <w:rPr>
          <w:rFonts w:hint="default" w:ascii="Times New Roman" w:hAnsi="Times New Roman" w:eastAsia="方正楷体_GBK" w:cs="Times New Roman"/>
          <w:bCs/>
          <w:spacing w:val="0"/>
          <w:w w:val="100"/>
          <w:sz w:val="28"/>
          <w:szCs w:val="28"/>
        </w:rPr>
        <w:t>附图1</w:t>
      </w:r>
      <w:r>
        <w:rPr>
          <w:rFonts w:hint="eastAsia" w:ascii="Times New Roman" w:hAnsi="Times New Roman" w:eastAsia="方正楷体_GBK" w:cs="Times New Roman"/>
          <w:bCs/>
          <w:spacing w:val="0"/>
          <w:w w:val="100"/>
          <w:sz w:val="28"/>
          <w:szCs w:val="28"/>
          <w:lang w:val="en-US" w:eastAsia="zh-CN"/>
        </w:rPr>
        <w:t xml:space="preserve"> </w:t>
      </w:r>
      <w:r>
        <w:rPr>
          <w:rFonts w:hint="default" w:ascii="Times New Roman" w:hAnsi="Times New Roman" w:eastAsia="方正楷体_GBK" w:cs="Times New Roman"/>
          <w:bCs/>
          <w:spacing w:val="0"/>
          <w:w w:val="100"/>
          <w:sz w:val="28"/>
          <w:szCs w:val="28"/>
        </w:rPr>
        <w:t xml:space="preserve"> 荣昌区区位图</w:t>
      </w:r>
      <w:r>
        <w:rPr>
          <w:spacing w:val="0"/>
          <w:w w:val="100"/>
          <w:sz w:val="28"/>
          <w:szCs w:val="28"/>
        </w:rPr>
        <w:tab/>
      </w:r>
      <w:r>
        <w:rPr>
          <w:spacing w:val="0"/>
          <w:w w:val="100"/>
          <w:sz w:val="28"/>
          <w:szCs w:val="28"/>
        </w:rPr>
        <w:fldChar w:fldCharType="begin"/>
      </w:r>
      <w:r>
        <w:rPr>
          <w:spacing w:val="0"/>
          <w:w w:val="100"/>
          <w:sz w:val="28"/>
          <w:szCs w:val="28"/>
        </w:rPr>
        <w:instrText xml:space="preserve"> PAGEREF _Toc25295 \h </w:instrText>
      </w:r>
      <w:r>
        <w:rPr>
          <w:spacing w:val="0"/>
          <w:w w:val="100"/>
          <w:sz w:val="28"/>
          <w:szCs w:val="28"/>
        </w:rPr>
        <w:fldChar w:fldCharType="separate"/>
      </w:r>
      <w:r>
        <w:rPr>
          <w:spacing w:val="0"/>
          <w:w w:val="100"/>
          <w:sz w:val="28"/>
          <w:szCs w:val="28"/>
        </w:rPr>
        <w:t>35</w:t>
      </w:r>
      <w:r>
        <w:rPr>
          <w:spacing w:val="0"/>
          <w:w w:val="100"/>
          <w:sz w:val="28"/>
          <w:szCs w:val="28"/>
        </w:rPr>
        <w:fldChar w:fldCharType="end"/>
      </w:r>
      <w:r>
        <w:rPr>
          <w:rFonts w:hint="default" w:ascii="Times New Roman" w:hAnsi="Times New Roman" w:cs="Times New Roman"/>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spacing w:val="0"/>
          <w:w w:val="100"/>
          <w:sz w:val="28"/>
          <w:szCs w:val="28"/>
        </w:rPr>
      </w:pPr>
      <w:r>
        <w:rPr>
          <w:rFonts w:hint="default" w:ascii="Times New Roman" w:hAnsi="Times New Roman" w:cs="Times New Roman"/>
          <w:bCs/>
          <w:spacing w:val="0"/>
          <w:w w:val="100"/>
          <w:sz w:val="28"/>
          <w:szCs w:val="28"/>
          <w:lang w:val="zh-CN"/>
        </w:rPr>
        <w:fldChar w:fldCharType="begin"/>
      </w:r>
      <w:r>
        <w:rPr>
          <w:rFonts w:hint="default" w:ascii="Times New Roman" w:hAnsi="Times New Roman" w:cs="Times New Roman"/>
          <w:bCs/>
          <w:spacing w:val="0"/>
          <w:w w:val="100"/>
          <w:sz w:val="28"/>
          <w:szCs w:val="28"/>
          <w:lang w:val="zh-CN"/>
        </w:rPr>
        <w:instrText xml:space="preserve"> HYPERLINK \l _Toc15636 </w:instrText>
      </w:r>
      <w:r>
        <w:rPr>
          <w:rFonts w:hint="default" w:ascii="Times New Roman" w:hAnsi="Times New Roman" w:cs="Times New Roman"/>
          <w:bCs/>
          <w:spacing w:val="0"/>
          <w:w w:val="100"/>
          <w:sz w:val="28"/>
          <w:szCs w:val="28"/>
          <w:lang w:val="zh-CN"/>
        </w:rPr>
        <w:fldChar w:fldCharType="separate"/>
      </w:r>
      <w:r>
        <w:rPr>
          <w:rFonts w:hint="default" w:ascii="Times New Roman" w:hAnsi="Times New Roman" w:eastAsia="方正楷体_GBK" w:cs="Times New Roman"/>
          <w:bCs/>
          <w:spacing w:val="0"/>
          <w:w w:val="100"/>
          <w:sz w:val="28"/>
          <w:szCs w:val="28"/>
        </w:rPr>
        <w:t xml:space="preserve">附图2 </w:t>
      </w:r>
      <w:r>
        <w:rPr>
          <w:rFonts w:hint="eastAsia" w:ascii="Times New Roman" w:hAnsi="Times New Roman" w:eastAsia="方正楷体_GBK" w:cs="Times New Roman"/>
          <w:bCs/>
          <w:spacing w:val="0"/>
          <w:w w:val="100"/>
          <w:sz w:val="28"/>
          <w:szCs w:val="28"/>
          <w:lang w:val="en-US" w:eastAsia="zh-CN"/>
        </w:rPr>
        <w:t xml:space="preserve"> </w:t>
      </w:r>
      <w:r>
        <w:rPr>
          <w:rFonts w:hint="default" w:ascii="Times New Roman" w:hAnsi="Times New Roman" w:eastAsia="方正楷体_GBK" w:cs="Times New Roman"/>
          <w:bCs/>
          <w:spacing w:val="0"/>
          <w:w w:val="100"/>
          <w:sz w:val="28"/>
          <w:szCs w:val="28"/>
        </w:rPr>
        <w:t>荣昌区行政区划图</w:t>
      </w:r>
      <w:r>
        <w:rPr>
          <w:spacing w:val="0"/>
          <w:w w:val="100"/>
          <w:sz w:val="28"/>
          <w:szCs w:val="28"/>
        </w:rPr>
        <w:tab/>
      </w:r>
      <w:r>
        <w:rPr>
          <w:spacing w:val="0"/>
          <w:w w:val="100"/>
          <w:sz w:val="28"/>
          <w:szCs w:val="28"/>
        </w:rPr>
        <w:fldChar w:fldCharType="begin"/>
      </w:r>
      <w:r>
        <w:rPr>
          <w:spacing w:val="0"/>
          <w:w w:val="100"/>
          <w:sz w:val="28"/>
          <w:szCs w:val="28"/>
        </w:rPr>
        <w:instrText xml:space="preserve"> PAGEREF _Toc15636 \h </w:instrText>
      </w:r>
      <w:r>
        <w:rPr>
          <w:spacing w:val="0"/>
          <w:w w:val="100"/>
          <w:sz w:val="28"/>
          <w:szCs w:val="28"/>
        </w:rPr>
        <w:fldChar w:fldCharType="separate"/>
      </w:r>
      <w:r>
        <w:rPr>
          <w:spacing w:val="0"/>
          <w:w w:val="100"/>
          <w:sz w:val="28"/>
          <w:szCs w:val="28"/>
        </w:rPr>
        <w:t>36</w:t>
      </w:r>
      <w:r>
        <w:rPr>
          <w:spacing w:val="0"/>
          <w:w w:val="100"/>
          <w:sz w:val="28"/>
          <w:szCs w:val="28"/>
        </w:rPr>
        <w:fldChar w:fldCharType="end"/>
      </w:r>
      <w:r>
        <w:rPr>
          <w:rFonts w:hint="default" w:ascii="Times New Roman" w:hAnsi="Times New Roman" w:cs="Times New Roman"/>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spacing w:val="0"/>
          <w:w w:val="100"/>
          <w:sz w:val="28"/>
          <w:szCs w:val="28"/>
        </w:rPr>
      </w:pPr>
      <w:r>
        <w:rPr>
          <w:rFonts w:hint="default" w:ascii="Times New Roman" w:hAnsi="Times New Roman" w:cs="Times New Roman"/>
          <w:bCs/>
          <w:spacing w:val="0"/>
          <w:w w:val="100"/>
          <w:sz w:val="28"/>
          <w:szCs w:val="28"/>
          <w:lang w:val="zh-CN"/>
        </w:rPr>
        <w:fldChar w:fldCharType="begin"/>
      </w:r>
      <w:r>
        <w:rPr>
          <w:rFonts w:hint="default" w:ascii="Times New Roman" w:hAnsi="Times New Roman" w:cs="Times New Roman"/>
          <w:bCs/>
          <w:spacing w:val="0"/>
          <w:w w:val="100"/>
          <w:sz w:val="28"/>
          <w:szCs w:val="28"/>
          <w:lang w:val="zh-CN"/>
        </w:rPr>
        <w:instrText xml:space="preserve"> HYPERLINK \l _Toc20788 </w:instrText>
      </w:r>
      <w:r>
        <w:rPr>
          <w:rFonts w:hint="default" w:ascii="Times New Roman" w:hAnsi="Times New Roman" w:cs="Times New Roman"/>
          <w:bCs/>
          <w:spacing w:val="0"/>
          <w:w w:val="100"/>
          <w:sz w:val="28"/>
          <w:szCs w:val="28"/>
          <w:lang w:val="zh-CN"/>
        </w:rPr>
        <w:fldChar w:fldCharType="separate"/>
      </w:r>
      <w:r>
        <w:rPr>
          <w:rFonts w:hint="default" w:ascii="Times New Roman" w:hAnsi="Times New Roman" w:eastAsia="方正楷体_GBK" w:cs="Times New Roman"/>
          <w:bCs/>
          <w:spacing w:val="0"/>
          <w:w w:val="100"/>
          <w:sz w:val="28"/>
          <w:szCs w:val="28"/>
        </w:rPr>
        <w:t>附图3</w:t>
      </w:r>
      <w:r>
        <w:rPr>
          <w:rFonts w:hint="eastAsia" w:ascii="Times New Roman" w:hAnsi="Times New Roman" w:eastAsia="方正楷体_GBK" w:cs="Times New Roman"/>
          <w:bCs/>
          <w:spacing w:val="0"/>
          <w:w w:val="100"/>
          <w:sz w:val="28"/>
          <w:szCs w:val="28"/>
          <w:lang w:val="en-US" w:eastAsia="zh-CN"/>
        </w:rPr>
        <w:t xml:space="preserve"> </w:t>
      </w:r>
      <w:r>
        <w:rPr>
          <w:rFonts w:hint="default" w:ascii="Times New Roman" w:hAnsi="Times New Roman" w:eastAsia="方正楷体_GBK" w:cs="Times New Roman"/>
          <w:bCs/>
          <w:spacing w:val="0"/>
          <w:w w:val="100"/>
          <w:sz w:val="28"/>
          <w:szCs w:val="28"/>
        </w:rPr>
        <w:t xml:space="preserve"> 一般工业固体废物产生量分布图</w:t>
      </w:r>
      <w:r>
        <w:rPr>
          <w:spacing w:val="0"/>
          <w:w w:val="100"/>
          <w:sz w:val="28"/>
          <w:szCs w:val="28"/>
        </w:rPr>
        <w:tab/>
      </w:r>
      <w:r>
        <w:rPr>
          <w:spacing w:val="0"/>
          <w:w w:val="100"/>
          <w:sz w:val="28"/>
          <w:szCs w:val="28"/>
        </w:rPr>
        <w:fldChar w:fldCharType="begin"/>
      </w:r>
      <w:r>
        <w:rPr>
          <w:spacing w:val="0"/>
          <w:w w:val="100"/>
          <w:sz w:val="28"/>
          <w:szCs w:val="28"/>
        </w:rPr>
        <w:instrText xml:space="preserve"> PAGEREF _Toc20788 \h </w:instrText>
      </w:r>
      <w:r>
        <w:rPr>
          <w:spacing w:val="0"/>
          <w:w w:val="100"/>
          <w:sz w:val="28"/>
          <w:szCs w:val="28"/>
        </w:rPr>
        <w:fldChar w:fldCharType="separate"/>
      </w:r>
      <w:r>
        <w:rPr>
          <w:spacing w:val="0"/>
          <w:w w:val="100"/>
          <w:sz w:val="28"/>
          <w:szCs w:val="28"/>
        </w:rPr>
        <w:t>37</w:t>
      </w:r>
      <w:r>
        <w:rPr>
          <w:spacing w:val="0"/>
          <w:w w:val="100"/>
          <w:sz w:val="28"/>
          <w:szCs w:val="28"/>
        </w:rPr>
        <w:fldChar w:fldCharType="end"/>
      </w:r>
      <w:r>
        <w:rPr>
          <w:rFonts w:hint="default" w:ascii="Times New Roman" w:hAnsi="Times New Roman" w:cs="Times New Roman"/>
          <w:bCs/>
          <w:spacing w:val="0"/>
          <w:w w:val="100"/>
          <w:sz w:val="28"/>
          <w:szCs w:val="28"/>
          <w:lang w:val="zh-CN"/>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500" w:lineRule="exact"/>
        <w:ind w:left="0" w:leftChars="0"/>
        <w:textAlignment w:val="auto"/>
        <w:rPr>
          <w:spacing w:val="0"/>
          <w:w w:val="100"/>
        </w:rPr>
      </w:pPr>
      <w:r>
        <w:rPr>
          <w:rFonts w:hint="default" w:ascii="Times New Roman" w:hAnsi="Times New Roman" w:cs="Times New Roman"/>
          <w:bCs/>
          <w:spacing w:val="0"/>
          <w:w w:val="100"/>
          <w:sz w:val="28"/>
          <w:szCs w:val="28"/>
          <w:lang w:val="zh-CN"/>
        </w:rPr>
        <w:fldChar w:fldCharType="begin"/>
      </w:r>
      <w:r>
        <w:rPr>
          <w:rFonts w:hint="default" w:ascii="Times New Roman" w:hAnsi="Times New Roman" w:cs="Times New Roman"/>
          <w:bCs/>
          <w:spacing w:val="0"/>
          <w:w w:val="100"/>
          <w:sz w:val="28"/>
          <w:szCs w:val="28"/>
          <w:lang w:val="zh-CN"/>
        </w:rPr>
        <w:instrText xml:space="preserve"> HYPERLINK \l _Toc28284 </w:instrText>
      </w:r>
      <w:r>
        <w:rPr>
          <w:rFonts w:hint="default" w:ascii="Times New Roman" w:hAnsi="Times New Roman" w:cs="Times New Roman"/>
          <w:bCs/>
          <w:spacing w:val="0"/>
          <w:w w:val="100"/>
          <w:sz w:val="28"/>
          <w:szCs w:val="28"/>
          <w:lang w:val="zh-CN"/>
        </w:rPr>
        <w:fldChar w:fldCharType="separate"/>
      </w:r>
      <w:r>
        <w:rPr>
          <w:rFonts w:hint="default" w:ascii="Times New Roman" w:hAnsi="Times New Roman" w:eastAsia="方正楷体_GBK" w:cs="Times New Roman"/>
          <w:bCs/>
          <w:spacing w:val="0"/>
          <w:w w:val="100"/>
          <w:sz w:val="28"/>
          <w:szCs w:val="28"/>
        </w:rPr>
        <w:t xml:space="preserve">附图4 </w:t>
      </w:r>
      <w:r>
        <w:rPr>
          <w:rFonts w:hint="eastAsia" w:ascii="Times New Roman" w:hAnsi="Times New Roman" w:eastAsia="方正楷体_GBK" w:cs="Times New Roman"/>
          <w:bCs/>
          <w:spacing w:val="0"/>
          <w:w w:val="100"/>
          <w:sz w:val="28"/>
          <w:szCs w:val="28"/>
          <w:lang w:val="en-US" w:eastAsia="zh-CN"/>
        </w:rPr>
        <w:t xml:space="preserve"> </w:t>
      </w:r>
      <w:r>
        <w:rPr>
          <w:rFonts w:hint="default" w:ascii="Times New Roman" w:hAnsi="Times New Roman" w:eastAsia="方正楷体_GBK" w:cs="Times New Roman"/>
          <w:bCs/>
          <w:spacing w:val="0"/>
          <w:w w:val="100"/>
          <w:sz w:val="28"/>
          <w:szCs w:val="28"/>
        </w:rPr>
        <w:t>危险工业固体废物产生量分布图</w:t>
      </w:r>
      <w:r>
        <w:rPr>
          <w:spacing w:val="0"/>
          <w:w w:val="100"/>
          <w:sz w:val="28"/>
          <w:szCs w:val="28"/>
        </w:rPr>
        <w:tab/>
      </w:r>
      <w:r>
        <w:rPr>
          <w:spacing w:val="0"/>
          <w:w w:val="100"/>
          <w:sz w:val="28"/>
          <w:szCs w:val="28"/>
        </w:rPr>
        <w:fldChar w:fldCharType="begin"/>
      </w:r>
      <w:r>
        <w:rPr>
          <w:spacing w:val="0"/>
          <w:w w:val="100"/>
          <w:sz w:val="28"/>
          <w:szCs w:val="28"/>
        </w:rPr>
        <w:instrText xml:space="preserve"> PAGEREF _Toc28284 \h </w:instrText>
      </w:r>
      <w:r>
        <w:rPr>
          <w:spacing w:val="0"/>
          <w:w w:val="100"/>
          <w:sz w:val="28"/>
          <w:szCs w:val="28"/>
        </w:rPr>
        <w:fldChar w:fldCharType="separate"/>
      </w:r>
      <w:r>
        <w:rPr>
          <w:spacing w:val="0"/>
          <w:w w:val="100"/>
          <w:sz w:val="28"/>
          <w:szCs w:val="28"/>
        </w:rPr>
        <w:t>38</w:t>
      </w:r>
      <w:r>
        <w:rPr>
          <w:spacing w:val="0"/>
          <w:w w:val="100"/>
          <w:sz w:val="28"/>
          <w:szCs w:val="28"/>
        </w:rPr>
        <w:fldChar w:fldCharType="end"/>
      </w:r>
      <w:r>
        <w:rPr>
          <w:rFonts w:hint="default" w:ascii="Times New Roman" w:hAnsi="Times New Roman" w:cs="Times New Roman"/>
          <w:bCs/>
          <w:spacing w:val="0"/>
          <w:w w:val="100"/>
          <w:sz w:val="28"/>
          <w:szCs w:val="28"/>
          <w:lang w:val="zh-CN"/>
        </w:rPr>
        <w:fldChar w:fldCharType="end"/>
      </w:r>
    </w:p>
    <w:p>
      <w:pPr>
        <w:tabs>
          <w:tab w:val="left" w:pos="4800"/>
        </w:tabs>
        <w:rPr>
          <w:rFonts w:hint="default" w:ascii="Times New Roman" w:hAnsi="Times New Roman" w:cs="Times New Roman"/>
          <w:bCs/>
          <w:spacing w:val="0"/>
          <w:w w:val="100"/>
          <w:lang w:val="zh-CN"/>
        </w:rPr>
      </w:pPr>
      <w:r>
        <w:rPr>
          <w:rFonts w:hint="default" w:ascii="Times New Roman" w:hAnsi="Times New Roman" w:cs="Times New Roman"/>
          <w:bCs/>
          <w:spacing w:val="0"/>
          <w:w w:val="100"/>
          <w:lang w:val="zh-CN"/>
        </w:rPr>
        <w:fldChar w:fldCharType="end"/>
      </w:r>
    </w:p>
    <w:p>
      <w:pPr>
        <w:keepNext w:val="0"/>
        <w:keepLines w:val="0"/>
        <w:pageBreakBefore w:val="0"/>
        <w:widowControl w:val="0"/>
        <w:kinsoku/>
        <w:wordWrap/>
        <w:overflowPunct/>
        <w:topLinePunct w:val="0"/>
        <w:autoSpaceDE/>
        <w:autoSpaceDN/>
        <w:bidi w:val="0"/>
        <w:adjustRightInd/>
        <w:snapToGrid w:val="0"/>
        <w:textAlignment w:val="auto"/>
        <w:rPr>
          <w:rFonts w:hint="default"/>
          <w:lang w:val="zh-CN"/>
        </w:rPr>
      </w:pPr>
      <w:r>
        <w:rPr>
          <w:rFonts w:hint="default" w:ascii="Times New Roman" w:hAnsi="Times New Roman" w:cs="Times New Roman"/>
          <w:bCs/>
          <w:spacing w:val="0"/>
          <w:w w:val="100"/>
          <w:lang w:val="zh-CN"/>
        </w:rPr>
        <w:br w:type="page"/>
      </w:r>
      <w:bookmarkStart w:id="9" w:name="_Toc6027"/>
    </w:p>
    <w:p>
      <w:pPr>
        <w:keepNext w:val="0"/>
        <w:keepLines w:val="0"/>
        <w:pageBreakBefore w:val="0"/>
        <w:widowControl w:val="0"/>
        <w:kinsoku/>
        <w:wordWrap/>
        <w:overflowPunct/>
        <w:topLinePunct w:val="0"/>
        <w:autoSpaceDE/>
        <w:autoSpaceDN/>
        <w:bidi w:val="0"/>
        <w:adjustRightInd/>
        <w:snapToGrid w:val="0"/>
        <w:textAlignment w:val="auto"/>
        <w:rPr>
          <w:rFonts w:hint="default"/>
          <w:lang w:val="zh-CN"/>
        </w:rPr>
      </w:pPr>
    </w:p>
    <w:p>
      <w:pPr>
        <w:pStyle w:val="25"/>
        <w:keepNext w:val="0"/>
        <w:keepLines w:val="0"/>
        <w:pageBreakBefore w:val="0"/>
        <w:widowControl w:val="0"/>
        <w:kinsoku/>
        <w:wordWrap/>
        <w:overflowPunct/>
        <w:topLinePunct w:val="0"/>
        <w:autoSpaceDE/>
        <w:autoSpaceDN/>
        <w:bidi w:val="0"/>
        <w:adjustRightInd/>
        <w:snapToGrid w:val="0"/>
        <w:spacing w:before="0" w:after="0"/>
        <w:textAlignment w:val="auto"/>
        <w:rPr>
          <w:rFonts w:hint="default"/>
          <w:lang w:val="en-US" w:eastAsia="zh-CN"/>
        </w:rPr>
      </w:pPr>
      <w:r>
        <w:rPr>
          <w:rFonts w:hint="default"/>
          <w:lang w:val="en-US" w:eastAsia="zh-CN"/>
        </w:rPr>
        <w:t xml:space="preserve">第一章 </w:t>
      </w:r>
      <w:r>
        <w:rPr>
          <w:rFonts w:hint="eastAsia"/>
          <w:lang w:val="en-US" w:eastAsia="zh-CN"/>
        </w:rPr>
        <w:t xml:space="preserve"> </w:t>
      </w:r>
      <w:r>
        <w:rPr>
          <w:rFonts w:hint="default"/>
          <w:lang w:val="en-US" w:eastAsia="zh-CN"/>
        </w:rPr>
        <w:t>现状、形势与挑战</w:t>
      </w:r>
      <w:bookmarkEnd w:id="9"/>
    </w:p>
    <w:p>
      <w:pPr>
        <w:keepNext w:val="0"/>
        <w:keepLines w:val="0"/>
        <w:pageBreakBefore w:val="0"/>
        <w:widowControl w:val="0"/>
        <w:kinsoku/>
        <w:wordWrap/>
        <w:overflowPunct/>
        <w:topLinePunct w:val="0"/>
        <w:autoSpaceDE/>
        <w:autoSpaceDN/>
        <w:bidi w:val="0"/>
        <w:adjustRightInd/>
        <w:snapToGrid w:val="0"/>
        <w:spacing w:line="240" w:lineRule="auto"/>
        <w:ind w:firstLine="594"/>
        <w:textAlignment w:val="auto"/>
        <w:outlineLvl w:val="9"/>
        <w:rPr>
          <w:rFonts w:hint="default" w:ascii="Times New Roman" w:hAnsi="Times New Roman" w:eastAsia="方正仿宋_GBK" w:cs="Times New Roman"/>
          <w:bCs w:val="0"/>
          <w:spacing w:val="0"/>
          <w:w w:val="100"/>
          <w:kern w:val="2"/>
          <w:sz w:val="28"/>
          <w:szCs w:val="28"/>
          <w:lang w:val="en-US" w:eastAsia="zh-CN" w:bidi="ar-SA"/>
        </w:rPr>
      </w:pPr>
      <w:bookmarkStart w:id="10" w:name="_Toc30881"/>
      <w:bookmarkStart w:id="11" w:name="_Toc31460"/>
      <w:bookmarkStart w:id="12" w:name="_Toc20614"/>
    </w:p>
    <w:p>
      <w:pPr>
        <w:bidi w:val="0"/>
        <w:rPr>
          <w:rFonts w:hint="default"/>
          <w:lang w:val="en-US" w:eastAsia="zh-CN"/>
        </w:rPr>
      </w:pPr>
      <w:r>
        <w:rPr>
          <w:rFonts w:hint="eastAsia"/>
          <w:lang w:val="en-US" w:eastAsia="zh-CN"/>
        </w:rPr>
        <w:t>“</w:t>
      </w:r>
      <w:r>
        <w:rPr>
          <w:rFonts w:hint="default"/>
          <w:lang w:val="en-US" w:eastAsia="zh-CN"/>
        </w:rPr>
        <w:t>十三五</w:t>
      </w:r>
      <w:r>
        <w:rPr>
          <w:rFonts w:hint="eastAsia"/>
          <w:lang w:val="en-US" w:eastAsia="zh-CN"/>
        </w:rPr>
        <w:t>”</w:t>
      </w:r>
      <w:r>
        <w:rPr>
          <w:rFonts w:hint="default"/>
          <w:lang w:val="en-US" w:eastAsia="zh-CN"/>
        </w:rPr>
        <w:t>时期，全</w:t>
      </w:r>
      <w:r>
        <w:rPr>
          <w:rFonts w:hint="eastAsia"/>
          <w:lang w:val="en-US" w:eastAsia="zh-CN"/>
        </w:rPr>
        <w:t>区</w:t>
      </w:r>
      <w:r>
        <w:rPr>
          <w:rFonts w:hint="default"/>
          <w:lang w:val="en-US" w:eastAsia="zh-CN"/>
        </w:rPr>
        <w:t>上下深入贯彻落实党中央、国务院、重庆市对固体废物污染环境防治工作的系列部署，坚决打好污染防治攻坚战，工业固体废物利用处置、环境监管、环境风险防范“三个能力”显著提升，环境风险得到有效管控。</w:t>
      </w:r>
      <w:bookmarkEnd w:id="10"/>
      <w:bookmarkEnd w:id="11"/>
      <w:bookmarkEnd w:id="12"/>
    </w:p>
    <w:p>
      <w:pPr>
        <w:pStyle w:val="26"/>
        <w:keepNext w:val="0"/>
        <w:keepLines w:val="0"/>
        <w:pageBreakBefore w:val="0"/>
        <w:widowControl w:val="0"/>
        <w:kinsoku/>
        <w:wordWrap/>
        <w:overflowPunct/>
        <w:topLinePunct w:val="0"/>
        <w:autoSpaceDE/>
        <w:autoSpaceDN/>
        <w:bidi w:val="0"/>
        <w:adjustRightInd/>
        <w:snapToGrid/>
        <w:spacing w:before="234" w:beforeLines="40" w:after="234" w:afterLines="40"/>
        <w:ind w:left="0" w:leftChars="0" w:right="0" w:rightChars="0" w:firstLine="0" w:firstLineChars="0"/>
        <w:jc w:val="center"/>
        <w:textAlignment w:val="auto"/>
        <w:rPr>
          <w:rFonts w:hint="default"/>
          <w:lang w:val="zh-CN"/>
        </w:rPr>
      </w:pPr>
      <w:bookmarkStart w:id="13" w:name="_Toc3101"/>
      <w:bookmarkStart w:id="14" w:name="_Toc16640"/>
      <w:r>
        <w:rPr>
          <w:rFonts w:hint="default"/>
          <w:lang w:val="zh-CN"/>
        </w:rPr>
        <w:t xml:space="preserve">第一节 </w:t>
      </w:r>
      <w:r>
        <w:rPr>
          <w:rFonts w:hint="eastAsia"/>
          <w:lang w:val="en-US" w:eastAsia="zh-CN"/>
        </w:rPr>
        <w:t xml:space="preserve"> </w:t>
      </w:r>
      <w:r>
        <w:rPr>
          <w:rFonts w:hint="default"/>
          <w:lang w:val="zh-CN"/>
        </w:rPr>
        <w:t>工业固体废物污染环境防治取得明显成效</w:t>
      </w:r>
      <w:bookmarkEnd w:id="13"/>
      <w:bookmarkEnd w:id="14"/>
    </w:p>
    <w:p>
      <w:pPr>
        <w:bidi w:val="0"/>
        <w:rPr>
          <w:rFonts w:hint="default"/>
        </w:rPr>
      </w:pPr>
      <w:bookmarkStart w:id="15" w:name="_Toc9952"/>
      <w:bookmarkStart w:id="16" w:name="_Toc20964"/>
      <w:bookmarkStart w:id="17" w:name="_Toc9088"/>
      <w:r>
        <w:rPr>
          <w:rFonts w:hint="eastAsia"/>
        </w:rPr>
        <w:t>工业固体废物源头减量成效显著</w:t>
      </w:r>
      <w:r>
        <w:rPr>
          <w:rFonts w:hint="eastAsia"/>
          <w:lang w:eastAsia="zh-CN"/>
        </w:rPr>
        <w:t>。</w:t>
      </w:r>
      <w:r>
        <w:rPr>
          <w:rFonts w:hint="default"/>
        </w:rPr>
        <w:t>“十三五”期间，荣昌区严格落实《重庆市工业项目环境准入规定》，在新、改、扩建工业项目中明确一般工业固体废物产生强度限值。积极推动传统支柱产业绿色转型升级，重点支持节能低碳化改造、清洁化改造等绿色改造项目，重庆昌元化工集团有限公司自主研发的国际领先水平清洁生产工艺—“气动流化塔法”高锰酸钾生产技术得到了环保部的认定、发改委的鼓励以及工信部的大力推广。持续推动清洁生产技术改造，实施“清洁生产与技术改造工程”“重点行业企业清洁生产改造”重点工程。持续推进强制性清洁生产审核工作，按期完成了重庆凯歌电子股份有限公司、重庆昌元化工集团有限公司、重庆蓝洁广顺净水材料有限公司3家企业强制性清洁生产审核评估及验收工作。2020年全区一般工业固体废物产生用量年降幅度大，产生量较2018年降低82.77%，产生强度</w:t>
      </w:r>
      <w:r>
        <w:rPr>
          <w:rFonts w:hint="eastAsia"/>
          <w:lang w:val="en-US" w:eastAsia="zh-CN"/>
        </w:rPr>
        <w:t>大幅下降</w:t>
      </w:r>
      <w:r>
        <w:rPr>
          <w:rFonts w:hint="default"/>
        </w:rPr>
        <w:t>。</w:t>
      </w:r>
      <w:bookmarkEnd w:id="15"/>
      <w:bookmarkEnd w:id="16"/>
      <w:bookmarkEnd w:id="17"/>
    </w:p>
    <w:p>
      <w:pPr>
        <w:bidi w:val="0"/>
        <w:rPr>
          <w:rFonts w:hint="default"/>
        </w:rPr>
      </w:pPr>
      <w:bookmarkStart w:id="18" w:name="_Toc369"/>
      <w:bookmarkStart w:id="19" w:name="_Toc20894"/>
      <w:bookmarkStart w:id="20" w:name="_Toc3498"/>
      <w:r>
        <w:rPr>
          <w:rFonts w:hint="eastAsia"/>
        </w:rPr>
        <w:t>工业固体废物资源化利用</w:t>
      </w:r>
      <w:r>
        <w:rPr>
          <w:rFonts w:hint="eastAsia"/>
          <w:lang w:val="en-US" w:eastAsia="zh-CN"/>
        </w:rPr>
        <w:t>效率不断提高</w:t>
      </w:r>
      <w:r>
        <w:rPr>
          <w:rFonts w:hint="eastAsia"/>
          <w:lang w:eastAsia="zh-CN"/>
        </w:rPr>
        <w:t>。</w:t>
      </w:r>
      <w:r>
        <w:rPr>
          <w:rFonts w:hint="default"/>
        </w:rPr>
        <w:t>全区着力培育大宗工业固体废物综合利用环保企业，2020年全区共有一般工业固体废物综合利用企业18家，综合利用量达62.3365万吨，综合利用销售收入为15432.3万元，综合利用一般工业固体废物种类主要为煤矸石、化工废渣，主要综合利用产品种类为电力、烧结砖、蒸压加气混凝土砌块、蒸汽等，到2020年全区一般工业固体废物综合利用率达</w:t>
      </w:r>
      <w:r>
        <w:rPr>
          <w:rFonts w:hint="eastAsia"/>
          <w:lang w:val="en-US" w:eastAsia="zh-CN"/>
        </w:rPr>
        <w:t>91.22</w:t>
      </w:r>
      <w:r>
        <w:rPr>
          <w:rFonts w:hint="default"/>
        </w:rPr>
        <w:t>%。充分发挥财政资金的市场引导作用，实施税收优惠政策，2018年到2020年全区获得享受增值税即征即退政策共计4家企业，累计综合利用减免税收金额83.49万元。</w:t>
      </w:r>
      <w:bookmarkEnd w:id="18"/>
      <w:bookmarkEnd w:id="19"/>
      <w:bookmarkEnd w:id="20"/>
    </w:p>
    <w:p>
      <w:pPr>
        <w:bidi w:val="0"/>
        <w:rPr>
          <w:rFonts w:hint="default"/>
        </w:rPr>
      </w:pPr>
      <w:bookmarkStart w:id="21" w:name="_Toc26383"/>
      <w:bookmarkStart w:id="22" w:name="_Toc20958"/>
      <w:bookmarkStart w:id="23" w:name="_Toc12721"/>
      <w:r>
        <w:rPr>
          <w:rFonts w:hint="eastAsia"/>
        </w:rPr>
        <w:t>工业固体废物无害化处置及监管能力逐步提升</w:t>
      </w:r>
      <w:r>
        <w:rPr>
          <w:rFonts w:hint="eastAsia"/>
          <w:lang w:eastAsia="zh-CN"/>
        </w:rPr>
        <w:t>。</w:t>
      </w:r>
      <w:r>
        <w:rPr>
          <w:rFonts w:hint="default"/>
        </w:rPr>
        <w:t>“十三五”期间，持续完善一般工业固体废物处置基础设施，建成投运一般工业固废处置场及污水处理厂污泥处置场，相继完工一般工业固体废物处理在线监测监控系统建设等一批环保重点项目，</w:t>
      </w:r>
      <w:r>
        <w:rPr>
          <w:rFonts w:hint="eastAsia"/>
          <w:lang w:val="en-US" w:eastAsia="zh-CN"/>
        </w:rPr>
        <w:t>提高了一般工业固体废物处置利用能力。</w:t>
      </w:r>
      <w:r>
        <w:rPr>
          <w:rFonts w:hint="default"/>
        </w:rPr>
        <w:t>全区危险废物基本全部委外处置，危险废物安全处置率达100%。逐步开展工业固体废物申报登记工作和危险废物管理计划备案工作，2020年，完成132家企业一般工业固体废物年度申报、153家企业危险废物年度申报、150家企业危险废物管理计划备案。严格执行危险废物、污水处理厂污泥转移联单制度，年产危险废物50吨以上工业企业实施“一物一码”精细化管理工作。制定了《荣昌区危险废物集中收集贮存转移试点工作方案》，确定重庆弘邦环保有限公司为荣昌区危险废物集中收集贮存转运试点单位。加强危险废物环境管理，2020年全区危险废物产生单位规范化管理合格率达到93.6%。严厉打击危险废物非法转移倾倒违法犯罪行为，“十三五”期间全区累计</w:t>
      </w:r>
      <w:r>
        <w:rPr>
          <w:rFonts w:hint="eastAsia"/>
          <w:lang w:val="en-US" w:eastAsia="zh-CN"/>
        </w:rPr>
        <w:t>查处</w:t>
      </w:r>
      <w:r>
        <w:rPr>
          <w:rFonts w:hint="default"/>
        </w:rPr>
        <w:t>危险废物</w:t>
      </w:r>
      <w:r>
        <w:rPr>
          <w:rFonts w:hint="eastAsia"/>
          <w:lang w:val="en-US" w:eastAsia="zh-CN"/>
        </w:rPr>
        <w:t>环境违法</w:t>
      </w:r>
      <w:r>
        <w:rPr>
          <w:rFonts w:hint="default"/>
        </w:rPr>
        <w:t>案件61件，</w:t>
      </w:r>
      <w:r>
        <w:rPr>
          <w:rFonts w:hint="eastAsia"/>
          <w:lang w:val="en-US" w:eastAsia="zh-CN"/>
        </w:rPr>
        <w:t>罚款</w:t>
      </w:r>
      <w:r>
        <w:rPr>
          <w:rFonts w:hint="default"/>
        </w:rPr>
        <w:t>151.5万元。</w:t>
      </w:r>
      <w:bookmarkEnd w:id="21"/>
      <w:bookmarkEnd w:id="22"/>
      <w:bookmarkEnd w:id="23"/>
    </w:p>
    <w:p>
      <w:pPr>
        <w:pStyle w:val="26"/>
        <w:bidi w:val="0"/>
        <w:rPr>
          <w:rFonts w:hint="default"/>
          <w:lang w:val="zh-CN"/>
        </w:rPr>
      </w:pPr>
      <w:bookmarkStart w:id="24" w:name="_Toc20701"/>
      <w:bookmarkStart w:id="25" w:name="_Toc5660"/>
      <w:r>
        <w:rPr>
          <w:rFonts w:hint="default"/>
          <w:lang w:val="zh-CN"/>
        </w:rPr>
        <w:t>第</w:t>
      </w:r>
      <w:r>
        <w:rPr>
          <w:rFonts w:hint="default"/>
          <w:lang w:val="en-US"/>
        </w:rPr>
        <w:t>二</w:t>
      </w:r>
      <w:r>
        <w:rPr>
          <w:rFonts w:hint="default"/>
          <w:lang w:val="zh-CN"/>
        </w:rPr>
        <w:t>节</w:t>
      </w:r>
      <w:r>
        <w:rPr>
          <w:rFonts w:hint="eastAsia"/>
          <w:lang w:val="en-US" w:eastAsia="zh-CN"/>
        </w:rPr>
        <w:t xml:space="preserve"> </w:t>
      </w:r>
      <w:r>
        <w:rPr>
          <w:rFonts w:hint="default"/>
          <w:lang w:val="en-US"/>
        </w:rPr>
        <w:t xml:space="preserve"> </w:t>
      </w:r>
      <w:r>
        <w:rPr>
          <w:rFonts w:hint="default"/>
          <w:lang w:val="zh-CN"/>
        </w:rPr>
        <w:t>工业固体废物污染环境防治任重道远</w:t>
      </w:r>
      <w:bookmarkEnd w:id="24"/>
      <w:bookmarkEnd w:id="25"/>
    </w:p>
    <w:p>
      <w:pPr>
        <w:bidi w:val="0"/>
        <w:rPr>
          <w:rFonts w:hint="default"/>
        </w:rPr>
      </w:pPr>
      <w:r>
        <w:rPr>
          <w:rFonts w:hint="default"/>
        </w:rPr>
        <w:t>一般工业固体废物综合利用渠道有待进一步拓宽。荣昌区支柱产业为食品、医药、服饰、陶瓷为支撑的消费品工业集群，</w:t>
      </w:r>
      <w:r>
        <w:rPr>
          <w:rFonts w:hint="eastAsia"/>
          <w:lang w:val="en-US" w:eastAsia="zh-CN"/>
        </w:rPr>
        <w:t>荣昌的</w:t>
      </w:r>
      <w:r>
        <w:rPr>
          <w:rFonts w:hint="default"/>
        </w:rPr>
        <w:t>装备制造业是成渝地区的优势主导产业，产生大量的一般工业固体废物，但目前全区一般工业固体废物综合利用途径主要为生产建筑材料，其他行业的利用量小并且技术有限，造成全区一般工业固体废物贮存压力大，综合利用形</w:t>
      </w:r>
      <w:r>
        <w:rPr>
          <w:rFonts w:hint="eastAsia"/>
          <w:lang w:val="en-US" w:eastAsia="zh-CN"/>
        </w:rPr>
        <w:t>势</w:t>
      </w:r>
      <w:r>
        <w:rPr>
          <w:rFonts w:hint="default"/>
        </w:rPr>
        <w:t>严峻。并且现有的一般工业固体废物综合利用企业原料关联度弱，不利于资源循环利用。</w:t>
      </w:r>
    </w:p>
    <w:p>
      <w:pPr>
        <w:bidi w:val="0"/>
        <w:rPr>
          <w:rFonts w:hint="default"/>
        </w:rPr>
      </w:pPr>
      <w:r>
        <w:rPr>
          <w:rFonts w:hint="default"/>
        </w:rPr>
        <w:t>工业固体废物环境监管压力大。全区产生的一般工业固体废物炉渣、粉煤灰、污泥、脱硫石膏、冶炼废渣</w:t>
      </w:r>
      <w:r>
        <w:rPr>
          <w:rFonts w:hint="eastAsia"/>
          <w:lang w:eastAsia="zh-CN"/>
        </w:rPr>
        <w:t>、</w:t>
      </w:r>
      <w:r>
        <w:rPr>
          <w:rFonts w:hint="default"/>
        </w:rPr>
        <w:t>矿山尾矿</w:t>
      </w:r>
      <w:r>
        <w:rPr>
          <w:rFonts w:hint="eastAsia"/>
          <w:lang w:eastAsia="zh-CN"/>
        </w:rPr>
        <w:t>、</w:t>
      </w:r>
      <w:r>
        <w:rPr>
          <w:rFonts w:hint="eastAsia"/>
          <w:lang w:val="en-US" w:eastAsia="zh-CN"/>
        </w:rPr>
        <w:t>废原材料、其他废物</w:t>
      </w:r>
      <w:r>
        <w:rPr>
          <w:rFonts w:hint="default"/>
        </w:rPr>
        <w:t>等一般工业固体废物，绝大部分都采用企业内部循环使用和委外处理方式进行了综合利用，但简单采用填埋或堆放方式处置的比例还较大。同时本辖区无危险废物集中处理处置设施，需委外处理，因此，在储存、运输等各个环节的环境风险较大，存在一定的</w:t>
      </w:r>
      <w:r>
        <w:rPr>
          <w:rFonts w:hint="eastAsia"/>
          <w:lang w:val="en-US" w:eastAsia="zh-CN"/>
        </w:rPr>
        <w:t>环境</w:t>
      </w:r>
      <w:r>
        <w:rPr>
          <w:rFonts w:hint="default"/>
        </w:rPr>
        <w:t>安全隐患。</w:t>
      </w:r>
    </w:p>
    <w:p>
      <w:pPr>
        <w:bidi w:val="0"/>
        <w:rPr>
          <w:rFonts w:hint="default"/>
        </w:rPr>
      </w:pPr>
      <w:r>
        <w:rPr>
          <w:rFonts w:hint="default"/>
        </w:rPr>
        <w:t>危险废物管理新要求带来新压力。2021年生态环境部印发了《“十四五”全国危险废物规范化环境管理评估工作方案》，出台了新的危险废物规范化抽查考核体系，同时《国家危险废物名录》（2021年版）新增含油金属屑和铝灰纳入危险废物管理。“十四五”时期荣昌区工业规模日渐壮大，危险废物产生量将逐年增加，依据荣昌区2018年到2020年危险废物管理数据和工业产业结构预测，预计2025将达到10000吨，在危险废物管理日趋严格的形势下，对进一步压紧压实相关产废企业和单位收集、贮存和转运等环节的管理，减少危险废物远距离收集和运输的监管风险和环境风险提出了更高的要求。</w:t>
      </w:r>
    </w:p>
    <w:p>
      <w:pPr>
        <w:pStyle w:val="26"/>
        <w:bidi w:val="0"/>
        <w:rPr>
          <w:rFonts w:hint="default"/>
        </w:rPr>
      </w:pPr>
      <w:bookmarkStart w:id="26" w:name="_Toc3072"/>
      <w:bookmarkStart w:id="27" w:name="_Toc624"/>
      <w:r>
        <w:rPr>
          <w:rFonts w:hint="default"/>
        </w:rPr>
        <w:t>第三节</w:t>
      </w:r>
      <w:r>
        <w:rPr>
          <w:rFonts w:hint="eastAsia"/>
          <w:lang w:val="en-US" w:eastAsia="zh-CN"/>
        </w:rPr>
        <w:t xml:space="preserve"> </w:t>
      </w:r>
      <w:r>
        <w:rPr>
          <w:rFonts w:hint="default"/>
        </w:rPr>
        <w:t xml:space="preserve"> 工业固体废物污染环境防治迎来重要机遇</w:t>
      </w:r>
      <w:bookmarkEnd w:id="26"/>
      <w:bookmarkEnd w:id="27"/>
    </w:p>
    <w:p>
      <w:pPr>
        <w:bidi w:val="0"/>
        <w:rPr>
          <w:rFonts w:hint="default"/>
        </w:rPr>
      </w:pPr>
      <w:r>
        <w:rPr>
          <w:rFonts w:hint="default"/>
        </w:rPr>
        <w:t>国家明确高质量发展主题为荣昌区工业固体废物污染防治带来历史契机。十九届五中全会明确提出“以推动高质量发展为主题”，为荣昌工业高质量发展指明方向，打造新兴产业链，推动传统产业高端化、智能化、绿色化，发展服务型制造。国务院《关于促进国家高新技术产业开发区高质量发展的若干意见》为荣昌高新区赋予了“创新驱动发展示范区”、“高质量发展先行区”的新使命和新定位，为荣昌扎实推进工业固体废物综合利用和绿色制造体系创建，全面提升工业领域绿色发展水平提供重要契机。</w:t>
      </w:r>
    </w:p>
    <w:p>
      <w:pPr>
        <w:bidi w:val="0"/>
        <w:rPr>
          <w:rFonts w:hint="default"/>
        </w:rPr>
      </w:pPr>
      <w:r>
        <w:rPr>
          <w:rFonts w:hint="default"/>
        </w:rPr>
        <w:t>成渝地区双城经济圈建设为工业固体废物污染防治带来新机遇。“十四五”时期，全区依托成渝地区双城经济圈建设等国家重大发展战略，对标成渝地区双城经济圈“两中心两地”战略目标，充分发挥“桥头堡”“主战场”作用，深化“泸（州）内（江）荣（昌）永（川）大（足）”毗邻区域生态环境保护合作，深入贯彻落实《重庆市、四川省危险废物跨省市转移合作协议》，以川渝地区工业固体废物联动管理、危险废物跨省市转移“白名单”制度为契机，推动危险废物产生和处理处置情况、危险废物处理处置设施持证情况、一般工业固体废物处置和资源化利用情况共享，推进毗邻地区工业固体废物利用处置设施共建共享，全面提升区域工业固体废物共治水平，为高质量发展提供有力支撑。</w:t>
      </w:r>
    </w:p>
    <w:p>
      <w:pPr>
        <w:bidi w:val="0"/>
        <w:rPr>
          <w:rFonts w:hint="default"/>
        </w:rPr>
      </w:pPr>
      <w:r>
        <w:rPr>
          <w:rFonts w:hint="default"/>
        </w:rPr>
        <w:t>“双碳”目标和“无废城市”建设为工业固体废物污染防治注入强大动力。2020年国家主席习近平在第75届联合国大会上提出力争2030年前实现碳达峰、2060年前实现碳中和的目标，并在2021年“双碳”目标写入政府工作报告及十四五规划纲要，</w:t>
      </w:r>
      <w:r>
        <w:rPr>
          <w:rFonts w:hint="eastAsia"/>
          <w:lang w:val="en-US" w:eastAsia="zh-CN"/>
        </w:rPr>
        <w:t>国务院制定了2030年前碳达峰行动方案，</w:t>
      </w:r>
      <w:r>
        <w:rPr>
          <w:rFonts w:hint="default"/>
        </w:rPr>
        <w:t>为深入推动工业固体废物污染防治工作向“减量化、资源化、无害化”方向发展提供了良好的契机。同时</w:t>
      </w:r>
      <w:r>
        <w:rPr>
          <w:rFonts w:hint="eastAsia"/>
          <w:lang w:eastAsia="zh-CN"/>
        </w:rPr>
        <w:t>，</w:t>
      </w:r>
      <w:r>
        <w:rPr>
          <w:rFonts w:hint="eastAsia"/>
          <w:lang w:val="en-US" w:eastAsia="zh-CN"/>
        </w:rPr>
        <w:t>荣昌大力推进</w:t>
      </w:r>
      <w:r>
        <w:rPr>
          <w:rFonts w:hint="default"/>
        </w:rPr>
        <w:t>“无废城市”建设，</w:t>
      </w:r>
      <w:r>
        <w:rPr>
          <w:rFonts w:hint="eastAsia"/>
          <w:lang w:val="en-US" w:eastAsia="zh-CN"/>
        </w:rPr>
        <w:t>促使</w:t>
      </w:r>
      <w:r>
        <w:rPr>
          <w:rFonts w:hint="default"/>
        </w:rPr>
        <w:t>工业固体废物</w:t>
      </w:r>
      <w:r>
        <w:rPr>
          <w:rFonts w:hint="eastAsia"/>
          <w:lang w:val="en-US" w:eastAsia="zh-CN"/>
        </w:rPr>
        <w:t>处置、监管</w:t>
      </w:r>
      <w:r>
        <w:rPr>
          <w:rFonts w:hint="default"/>
        </w:rPr>
        <w:t>向精细化、专业化、规模化、现代化方向发展</w:t>
      </w:r>
      <w:r>
        <w:rPr>
          <w:rFonts w:hint="eastAsia"/>
          <w:lang w:eastAsia="zh-CN"/>
        </w:rPr>
        <w:t>，</w:t>
      </w:r>
      <w:r>
        <w:rPr>
          <w:rFonts w:hint="default"/>
        </w:rPr>
        <w:t>向数字化转型，助推工业提质增效、清洁生产和绿色发展。</w:t>
      </w:r>
    </w:p>
    <w:p>
      <w:pPr>
        <w:bidi w:val="0"/>
        <w:rPr>
          <w:rFonts w:hint="eastAsia" w:ascii="宋体" w:hAnsi="宋体" w:eastAsia="方正仿宋_GBK" w:cs="方正仿宋_GBK"/>
          <w:color w:val="000000"/>
          <w:spacing w:val="0"/>
          <w:w w:val="100"/>
          <w:kern w:val="0"/>
          <w:szCs w:val="32"/>
          <w:shd w:val="clear" w:color="auto" w:fill="FFFFFF"/>
          <w:lang w:bidi="ar"/>
        </w:rPr>
      </w:pPr>
      <w:r>
        <w:rPr>
          <w:rFonts w:hint="eastAsia" w:ascii="宋体" w:hAnsi="宋体" w:eastAsia="方正仿宋_GBK" w:cs="方正仿宋_GBK"/>
          <w:color w:val="000000"/>
          <w:spacing w:val="0"/>
          <w:w w:val="100"/>
          <w:kern w:val="0"/>
          <w:szCs w:val="32"/>
          <w:shd w:val="clear" w:color="auto" w:fill="FFFFFF"/>
          <w:lang w:bidi="ar"/>
        </w:rPr>
        <w:br w:type="page"/>
      </w:r>
      <w:bookmarkStart w:id="28" w:name="_Toc17133"/>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方正仿宋_GBK" w:cs="方正仿宋_GBK"/>
          <w:color w:val="000000"/>
          <w:spacing w:val="0"/>
          <w:w w:val="100"/>
          <w:kern w:val="0"/>
          <w:szCs w:val="32"/>
          <w:shd w:val="clear" w:color="auto" w:fill="FFFFFF"/>
          <w:lang w:bidi="ar"/>
        </w:rPr>
      </w:pPr>
    </w:p>
    <w:p>
      <w:pPr>
        <w:pStyle w:val="25"/>
        <w:keepNext w:val="0"/>
        <w:keepLines w:val="0"/>
        <w:pageBreakBefore w:val="0"/>
        <w:widowControl w:val="0"/>
        <w:kinsoku/>
        <w:wordWrap/>
        <w:overflowPunct/>
        <w:topLinePunct w:val="0"/>
        <w:autoSpaceDE/>
        <w:autoSpaceDN/>
        <w:bidi w:val="0"/>
        <w:adjustRightInd/>
        <w:snapToGrid w:val="0"/>
        <w:spacing w:before="0" w:after="0"/>
        <w:textAlignment w:val="auto"/>
        <w:rPr>
          <w:rFonts w:hint="default"/>
          <w:lang w:val="en-US" w:eastAsia="zh-CN"/>
        </w:rPr>
      </w:pPr>
      <w:r>
        <w:rPr>
          <w:rFonts w:hint="default"/>
          <w:lang w:val="en-US" w:eastAsia="zh-CN"/>
        </w:rPr>
        <w:t xml:space="preserve">第二章 </w:t>
      </w:r>
      <w:r>
        <w:rPr>
          <w:rFonts w:hint="eastAsia"/>
          <w:lang w:val="en-US" w:eastAsia="zh-CN"/>
        </w:rPr>
        <w:t xml:space="preserve"> </w:t>
      </w:r>
      <w:r>
        <w:rPr>
          <w:rFonts w:hint="default"/>
          <w:lang w:val="en-US" w:eastAsia="zh-CN"/>
        </w:rPr>
        <w:t>原则和目标</w:t>
      </w:r>
      <w:bookmarkEnd w:id="28"/>
    </w:p>
    <w:p>
      <w:pPr>
        <w:pStyle w:val="26"/>
        <w:bidi w:val="0"/>
        <w:rPr>
          <w:rFonts w:hint="default"/>
          <w:lang w:val="zh-CN"/>
        </w:rPr>
      </w:pPr>
      <w:bookmarkStart w:id="29" w:name="_Toc29453"/>
      <w:bookmarkStart w:id="30" w:name="_Toc19360"/>
      <w:r>
        <w:rPr>
          <w:rFonts w:hint="default"/>
          <w:lang w:val="en-US" w:eastAsia="zh-CN"/>
        </w:rPr>
        <w:t>第一节</w:t>
      </w:r>
      <w:r>
        <w:rPr>
          <w:rFonts w:hint="eastAsia"/>
          <w:lang w:val="en-US" w:eastAsia="zh-CN"/>
        </w:rPr>
        <w:t xml:space="preserve"> </w:t>
      </w:r>
      <w:r>
        <w:rPr>
          <w:rFonts w:hint="default"/>
          <w:lang w:val="en-US" w:eastAsia="zh-CN"/>
        </w:rPr>
        <w:t xml:space="preserve"> </w:t>
      </w:r>
      <w:r>
        <w:rPr>
          <w:rFonts w:hint="default"/>
          <w:lang w:val="zh-CN"/>
        </w:rPr>
        <w:t>指导思想</w:t>
      </w:r>
      <w:bookmarkEnd w:id="29"/>
      <w:bookmarkEnd w:id="30"/>
    </w:p>
    <w:p>
      <w:pPr>
        <w:bidi w:val="0"/>
        <w:rPr>
          <w:rFonts w:hint="default"/>
        </w:rPr>
      </w:pPr>
      <w:r>
        <w:rPr>
          <w:rFonts w:hint="default"/>
        </w:rPr>
        <w:t>以习近平新时代中国特色社会主义思想为指导，全面贯彻党的</w:t>
      </w:r>
      <w:r>
        <w:rPr>
          <w:rFonts w:hint="eastAsia"/>
          <w:lang w:val="en-US" w:eastAsia="zh-CN"/>
        </w:rPr>
        <w:t>二十大</w:t>
      </w:r>
      <w:r>
        <w:rPr>
          <w:rFonts w:hint="default"/>
        </w:rPr>
        <w:t>精神，立足新发展阶段、贯彻新发展理念、融入新发展格局，</w:t>
      </w:r>
      <w:r>
        <w:rPr>
          <w:rFonts w:hint="eastAsia"/>
          <w:lang w:val="en-US" w:eastAsia="zh-CN"/>
        </w:rPr>
        <w:t>深入贯彻</w:t>
      </w:r>
      <w:r>
        <w:rPr>
          <w:rFonts w:hint="default"/>
        </w:rPr>
        <w:t>习近平生态文明思想，认真落实习近平总书记对重庆提出的“两点”定位、“两地”“两高”目标、发挥“三个作用”和营造良好政治生态的重要指示要求，紧扣成渝地区双城经济圈建设的“桥头堡”城市定位，以打造“成渝地区重要先进制造业基地”为目标，坚持绿色低碳循环发展，坚持“减量化、资源化、无害化”的原则，持续推进工业固体废物源头减量和资源化利用，最大限度减少填埋量，将固体废物环境影响降至最低，实现全区工业固体废物产生</w:t>
      </w:r>
      <w:r>
        <w:rPr>
          <w:rFonts w:hint="eastAsia"/>
          <w:lang w:val="en-US" w:eastAsia="zh-CN"/>
        </w:rPr>
        <w:t>强度持续降低</w:t>
      </w:r>
      <w:r>
        <w:rPr>
          <w:rFonts w:hint="default"/>
        </w:rPr>
        <w:t>、利用</w:t>
      </w:r>
      <w:r>
        <w:rPr>
          <w:rFonts w:hint="eastAsia"/>
          <w:lang w:val="en-US" w:eastAsia="zh-CN"/>
        </w:rPr>
        <w:t>不断提升</w:t>
      </w:r>
      <w:r>
        <w:rPr>
          <w:rFonts w:hint="default"/>
        </w:rPr>
        <w:t>、处置</w:t>
      </w:r>
      <w:r>
        <w:rPr>
          <w:rFonts w:hint="eastAsia"/>
          <w:lang w:val="en-US" w:eastAsia="zh-CN"/>
        </w:rPr>
        <w:t>更加</w:t>
      </w:r>
      <w:r>
        <w:rPr>
          <w:rFonts w:hint="default"/>
        </w:rPr>
        <w:t>安全的目标，为荣昌区推进“无废城市”建设夯实基础，助推全区高质量发展。</w:t>
      </w:r>
    </w:p>
    <w:p>
      <w:pPr>
        <w:pStyle w:val="26"/>
        <w:bidi w:val="0"/>
        <w:rPr>
          <w:rFonts w:hint="default"/>
          <w:lang w:val="en-US"/>
        </w:rPr>
      </w:pPr>
      <w:bookmarkStart w:id="31" w:name="_Toc18205"/>
      <w:bookmarkStart w:id="32" w:name="_Toc18403"/>
      <w:r>
        <w:rPr>
          <w:rFonts w:hint="default"/>
          <w:lang w:val="en-US" w:eastAsia="zh-CN"/>
        </w:rPr>
        <w:t>第二节</w:t>
      </w:r>
      <w:r>
        <w:rPr>
          <w:rFonts w:hint="eastAsia"/>
          <w:lang w:val="en-US" w:eastAsia="zh-CN"/>
        </w:rPr>
        <w:t xml:space="preserve"> </w:t>
      </w:r>
      <w:r>
        <w:rPr>
          <w:rFonts w:hint="default"/>
          <w:lang w:val="en-US" w:eastAsia="zh-CN"/>
        </w:rPr>
        <w:t xml:space="preserve"> </w:t>
      </w:r>
      <w:r>
        <w:rPr>
          <w:rFonts w:hint="default"/>
          <w:lang w:val="en-US"/>
        </w:rPr>
        <w:t>基本原则</w:t>
      </w:r>
      <w:bookmarkEnd w:id="31"/>
      <w:bookmarkEnd w:id="32"/>
    </w:p>
    <w:p>
      <w:pPr>
        <w:keepNext w:val="0"/>
        <w:keepLines w:val="0"/>
        <w:pageBreakBefore w:val="0"/>
        <w:widowControl w:val="0"/>
        <w:kinsoku/>
        <w:wordWrap/>
        <w:overflowPunct/>
        <w:topLinePunct w:val="0"/>
        <w:autoSpaceDE/>
        <w:autoSpaceDN/>
        <w:bidi w:val="0"/>
        <w:rPr>
          <w:rFonts w:hint="default"/>
        </w:rPr>
      </w:pPr>
      <w:r>
        <w:rPr>
          <w:rFonts w:hint="default"/>
        </w:rPr>
        <w:t>改革创新、完善政策。全面深化工业固体废物管理改革，加强体制机制创新，建立健全工业固体废物全过程管理制度。</w:t>
      </w:r>
      <w:r>
        <w:rPr>
          <w:rFonts w:hint="eastAsia"/>
          <w:lang w:val="en-US" w:eastAsia="zh-CN"/>
        </w:rPr>
        <w:t>认真贯彻</w:t>
      </w:r>
      <w:r>
        <w:rPr>
          <w:rFonts w:hint="default"/>
        </w:rPr>
        <w:t>固体废物污染环境防治</w:t>
      </w:r>
      <w:r>
        <w:rPr>
          <w:rFonts w:hint="eastAsia"/>
          <w:lang w:val="en-US" w:eastAsia="zh-CN"/>
        </w:rPr>
        <w:t>法律</w:t>
      </w:r>
      <w:r>
        <w:rPr>
          <w:rFonts w:hint="default"/>
        </w:rPr>
        <w:t>法规</w:t>
      </w:r>
      <w:r>
        <w:rPr>
          <w:rFonts w:hint="eastAsia"/>
          <w:lang w:eastAsia="zh-CN"/>
        </w:rPr>
        <w:t>、</w:t>
      </w:r>
      <w:r>
        <w:rPr>
          <w:rFonts w:hint="eastAsia"/>
          <w:lang w:val="en-US" w:eastAsia="zh-CN"/>
        </w:rPr>
        <w:t>政策</w:t>
      </w:r>
      <w:r>
        <w:rPr>
          <w:rFonts w:hint="default"/>
        </w:rPr>
        <w:t>，夯实各方责任，完善新《固废法》相关制度的</w:t>
      </w:r>
      <w:r>
        <w:rPr>
          <w:rFonts w:hint="eastAsia"/>
          <w:lang w:val="en-US" w:eastAsia="zh-CN"/>
        </w:rPr>
        <w:t>管理</w:t>
      </w:r>
      <w:r>
        <w:rPr>
          <w:rFonts w:hint="default"/>
        </w:rPr>
        <w:t>措施。</w:t>
      </w:r>
    </w:p>
    <w:p>
      <w:pPr>
        <w:keepNext w:val="0"/>
        <w:keepLines w:val="0"/>
        <w:pageBreakBefore w:val="0"/>
        <w:widowControl w:val="0"/>
        <w:kinsoku/>
        <w:wordWrap/>
        <w:overflowPunct/>
        <w:topLinePunct w:val="0"/>
        <w:autoSpaceDE/>
        <w:autoSpaceDN/>
        <w:bidi w:val="0"/>
        <w:rPr>
          <w:rFonts w:hint="default"/>
        </w:rPr>
      </w:pPr>
      <w:r>
        <w:rPr>
          <w:rFonts w:hint="default"/>
        </w:rPr>
        <w:t>问题导向、突出重点。以工业固体废物产生强度大、回收利用水平低、利用处置能力有缺口等突出问题为突破口，遵循</w:t>
      </w:r>
      <w:r>
        <w:t>“减量化、资源化、无害化”</w:t>
      </w:r>
      <w:r>
        <w:rPr>
          <w:rFonts w:hint="default"/>
        </w:rPr>
        <w:t>原则，统筹减污降碳协同增效，推动工业固体废物产生强度下降，填埋处置趋零增长，</w:t>
      </w:r>
      <w:r>
        <w:rPr>
          <w:rFonts w:hint="eastAsia"/>
          <w:lang w:val="en-US" w:eastAsia="zh-CN"/>
        </w:rPr>
        <w:t>进一步提高</w:t>
      </w:r>
      <w:r>
        <w:rPr>
          <w:rFonts w:hint="default"/>
        </w:rPr>
        <w:t>工业固体废物利用</w:t>
      </w:r>
      <w:r>
        <w:rPr>
          <w:rFonts w:hint="eastAsia"/>
          <w:lang w:val="en-US" w:eastAsia="zh-CN"/>
        </w:rPr>
        <w:t>水平</w:t>
      </w:r>
      <w:r>
        <w:rPr>
          <w:rFonts w:hint="default"/>
        </w:rPr>
        <w:t>。</w:t>
      </w:r>
    </w:p>
    <w:p>
      <w:pPr>
        <w:keepNext w:val="0"/>
        <w:keepLines w:val="0"/>
        <w:pageBreakBefore w:val="0"/>
        <w:widowControl w:val="0"/>
        <w:kinsoku/>
        <w:wordWrap/>
        <w:overflowPunct/>
        <w:topLinePunct w:val="0"/>
        <w:autoSpaceDE/>
        <w:autoSpaceDN/>
        <w:bidi w:val="0"/>
        <w:rPr>
          <w:rFonts w:hint="default"/>
        </w:rPr>
      </w:pPr>
      <w:r>
        <w:rPr>
          <w:rFonts w:hint="default"/>
        </w:rPr>
        <w:t>区域协同、分类施策。以推进“无废城市”共建为契机，强化区域交流合作，深化联防联控，推动工业固体废物集中利用处置设施共建共享。针对</w:t>
      </w:r>
      <w:r>
        <w:rPr>
          <w:rFonts w:hint="eastAsia"/>
          <w:lang w:val="en-US" w:eastAsia="zh-CN"/>
        </w:rPr>
        <w:t>我区</w:t>
      </w:r>
      <w:r>
        <w:rPr>
          <w:rFonts w:hint="default"/>
        </w:rPr>
        <w:t>工业固体废物污染治理</w:t>
      </w:r>
      <w:r>
        <w:rPr>
          <w:rFonts w:hint="eastAsia"/>
          <w:lang w:val="en-US" w:eastAsia="zh-CN"/>
        </w:rPr>
        <w:t>重点和</w:t>
      </w:r>
      <w:r>
        <w:rPr>
          <w:rFonts w:hint="default"/>
        </w:rPr>
        <w:t>难题，实施分级分类管理，精准施策整治。</w:t>
      </w:r>
    </w:p>
    <w:p>
      <w:pPr>
        <w:keepNext w:val="0"/>
        <w:keepLines w:val="0"/>
        <w:pageBreakBefore w:val="0"/>
        <w:widowControl w:val="0"/>
        <w:kinsoku/>
        <w:wordWrap/>
        <w:overflowPunct/>
        <w:topLinePunct w:val="0"/>
        <w:autoSpaceDE/>
        <w:autoSpaceDN/>
        <w:bidi w:val="0"/>
        <w:rPr>
          <w:rFonts w:hint="default"/>
        </w:rPr>
      </w:pPr>
      <w:r>
        <w:rPr>
          <w:rFonts w:hint="default"/>
        </w:rPr>
        <w:t>强化监管，严控风险。提升精细化、智慧化管理水平，完善部门、区域联防联控机制建设，推动建立工业固体废物和危险废物全过程监控和信息化追溯体系。严厉打击工业固体废物、危险废物环境违法犯罪行为，有效防范环境风险。</w:t>
      </w:r>
    </w:p>
    <w:p>
      <w:pPr>
        <w:pStyle w:val="26"/>
        <w:bidi w:val="0"/>
        <w:rPr>
          <w:rFonts w:hint="default"/>
        </w:rPr>
      </w:pPr>
      <w:bookmarkStart w:id="33" w:name="_Toc30615"/>
      <w:bookmarkStart w:id="34" w:name="_Toc11755"/>
      <w:r>
        <w:rPr>
          <w:rFonts w:hint="default"/>
          <w:lang w:val="en-US" w:eastAsia="zh-CN"/>
        </w:rPr>
        <w:t>第三节</w:t>
      </w:r>
      <w:r>
        <w:rPr>
          <w:rFonts w:hint="eastAsia"/>
          <w:lang w:val="en-US" w:eastAsia="zh-CN"/>
        </w:rPr>
        <w:t xml:space="preserve"> </w:t>
      </w:r>
      <w:r>
        <w:rPr>
          <w:rFonts w:hint="default"/>
          <w:lang w:val="en-US" w:eastAsia="zh-CN"/>
        </w:rPr>
        <w:t xml:space="preserve"> </w:t>
      </w:r>
      <w:r>
        <w:rPr>
          <w:rFonts w:hint="default"/>
          <w:lang w:val="en-US"/>
        </w:rPr>
        <w:t>主要目标</w:t>
      </w:r>
      <w:bookmarkEnd w:id="33"/>
      <w:bookmarkEnd w:id="34"/>
    </w:p>
    <w:p>
      <w:pPr>
        <w:keepNext w:val="0"/>
        <w:keepLines w:val="0"/>
        <w:pageBreakBefore w:val="0"/>
        <w:widowControl w:val="0"/>
        <w:kinsoku/>
        <w:wordWrap/>
        <w:overflowPunct/>
        <w:topLinePunct w:val="0"/>
        <w:autoSpaceDE/>
        <w:autoSpaceDN/>
        <w:bidi w:val="0"/>
        <w:rPr>
          <w:rFonts w:hint="default"/>
        </w:rPr>
      </w:pPr>
      <w:r>
        <w:rPr>
          <w:rFonts w:hint="eastAsia"/>
        </w:rPr>
        <w:t>总体目标</w:t>
      </w:r>
      <w:r>
        <w:rPr>
          <w:rFonts w:hint="eastAsia"/>
          <w:lang w:eastAsia="zh-CN"/>
        </w:rPr>
        <w:t>。</w:t>
      </w:r>
      <w:r>
        <w:rPr>
          <w:rFonts w:hint="default"/>
        </w:rPr>
        <w:t>以改善环境质量为核心，以荣昌区“无废城市”建设为契机，积极开展工业固体废物源头减量，持续提升工业固体废物资源化利用水平，加快推进工业固体废物回收体系建设和处置能力建设，不断提高工业固体废物管理系统化、科学化、法制化、精细化、信息化水平，到2025年，一般工业固体废物产生强度</w:t>
      </w:r>
      <w:r>
        <w:rPr>
          <w:rFonts w:hint="eastAsia"/>
          <w:lang w:val="en-US" w:eastAsia="zh-CN"/>
        </w:rPr>
        <w:t>稳中有降</w:t>
      </w:r>
      <w:r>
        <w:rPr>
          <w:rFonts w:hint="default"/>
        </w:rPr>
        <w:t>，危险废物环境风险防范能力显著提升，形成完善的“源头减量、过程严管、执法有力、后果严惩、风险可控”的全过程管理体系，“无废城市”建设在工业领域取得初步成效，切实保障荣昌区生态环境安全。</w:t>
      </w:r>
    </w:p>
    <w:p>
      <w:pPr>
        <w:keepNext w:val="0"/>
        <w:keepLines w:val="0"/>
        <w:pageBreakBefore w:val="0"/>
        <w:widowControl w:val="0"/>
        <w:kinsoku/>
        <w:wordWrap/>
        <w:overflowPunct/>
        <w:topLinePunct w:val="0"/>
        <w:autoSpaceDE/>
        <w:autoSpaceDN/>
        <w:bidi w:val="0"/>
        <w:rPr>
          <w:rFonts w:hint="default"/>
        </w:rPr>
      </w:pPr>
      <w:r>
        <w:rPr>
          <w:rFonts w:hint="eastAsia"/>
        </w:rPr>
        <w:t>目标指标</w:t>
      </w:r>
      <w:r>
        <w:rPr>
          <w:rFonts w:hint="eastAsia"/>
          <w:lang w:eastAsia="zh-CN"/>
        </w:rPr>
        <w:t>。</w:t>
      </w:r>
      <w:r>
        <w:rPr>
          <w:rFonts w:hint="default"/>
        </w:rPr>
        <w:t>结合相关工业固体废物污染防治要求及荣昌区实际，确定全区工业固体废物污染防治主要目标如表3</w:t>
      </w:r>
      <w:r>
        <w:rPr>
          <w:rFonts w:hint="eastAsia"/>
          <w:lang w:eastAsia="zh-CN"/>
        </w:rPr>
        <w:t>—</w:t>
      </w:r>
      <w:r>
        <w:rPr>
          <w:rFonts w:hint="default"/>
        </w:rPr>
        <w:t>1所示。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rPr>
          <w:rStyle w:val="21"/>
          <w:rFonts w:hint="default"/>
        </w:rPr>
      </w:pPr>
      <w:r>
        <w:rPr>
          <w:rStyle w:val="21"/>
          <w:rFonts w:hint="default"/>
        </w:rPr>
        <w:t>表3</w:t>
      </w:r>
      <w:r>
        <w:rPr>
          <w:rStyle w:val="21"/>
          <w:rFonts w:hint="eastAsia" w:eastAsia="方正黑体_GBK"/>
          <w:lang w:eastAsia="zh-CN"/>
        </w:rPr>
        <w:t>—</w:t>
      </w:r>
      <w:r>
        <w:rPr>
          <w:rStyle w:val="21"/>
          <w:rFonts w:hint="default"/>
        </w:rPr>
        <w:t>1</w:t>
      </w:r>
      <w:r>
        <w:rPr>
          <w:rStyle w:val="21"/>
          <w:rFonts w:hint="eastAsia" w:eastAsia="方正黑体_GBK"/>
          <w:lang w:val="en-US" w:eastAsia="zh-CN"/>
        </w:rPr>
        <w:t xml:space="preserve"> </w:t>
      </w:r>
      <w:r>
        <w:rPr>
          <w:rStyle w:val="21"/>
          <w:rFonts w:hint="default"/>
        </w:rPr>
        <w:t xml:space="preserve"> 荣昌区工业固体废物污染防治规划目标指标</w:t>
      </w:r>
    </w:p>
    <w:tbl>
      <w:tblPr>
        <w:tblStyle w:val="18"/>
        <w:tblW w:w="4954" w:type="pct"/>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57" w:type="dxa"/>
          <w:bottom w:w="0" w:type="dxa"/>
          <w:right w:w="57" w:type="dxa"/>
        </w:tblCellMar>
      </w:tblPr>
      <w:tblGrid>
        <w:gridCol w:w="657"/>
        <w:gridCol w:w="5341"/>
        <w:gridCol w:w="948"/>
        <w:gridCol w:w="973"/>
        <w:gridCol w:w="957"/>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57" w:type="dxa"/>
            <w:bottom w:w="0" w:type="dxa"/>
            <w:right w:w="57" w:type="dxa"/>
          </w:tblCellMar>
        </w:tblPrEx>
        <w:trPr>
          <w:trHeight w:val="567" w:hRule="atLeast"/>
        </w:trPr>
        <w:tc>
          <w:tcPr>
            <w:tcW w:w="37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黑体_GBK" w:cs="Times New Roman"/>
                <w:spacing w:val="0"/>
                <w:w w:val="100"/>
                <w:kern w:val="0"/>
                <w:sz w:val="24"/>
                <w:szCs w:val="24"/>
              </w:rPr>
            </w:pPr>
            <w:r>
              <w:rPr>
                <w:rFonts w:hint="default" w:ascii="Times New Roman" w:hAnsi="Times New Roman" w:eastAsia="方正黑体_GBK" w:cs="Times New Roman"/>
                <w:spacing w:val="0"/>
                <w:w w:val="100"/>
                <w:kern w:val="0"/>
                <w:sz w:val="24"/>
                <w:szCs w:val="24"/>
              </w:rPr>
              <w:t>序号</w:t>
            </w:r>
          </w:p>
        </w:tc>
        <w:tc>
          <w:tcPr>
            <w:tcW w:w="3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黑体_GBK" w:cs="Times New Roman"/>
                <w:spacing w:val="0"/>
                <w:w w:val="100"/>
                <w:kern w:val="0"/>
                <w:sz w:val="24"/>
                <w:szCs w:val="24"/>
              </w:rPr>
            </w:pPr>
            <w:r>
              <w:rPr>
                <w:rFonts w:hint="default" w:ascii="Times New Roman" w:hAnsi="Times New Roman" w:eastAsia="方正黑体_GBK" w:cs="Times New Roman"/>
                <w:spacing w:val="0"/>
                <w:w w:val="100"/>
                <w:kern w:val="0"/>
                <w:sz w:val="24"/>
                <w:szCs w:val="24"/>
              </w:rPr>
              <w:t>具体指标</w:t>
            </w:r>
          </w:p>
        </w:tc>
        <w:tc>
          <w:tcPr>
            <w:tcW w:w="5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黑体_GBK" w:cs="Times New Roman"/>
                <w:spacing w:val="0"/>
                <w:w w:val="100"/>
                <w:kern w:val="0"/>
                <w:sz w:val="24"/>
                <w:szCs w:val="24"/>
              </w:rPr>
            </w:pPr>
            <w:r>
              <w:rPr>
                <w:rFonts w:hint="default" w:ascii="Times New Roman" w:hAnsi="Times New Roman" w:eastAsia="方正黑体_GBK" w:cs="Times New Roman"/>
                <w:spacing w:val="0"/>
                <w:w w:val="100"/>
                <w:kern w:val="0"/>
                <w:sz w:val="24"/>
                <w:szCs w:val="24"/>
              </w:rPr>
              <w:t>2020年</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黑体_GBK" w:cs="Times New Roman"/>
                <w:spacing w:val="0"/>
                <w:w w:val="100"/>
                <w:kern w:val="0"/>
                <w:sz w:val="24"/>
                <w:szCs w:val="24"/>
              </w:rPr>
            </w:pPr>
            <w:r>
              <w:rPr>
                <w:rFonts w:hint="default" w:ascii="Times New Roman" w:hAnsi="Times New Roman" w:eastAsia="方正黑体_GBK" w:cs="Times New Roman"/>
                <w:spacing w:val="0"/>
                <w:w w:val="100"/>
                <w:kern w:val="0"/>
                <w:sz w:val="24"/>
                <w:szCs w:val="24"/>
              </w:rPr>
              <w:t>现状值</w:t>
            </w:r>
          </w:p>
        </w:tc>
        <w:tc>
          <w:tcPr>
            <w:tcW w:w="5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黑体_GBK" w:cs="Times New Roman"/>
                <w:spacing w:val="0"/>
                <w:w w:val="100"/>
                <w:kern w:val="0"/>
                <w:sz w:val="24"/>
                <w:szCs w:val="24"/>
              </w:rPr>
            </w:pPr>
            <w:r>
              <w:rPr>
                <w:rFonts w:hint="default" w:ascii="Times New Roman" w:hAnsi="Times New Roman" w:eastAsia="方正黑体_GBK" w:cs="Times New Roman"/>
                <w:spacing w:val="0"/>
                <w:w w:val="100"/>
                <w:kern w:val="0"/>
                <w:sz w:val="24"/>
                <w:szCs w:val="24"/>
              </w:rPr>
              <w:t>2025年</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黑体_GBK" w:cs="Times New Roman"/>
                <w:spacing w:val="0"/>
                <w:w w:val="100"/>
                <w:kern w:val="0"/>
                <w:sz w:val="24"/>
                <w:szCs w:val="24"/>
              </w:rPr>
            </w:pPr>
            <w:r>
              <w:rPr>
                <w:rFonts w:hint="default" w:ascii="Times New Roman" w:hAnsi="Times New Roman" w:eastAsia="方正黑体_GBK" w:cs="Times New Roman"/>
                <w:spacing w:val="0"/>
                <w:w w:val="100"/>
                <w:kern w:val="0"/>
                <w:sz w:val="24"/>
                <w:szCs w:val="24"/>
              </w:rPr>
              <w:t>目标值</w:t>
            </w:r>
          </w:p>
        </w:tc>
        <w:tc>
          <w:tcPr>
            <w:tcW w:w="5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黑体_GBK" w:cs="Times New Roman"/>
                <w:spacing w:val="0"/>
                <w:w w:val="100"/>
                <w:kern w:val="0"/>
                <w:sz w:val="24"/>
                <w:szCs w:val="24"/>
              </w:rPr>
            </w:pPr>
            <w:r>
              <w:rPr>
                <w:rFonts w:hint="default" w:ascii="Times New Roman" w:hAnsi="Times New Roman" w:eastAsia="方正黑体_GBK" w:cs="Times New Roman"/>
                <w:spacing w:val="0"/>
                <w:w w:val="100"/>
                <w:kern w:val="0"/>
                <w:sz w:val="24"/>
                <w:szCs w:val="24"/>
              </w:rPr>
              <w:t>类型</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57" w:type="dxa"/>
            <w:bottom w:w="0" w:type="dxa"/>
            <w:right w:w="57" w:type="dxa"/>
          </w:tblCellMar>
        </w:tblPrEx>
        <w:trPr>
          <w:trHeight w:val="567" w:hRule="atLeast"/>
        </w:trPr>
        <w:tc>
          <w:tcPr>
            <w:tcW w:w="37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FF0000"/>
                <w:spacing w:val="0"/>
                <w:w w:val="100"/>
                <w:kern w:val="0"/>
                <w:sz w:val="24"/>
                <w:szCs w:val="24"/>
              </w:rPr>
            </w:pPr>
            <w:r>
              <w:rPr>
                <w:rFonts w:hint="default" w:ascii="Times New Roman" w:hAnsi="Times New Roman" w:cs="Times New Roman"/>
                <w:bCs/>
                <w:color w:val="auto"/>
                <w:spacing w:val="0"/>
                <w:w w:val="100"/>
                <w:kern w:val="0"/>
                <w:sz w:val="24"/>
                <w:szCs w:val="24"/>
              </w:rPr>
              <w:t>1</w:t>
            </w:r>
          </w:p>
        </w:tc>
        <w:tc>
          <w:tcPr>
            <w:tcW w:w="3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方正仿宋_GBK" w:cs="Times New Roman"/>
                <w:b/>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工业危险废物利用处置率（%）</w:t>
            </w:r>
          </w:p>
        </w:tc>
        <w:tc>
          <w:tcPr>
            <w:tcW w:w="5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100</w:t>
            </w:r>
          </w:p>
        </w:tc>
        <w:tc>
          <w:tcPr>
            <w:tcW w:w="5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100</w:t>
            </w:r>
          </w:p>
        </w:tc>
        <w:tc>
          <w:tcPr>
            <w:tcW w:w="5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约束性</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57" w:type="dxa"/>
            <w:bottom w:w="0" w:type="dxa"/>
            <w:right w:w="57" w:type="dxa"/>
          </w:tblCellMar>
        </w:tblPrEx>
        <w:trPr>
          <w:trHeight w:val="567" w:hRule="atLeast"/>
        </w:trPr>
        <w:tc>
          <w:tcPr>
            <w:tcW w:w="37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Cs/>
                <w:spacing w:val="0"/>
                <w:w w:val="100"/>
                <w:kern w:val="0"/>
                <w:sz w:val="24"/>
                <w:szCs w:val="24"/>
              </w:rPr>
            </w:pPr>
            <w:r>
              <w:rPr>
                <w:rFonts w:hint="default" w:ascii="Times New Roman" w:hAnsi="Times New Roman" w:cs="Times New Roman"/>
                <w:bCs/>
                <w:spacing w:val="0"/>
                <w:w w:val="100"/>
                <w:kern w:val="0"/>
                <w:sz w:val="24"/>
                <w:szCs w:val="24"/>
              </w:rPr>
              <w:t>2</w:t>
            </w:r>
          </w:p>
        </w:tc>
        <w:tc>
          <w:tcPr>
            <w:tcW w:w="3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方正仿宋_GBK" w:cs="Times New Roman"/>
                <w:bCs/>
                <w:color w:val="auto"/>
                <w:spacing w:val="0"/>
                <w:w w:val="100"/>
                <w:kern w:val="0"/>
                <w:sz w:val="24"/>
                <w:szCs w:val="24"/>
                <w:lang w:val="en-US" w:eastAsia="zh-CN" w:bidi="ar-SA"/>
              </w:rPr>
            </w:pPr>
            <w:r>
              <w:rPr>
                <w:rFonts w:hint="default" w:ascii="Times New Roman" w:hAnsi="Times New Roman" w:cs="Times New Roman"/>
                <w:bCs/>
                <w:color w:val="auto"/>
                <w:spacing w:val="0"/>
                <w:w w:val="100"/>
                <w:kern w:val="0"/>
                <w:sz w:val="24"/>
                <w:szCs w:val="24"/>
              </w:rPr>
              <w:t>一般工业固体废物综合利用率（%）</w:t>
            </w:r>
          </w:p>
        </w:tc>
        <w:tc>
          <w:tcPr>
            <w:tcW w:w="5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color w:val="auto"/>
                <w:spacing w:val="0"/>
                <w:w w:val="100"/>
                <w:kern w:val="0"/>
                <w:sz w:val="24"/>
                <w:szCs w:val="24"/>
                <w:lang w:val="en-US" w:eastAsia="zh-CN" w:bidi="ar-SA"/>
              </w:rPr>
            </w:pPr>
            <w:r>
              <w:rPr>
                <w:rFonts w:hint="eastAsia" w:cs="Times New Roman"/>
                <w:bCs/>
                <w:color w:val="auto"/>
                <w:spacing w:val="0"/>
                <w:w w:val="100"/>
                <w:kern w:val="0"/>
                <w:sz w:val="24"/>
                <w:szCs w:val="24"/>
                <w:lang w:val="en-US" w:eastAsia="zh-CN"/>
              </w:rPr>
              <w:t>91.22</w:t>
            </w:r>
          </w:p>
        </w:tc>
        <w:tc>
          <w:tcPr>
            <w:tcW w:w="5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color w:val="auto"/>
                <w:spacing w:val="0"/>
                <w:w w:val="100"/>
                <w:kern w:val="0"/>
                <w:sz w:val="24"/>
                <w:szCs w:val="24"/>
                <w:lang w:val="en-US" w:eastAsia="zh-CN" w:bidi="ar-SA"/>
              </w:rPr>
            </w:pPr>
            <w:r>
              <w:rPr>
                <w:rFonts w:hint="default" w:ascii="Arial" w:hAnsi="Arial" w:cs="Arial"/>
                <w:bCs/>
                <w:color w:val="auto"/>
                <w:spacing w:val="0"/>
                <w:w w:val="100"/>
                <w:kern w:val="0"/>
                <w:sz w:val="24"/>
                <w:szCs w:val="24"/>
                <w:lang w:val="en-US" w:eastAsia="zh-CN"/>
              </w:rPr>
              <w:t>≥</w:t>
            </w:r>
            <w:r>
              <w:rPr>
                <w:rFonts w:hint="eastAsia" w:cs="Times New Roman"/>
                <w:bCs/>
                <w:color w:val="auto"/>
                <w:spacing w:val="0"/>
                <w:w w:val="100"/>
                <w:kern w:val="0"/>
                <w:sz w:val="24"/>
                <w:szCs w:val="24"/>
                <w:lang w:val="en-US" w:eastAsia="zh-CN"/>
              </w:rPr>
              <w:t>95</w:t>
            </w:r>
          </w:p>
        </w:tc>
        <w:tc>
          <w:tcPr>
            <w:tcW w:w="5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color w:val="auto"/>
                <w:spacing w:val="0"/>
                <w:w w:val="100"/>
                <w:kern w:val="0"/>
                <w:sz w:val="24"/>
                <w:szCs w:val="24"/>
                <w:lang w:val="en-US" w:eastAsia="zh-CN" w:bidi="ar-SA"/>
              </w:rPr>
            </w:pPr>
            <w:r>
              <w:rPr>
                <w:rFonts w:hint="default" w:ascii="Times New Roman" w:hAnsi="Times New Roman" w:cs="Times New Roman"/>
                <w:bCs/>
                <w:color w:val="auto"/>
                <w:spacing w:val="0"/>
                <w:w w:val="100"/>
                <w:kern w:val="0"/>
                <w:sz w:val="24"/>
                <w:szCs w:val="24"/>
              </w:rPr>
              <w:t>约束性</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57" w:type="dxa"/>
            <w:bottom w:w="0" w:type="dxa"/>
            <w:right w:w="57" w:type="dxa"/>
          </w:tblCellMar>
        </w:tblPrEx>
        <w:trPr>
          <w:trHeight w:val="567" w:hRule="atLeast"/>
        </w:trPr>
        <w:tc>
          <w:tcPr>
            <w:tcW w:w="37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Cs/>
                <w:spacing w:val="0"/>
                <w:w w:val="100"/>
                <w:kern w:val="0"/>
                <w:sz w:val="24"/>
                <w:szCs w:val="24"/>
              </w:rPr>
            </w:pPr>
            <w:r>
              <w:rPr>
                <w:rFonts w:hint="default" w:ascii="Times New Roman" w:hAnsi="Times New Roman" w:cs="Times New Roman"/>
                <w:bCs/>
                <w:spacing w:val="0"/>
                <w:w w:val="100"/>
                <w:kern w:val="0"/>
                <w:sz w:val="24"/>
                <w:szCs w:val="24"/>
              </w:rPr>
              <w:t>3</w:t>
            </w:r>
          </w:p>
        </w:tc>
        <w:tc>
          <w:tcPr>
            <w:tcW w:w="3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spacing w:val="0"/>
                <w:w w:val="100"/>
                <w:kern w:val="0"/>
                <w:sz w:val="24"/>
                <w:szCs w:val="24"/>
              </w:rPr>
              <w:t>危险废物产生企业规范化管理抽查合格率（%）</w:t>
            </w:r>
          </w:p>
        </w:tc>
        <w:tc>
          <w:tcPr>
            <w:tcW w:w="5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93.6</w:t>
            </w:r>
          </w:p>
        </w:tc>
        <w:tc>
          <w:tcPr>
            <w:tcW w:w="5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95</w:t>
            </w:r>
          </w:p>
        </w:tc>
        <w:tc>
          <w:tcPr>
            <w:tcW w:w="5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约束性</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57" w:type="dxa"/>
            <w:bottom w:w="0" w:type="dxa"/>
            <w:right w:w="57" w:type="dxa"/>
          </w:tblCellMar>
        </w:tblPrEx>
        <w:trPr>
          <w:trHeight w:val="550" w:hRule="atLeast"/>
        </w:trPr>
        <w:tc>
          <w:tcPr>
            <w:tcW w:w="37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Cs/>
                <w:spacing w:val="0"/>
                <w:w w:val="100"/>
                <w:kern w:val="0"/>
                <w:sz w:val="24"/>
                <w:szCs w:val="24"/>
              </w:rPr>
            </w:pPr>
            <w:r>
              <w:rPr>
                <w:rFonts w:hint="default" w:ascii="Times New Roman" w:hAnsi="Times New Roman" w:cs="Times New Roman"/>
                <w:bCs/>
                <w:spacing w:val="0"/>
                <w:w w:val="100"/>
                <w:kern w:val="0"/>
                <w:sz w:val="24"/>
                <w:szCs w:val="24"/>
              </w:rPr>
              <w:t>4</w:t>
            </w:r>
          </w:p>
        </w:tc>
        <w:tc>
          <w:tcPr>
            <w:tcW w:w="3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spacing w:val="0"/>
                <w:w w:val="100"/>
                <w:kern w:val="0"/>
                <w:sz w:val="24"/>
                <w:szCs w:val="24"/>
              </w:rPr>
              <w:t>危险废物经营企业规范化管理抽查合格率（%）</w:t>
            </w:r>
          </w:p>
        </w:tc>
        <w:tc>
          <w:tcPr>
            <w:tcW w:w="5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100</w:t>
            </w:r>
          </w:p>
        </w:tc>
        <w:tc>
          <w:tcPr>
            <w:tcW w:w="5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100</w:t>
            </w:r>
          </w:p>
        </w:tc>
        <w:tc>
          <w:tcPr>
            <w:tcW w:w="5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方正仿宋_GBK" w:cs="Times New Roman"/>
                <w:bCs/>
                <w:spacing w:val="0"/>
                <w:w w:val="100"/>
                <w:kern w:val="0"/>
                <w:sz w:val="24"/>
                <w:szCs w:val="24"/>
                <w:lang w:val="en-US" w:eastAsia="zh-CN" w:bidi="ar-SA"/>
              </w:rPr>
            </w:pPr>
            <w:r>
              <w:rPr>
                <w:rFonts w:hint="default" w:ascii="Times New Roman" w:hAnsi="Times New Roman" w:cs="Times New Roman"/>
                <w:bCs/>
                <w:spacing w:val="0"/>
                <w:w w:val="100"/>
                <w:kern w:val="0"/>
                <w:sz w:val="24"/>
                <w:szCs w:val="24"/>
              </w:rPr>
              <w:t>约束性</w:t>
            </w:r>
          </w:p>
        </w:tc>
      </w:tr>
    </w:tbl>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方正仿宋_GBK" w:cs="方正仿宋_GBK"/>
          <w:color w:val="000000"/>
          <w:spacing w:val="0"/>
          <w:w w:val="100"/>
          <w:kern w:val="0"/>
          <w:szCs w:val="32"/>
          <w:shd w:val="clear" w:color="auto" w:fill="FFFFFF"/>
          <w:lang w:bidi="ar"/>
        </w:rPr>
      </w:pPr>
      <w:r>
        <w:rPr>
          <w:rFonts w:hint="eastAsia" w:ascii="宋体" w:hAnsi="宋体" w:eastAsia="方正仿宋_GBK" w:cs="方正仿宋_GBK"/>
          <w:color w:val="000000"/>
          <w:spacing w:val="0"/>
          <w:w w:val="100"/>
          <w:kern w:val="0"/>
          <w:szCs w:val="32"/>
          <w:shd w:val="clear" w:color="auto" w:fill="FFFFFF"/>
          <w:lang w:bidi="ar"/>
        </w:rPr>
        <w:br w:type="page"/>
      </w:r>
      <w:bookmarkStart w:id="35" w:name="_Toc20901"/>
      <w:bookmarkStart w:id="36" w:name="_Toc14347"/>
    </w:p>
    <w:p>
      <w:pPr>
        <w:keepNext w:val="0"/>
        <w:keepLines w:val="0"/>
        <w:pageBreakBefore w:val="0"/>
        <w:widowControl w:val="0"/>
        <w:kinsoku/>
        <w:wordWrap/>
        <w:overflowPunct/>
        <w:topLinePunct w:val="0"/>
        <w:autoSpaceDE/>
        <w:autoSpaceDN/>
        <w:bidi w:val="0"/>
        <w:rPr>
          <w:rFonts w:hint="eastAsia" w:ascii="宋体" w:hAnsi="宋体" w:eastAsia="方正仿宋_GBK" w:cs="方正仿宋_GBK"/>
          <w:color w:val="000000"/>
          <w:spacing w:val="0"/>
          <w:w w:val="100"/>
          <w:kern w:val="0"/>
          <w:szCs w:val="32"/>
          <w:shd w:val="clear" w:color="auto" w:fill="FFFFFF"/>
          <w:lang w:bidi="ar"/>
        </w:rPr>
      </w:pPr>
    </w:p>
    <w:p>
      <w:pPr>
        <w:pStyle w:val="25"/>
        <w:keepNext w:val="0"/>
        <w:keepLines w:val="0"/>
        <w:pageBreakBefore w:val="0"/>
        <w:widowControl w:val="0"/>
        <w:kinsoku/>
        <w:wordWrap/>
        <w:overflowPunct/>
        <w:topLinePunct w:val="0"/>
        <w:autoSpaceDE/>
        <w:autoSpaceDN/>
        <w:bidi w:val="0"/>
        <w:adjustRightInd/>
        <w:snapToGrid w:val="0"/>
        <w:spacing w:before="0" w:after="0"/>
        <w:textAlignment w:val="auto"/>
        <w:rPr>
          <w:rFonts w:hint="default"/>
          <w:lang w:val="en-US" w:eastAsia="zh-CN"/>
        </w:rPr>
      </w:pPr>
      <w:r>
        <w:rPr>
          <w:rFonts w:hint="default"/>
          <w:lang w:val="en-US" w:eastAsia="zh-CN"/>
        </w:rPr>
        <w:t>第三章</w:t>
      </w:r>
      <w:r>
        <w:rPr>
          <w:rFonts w:hint="eastAsia"/>
          <w:lang w:val="en-US" w:eastAsia="zh-CN"/>
        </w:rPr>
        <w:t xml:space="preserve"> </w:t>
      </w:r>
      <w:r>
        <w:rPr>
          <w:rFonts w:hint="default"/>
          <w:lang w:val="en-US" w:eastAsia="zh-CN"/>
        </w:rPr>
        <w:t xml:space="preserve"> 主要任务</w:t>
      </w:r>
      <w:bookmarkEnd w:id="35"/>
      <w:bookmarkEnd w:id="36"/>
    </w:p>
    <w:p>
      <w:pPr>
        <w:pStyle w:val="26"/>
        <w:bidi w:val="0"/>
        <w:rPr>
          <w:rFonts w:hint="default"/>
          <w:lang w:val="en-US" w:eastAsia="zh-CN"/>
        </w:rPr>
      </w:pPr>
      <w:bookmarkStart w:id="37" w:name="_Toc6835"/>
      <w:bookmarkStart w:id="38" w:name="_Toc4340"/>
      <w:r>
        <w:rPr>
          <w:rFonts w:hint="default"/>
          <w:lang w:val="en-US" w:eastAsia="zh-CN"/>
        </w:rPr>
        <w:t>第一节</w:t>
      </w:r>
      <w:r>
        <w:rPr>
          <w:rFonts w:hint="eastAsia"/>
          <w:lang w:val="en-US" w:eastAsia="zh-CN"/>
        </w:rPr>
        <w:t xml:space="preserve"> </w:t>
      </w:r>
      <w:r>
        <w:rPr>
          <w:rFonts w:hint="default"/>
          <w:lang w:val="en-US" w:eastAsia="zh-CN"/>
        </w:rPr>
        <w:t xml:space="preserve"> 强化工业固体废物源头管控</w:t>
      </w:r>
      <w:bookmarkEnd w:id="37"/>
      <w:bookmarkEnd w:id="38"/>
    </w:p>
    <w:p>
      <w:pPr>
        <w:keepNext w:val="0"/>
        <w:keepLines w:val="0"/>
        <w:pageBreakBefore w:val="0"/>
        <w:widowControl w:val="0"/>
        <w:kinsoku/>
        <w:wordWrap/>
        <w:overflowPunct/>
        <w:topLinePunct w:val="0"/>
        <w:autoSpaceDE/>
        <w:autoSpaceDN/>
        <w:bidi w:val="0"/>
        <w:rPr>
          <w:rFonts w:hint="default"/>
        </w:rPr>
      </w:pPr>
      <w:r>
        <w:rPr>
          <w:rFonts w:hint="eastAsia"/>
          <w:lang w:val="en-US" w:eastAsia="zh-CN"/>
        </w:rPr>
        <w:t>严格</w:t>
      </w:r>
      <w:r>
        <w:rPr>
          <w:rFonts w:hint="eastAsia"/>
        </w:rPr>
        <w:t>环境准入管理</w:t>
      </w:r>
      <w:r>
        <w:rPr>
          <w:rFonts w:hint="eastAsia"/>
          <w:lang w:eastAsia="zh-CN"/>
        </w:rPr>
        <w:t>，</w:t>
      </w:r>
      <w:r>
        <w:rPr>
          <w:rFonts w:hint="eastAsia"/>
        </w:rPr>
        <w:t>推动工业绿色低碳发展。</w:t>
      </w:r>
      <w:r>
        <w:rPr>
          <w:rFonts w:hint="default"/>
        </w:rPr>
        <w:t>落实生态保护红线、环境质量底线、资源利用上线硬约束，实施生态环境分区管控。严格执行长江经济带负面清单、环境保护综合名录、重庆市产业准入投资准入、重庆市工业项目环境准入规定（修订）、重庆市国家重点生态功能区产业准入负面清单（试行）等规定，优化荣昌生态环境保护准入“负面清单”，建立高新区入园项目绿色准入评估机制，严控高污染、高环境风险项目和过剩产能项目。优化工业园区空间布局，以供给侧结构性改革为抓手，实现企业、园区、行业间链接共生、原料互供、资源共享，培育现代产业集群，把制造业高质量发展放到更加突出位置，加大高新区绿色发展的指标权重，以食品产业、医药产业、陶瓷产业、服饰产业四大支柱产业，智能装备产业、电子信息产业、新材料产业三大主导产业为重点，推动制造业向智能化、绿色化和</w:t>
      </w:r>
      <w:r>
        <w:rPr>
          <w:rFonts w:hint="eastAsia"/>
          <w:lang w:val="en-US" w:eastAsia="zh-CN"/>
        </w:rPr>
        <w:t>低碳</w:t>
      </w:r>
      <w:r>
        <w:rPr>
          <w:rFonts w:hint="default"/>
        </w:rPr>
        <w:t>化发展</w:t>
      </w:r>
      <w:r>
        <w:rPr>
          <w:rFonts w:hint="eastAsia"/>
          <w:lang w:eastAsia="zh-CN"/>
        </w:rPr>
        <w:t>。</w:t>
      </w:r>
    </w:p>
    <w:p>
      <w:pPr>
        <w:keepNext w:val="0"/>
        <w:keepLines w:val="0"/>
        <w:pageBreakBefore w:val="0"/>
        <w:widowControl w:val="0"/>
        <w:kinsoku/>
        <w:wordWrap/>
        <w:overflowPunct/>
        <w:topLinePunct w:val="0"/>
        <w:autoSpaceDE/>
        <w:autoSpaceDN/>
        <w:bidi w:val="0"/>
        <w:rPr>
          <w:rFonts w:hint="default"/>
        </w:rPr>
      </w:pPr>
      <w:r>
        <w:rPr>
          <w:rFonts w:hint="eastAsia"/>
        </w:rPr>
        <w:t>加快淘汰落后产能</w:t>
      </w:r>
      <w:r>
        <w:rPr>
          <w:rFonts w:hint="eastAsia"/>
          <w:lang w:eastAsia="zh-CN"/>
        </w:rPr>
        <w:t>，</w:t>
      </w:r>
      <w:r>
        <w:rPr>
          <w:rFonts w:hint="eastAsia"/>
        </w:rPr>
        <w:t>推动产业结构调整。</w:t>
      </w:r>
      <w:r>
        <w:rPr>
          <w:rFonts w:hint="default"/>
        </w:rPr>
        <w:t>依法</w:t>
      </w:r>
      <w:r>
        <w:rPr>
          <w:rFonts w:hint="eastAsia"/>
          <w:lang w:val="en-US" w:eastAsia="zh-CN"/>
        </w:rPr>
        <w:t>淘汰</w:t>
      </w:r>
      <w:r>
        <w:rPr>
          <w:rFonts w:hint="default"/>
        </w:rPr>
        <w:t>落后产能</w:t>
      </w:r>
      <w:r>
        <w:rPr>
          <w:rFonts w:hint="eastAsia"/>
          <w:lang w:eastAsia="zh-CN"/>
        </w:rPr>
        <w:t>，</w:t>
      </w:r>
      <w:r>
        <w:rPr>
          <w:rFonts w:hint="eastAsia"/>
          <w:lang w:val="en-US" w:eastAsia="zh-CN"/>
        </w:rPr>
        <w:t>严格执行</w:t>
      </w:r>
      <w:r>
        <w:rPr>
          <w:rFonts w:hint="default"/>
        </w:rPr>
        <w:t>利用综合标准</w:t>
      </w:r>
      <w:r>
        <w:rPr>
          <w:rFonts w:hint="eastAsia"/>
          <w:lang w:val="en-US" w:eastAsia="zh-CN"/>
        </w:rPr>
        <w:t>和</w:t>
      </w:r>
      <w:r>
        <w:rPr>
          <w:rFonts w:hint="default"/>
        </w:rPr>
        <w:t>实施强制性标准</w:t>
      </w:r>
      <w:r>
        <w:rPr>
          <w:rFonts w:hint="eastAsia"/>
          <w:lang w:eastAsia="zh-CN"/>
        </w:rPr>
        <w:t>，</w:t>
      </w:r>
      <w:r>
        <w:rPr>
          <w:rFonts w:hint="eastAsia"/>
          <w:lang w:val="en-US" w:eastAsia="zh-CN"/>
        </w:rPr>
        <w:t>加大固废监管执法力度，防止淘汰的落后产能死灰复燃。</w:t>
      </w:r>
      <w:r>
        <w:rPr>
          <w:rFonts w:hint="default"/>
        </w:rPr>
        <w:t>严格落实《限期淘汰产生严重污染环境的工业固体废物的落后生产工艺设备名录》等文件要求，以荣昌区工业园区、濑溪河和清流河流域等为重点区域，对违反工业固体废物管理法律法规的企业责令采取限制生产、停产整治等措施；情节严重的，报经有批准权的人民政府依法关停退出。成立专项执法检查组，分片区轮换开展“淘汰落后产能”专项执法检查。</w:t>
      </w:r>
    </w:p>
    <w:p>
      <w:pPr>
        <w:keepNext w:val="0"/>
        <w:keepLines w:val="0"/>
        <w:pageBreakBefore w:val="0"/>
        <w:widowControl w:val="0"/>
        <w:kinsoku/>
        <w:wordWrap/>
        <w:overflowPunct/>
        <w:topLinePunct w:val="0"/>
        <w:autoSpaceDE/>
        <w:autoSpaceDN/>
        <w:bidi w:val="0"/>
        <w:rPr>
          <w:rFonts w:hint="eastAsia"/>
        </w:rPr>
      </w:pPr>
      <w:r>
        <w:rPr>
          <w:rFonts w:hint="eastAsia"/>
        </w:rPr>
        <w:t>强化环境影响评价审批</w:t>
      </w:r>
      <w:r>
        <w:rPr>
          <w:rFonts w:hint="eastAsia"/>
          <w:lang w:eastAsia="zh-CN"/>
        </w:rPr>
        <w:t>，</w:t>
      </w:r>
      <w:r>
        <w:rPr>
          <w:rFonts w:hint="eastAsia"/>
        </w:rPr>
        <w:t>严格固废排污许可管理。</w:t>
      </w:r>
      <w:r>
        <w:rPr>
          <w:rFonts w:hint="default"/>
        </w:rPr>
        <w:t>深化“放管服”改革，完善重大项目环评审批提前对接跟踪服务机制，探索“网上办”“掌上办”政务服务。严格执行环境影响评价审批，对国家和重庆市明令禁止的过剩产能项目，不予审批环境影响评价文件。新建项目严格执行《建设项目危险废物环境影响评价指南》及《危险废物处置工程技术导则》。严格工业固体废物污染防治设施“三同时”</w:t>
      </w:r>
      <w:r>
        <w:rPr>
          <w:rFonts w:hint="eastAsia"/>
          <w:lang w:val="en-US" w:eastAsia="zh-CN"/>
        </w:rPr>
        <w:t>管理</w:t>
      </w:r>
      <w:r>
        <w:rPr>
          <w:rFonts w:hint="default"/>
        </w:rPr>
        <w:t>，从严</w:t>
      </w:r>
      <w:r>
        <w:rPr>
          <w:rFonts w:hint="eastAsia"/>
          <w:lang w:val="en-US" w:eastAsia="zh-CN"/>
        </w:rPr>
        <w:t>审查</w:t>
      </w:r>
      <w:r>
        <w:rPr>
          <w:rFonts w:hint="default"/>
        </w:rPr>
        <w:t>新建项目的工业固体废物类别、数量和处置</w:t>
      </w:r>
      <w:r>
        <w:rPr>
          <w:rFonts w:hint="eastAsia"/>
          <w:lang w:val="en-US" w:eastAsia="zh-CN"/>
        </w:rPr>
        <w:t>利用措施</w:t>
      </w:r>
      <w:r>
        <w:rPr>
          <w:rFonts w:hint="default"/>
        </w:rPr>
        <w:t>。严格</w:t>
      </w:r>
      <w:r>
        <w:rPr>
          <w:rFonts w:hint="eastAsia"/>
          <w:lang w:val="en-US" w:eastAsia="zh-CN"/>
        </w:rPr>
        <w:t>执行固体废物排污许可证制度，</w:t>
      </w:r>
      <w:r>
        <w:rPr>
          <w:rFonts w:hint="default"/>
        </w:rPr>
        <w:t>严格落实《关于开展工业固体废物排污许可管理工作的通知》《排污许可证申请与核发技术规范》相关要求，督促</w:t>
      </w:r>
      <w:r>
        <w:rPr>
          <w:rFonts w:hint="eastAsia"/>
          <w:lang w:val="en-US" w:eastAsia="zh-CN"/>
        </w:rPr>
        <w:t>产废企业</w:t>
      </w:r>
      <w:r>
        <w:rPr>
          <w:rFonts w:hint="default"/>
        </w:rPr>
        <w:t>和危险废物治理单位及时在全国排污许可证管理信息平台申报系统填报相应信息表，</w:t>
      </w:r>
      <w:r>
        <w:rPr>
          <w:rFonts w:hint="eastAsia"/>
          <w:lang w:val="en-US" w:eastAsia="zh-CN"/>
        </w:rPr>
        <w:t>根据</w:t>
      </w:r>
      <w:r>
        <w:rPr>
          <w:rFonts w:hint="eastAsia"/>
        </w:rPr>
        <w:t>污染物产生量、排放量、对环境的影响程度等因素，实行排污许可重点管理、简化管理和登记管理。</w:t>
      </w:r>
      <w:r>
        <w:rPr>
          <w:rFonts w:hint="default"/>
        </w:rPr>
        <w:t>加强排污许可证审核把关，对不符合法定条件的产废单位，依法不予核发排污许可证</w:t>
      </w:r>
      <w:r>
        <w:rPr>
          <w:rFonts w:hint="eastAsia"/>
          <w:lang w:eastAsia="zh-CN"/>
        </w:rPr>
        <w:t>。</w:t>
      </w:r>
      <w:r>
        <w:rPr>
          <w:rFonts w:hint="eastAsia"/>
        </w:rPr>
        <w:t>推动固定污染源实现多环境要素的排污许可“一证式”管理</w:t>
      </w:r>
      <w:r>
        <w:rPr>
          <w:rFonts w:hint="eastAsia"/>
          <w:lang w:eastAsia="zh-CN"/>
        </w:rPr>
        <w:t>，</w:t>
      </w:r>
      <w:r>
        <w:rPr>
          <w:rFonts w:hint="default"/>
        </w:rPr>
        <w:t>推动企业在排污许可和固体废物相关业务办理中实现“单点登录、一网通办”。</w:t>
      </w:r>
      <w:r>
        <w:rPr>
          <w:rFonts w:hint="eastAsia"/>
        </w:rPr>
        <w:t>取得排污许可证的单位必须严格按照排污许可证核定的污染物种类、控制指标以及规定的方式排放污染物。</w:t>
      </w:r>
    </w:p>
    <w:p>
      <w:pPr>
        <w:keepNext w:val="0"/>
        <w:keepLines w:val="0"/>
        <w:pageBreakBefore w:val="0"/>
        <w:widowControl w:val="0"/>
        <w:kinsoku/>
        <w:wordWrap/>
        <w:overflowPunct/>
        <w:topLinePunct w:val="0"/>
        <w:autoSpaceDE/>
        <w:autoSpaceDN/>
        <w:bidi w:val="0"/>
        <w:rPr>
          <w:rFonts w:hint="default"/>
        </w:rPr>
      </w:pPr>
      <w:r>
        <w:rPr>
          <w:rFonts w:hint="eastAsia"/>
        </w:rPr>
        <w:t>提高清洁生产工艺水平</w:t>
      </w:r>
      <w:r>
        <w:rPr>
          <w:rFonts w:hint="eastAsia"/>
          <w:lang w:eastAsia="zh-CN"/>
        </w:rPr>
        <w:t>，</w:t>
      </w:r>
      <w:r>
        <w:rPr>
          <w:rFonts w:hint="eastAsia"/>
          <w:lang w:val="en-US" w:eastAsia="zh-CN"/>
        </w:rPr>
        <w:t>实施</w:t>
      </w:r>
      <w:r>
        <w:rPr>
          <w:rFonts w:hint="eastAsia"/>
        </w:rPr>
        <w:t>清洁生产审核。</w:t>
      </w:r>
      <w:r>
        <w:rPr>
          <w:rFonts w:hint="default"/>
        </w:rPr>
        <w:t>大力推广减少工业固体废物产生量和降低工业固体废物危害性的生产工艺和设备，促进从源头上减少工业固体废物产生量、降低危害性。引导企业开发应用有利于减少工业固体废物产生量的生产工艺，开展工业固体废物减量化工艺改造，支持电子电路产业园、陶瓷组团等结合电镀、重金属、陶瓷等行业特点，推动重点企业实现结构低碳化、制造过程清洁化、资源利用高效化，力争建设一批清洁生产示范工程。探索绿色设计和绿色供应链建设，促进工业固体废物减量和循环利用。支持矿山开采企业采取科学的开采方法和选矿工艺，从源头减少尾矿产生。持续开展清洁生产审核工作，将清洁生产与节能降耗、</w:t>
      </w:r>
      <w:r>
        <w:rPr>
          <w:rFonts w:hint="eastAsia"/>
          <w:lang w:val="en-US" w:eastAsia="zh-CN"/>
        </w:rPr>
        <w:t>碳排放控制、</w:t>
      </w:r>
      <w:r>
        <w:rPr>
          <w:rFonts w:hint="default"/>
        </w:rPr>
        <w:t>污染防治工作相结合，强化清洁生产审核在重点行业节能</w:t>
      </w:r>
      <w:r>
        <w:rPr>
          <w:rFonts w:hint="eastAsia"/>
          <w:lang w:val="en-US" w:eastAsia="zh-CN"/>
        </w:rPr>
        <w:t>减排</w:t>
      </w:r>
      <w:r>
        <w:rPr>
          <w:rFonts w:hint="default"/>
        </w:rPr>
        <w:t>和产业升级改造中的支撑作用。依法督促重庆聚特新材料有限公司2022年按时完成强制性清洁生产审核评估验收工作。推进实施华森制药自愿性清洁化诊断项目。按照“早介入、早沟通、早反馈”的原则，生态环境部门对企业开展清洁生产工作进行服务引导，主动跟进企业清洁生产审核工作开展情况。全面推进企业清洁生产评估帮扶工作，引导企业加快创建绿色工厂。</w:t>
      </w:r>
    </w:p>
    <w:p>
      <w:pPr>
        <w:keepNext w:val="0"/>
        <w:keepLines w:val="0"/>
        <w:pageBreakBefore w:val="0"/>
        <w:widowControl w:val="0"/>
        <w:kinsoku/>
        <w:wordWrap/>
        <w:overflowPunct/>
        <w:topLinePunct w:val="0"/>
        <w:autoSpaceDE/>
        <w:autoSpaceDN/>
        <w:bidi w:val="0"/>
        <w:rPr>
          <w:rFonts w:hint="default"/>
        </w:rPr>
      </w:pPr>
      <w:r>
        <w:rPr>
          <w:rFonts w:hint="eastAsia"/>
        </w:rPr>
        <w:t>推动工业绿色化改造</w:t>
      </w:r>
      <w:r>
        <w:rPr>
          <w:rFonts w:hint="eastAsia"/>
          <w:lang w:eastAsia="zh-CN"/>
        </w:rPr>
        <w:t>，</w:t>
      </w:r>
      <w:r>
        <w:rPr>
          <w:rFonts w:hint="eastAsia"/>
        </w:rPr>
        <w:t>开展绿色生态园区建设。</w:t>
      </w:r>
      <w:r>
        <w:rPr>
          <w:rFonts w:hint="default"/>
        </w:rPr>
        <w:t>对照碳达峰、碳中和要求，加大节能环保技术和装备的推广应用力度，统筹推进节能降耗、清洁生产、资源综合利用，大力发展循环经济，积极构建绿色制造体系，开展绿色工厂建设。积极引导</w:t>
      </w:r>
      <w:r>
        <w:rPr>
          <w:rFonts w:hint="eastAsia"/>
          <w:lang w:val="en-US" w:eastAsia="zh-CN"/>
        </w:rPr>
        <w:t>过剩</w:t>
      </w:r>
      <w:r>
        <w:rPr>
          <w:rFonts w:hint="default"/>
        </w:rPr>
        <w:t>产能市场主体</w:t>
      </w:r>
      <w:r>
        <w:rPr>
          <w:rFonts w:hint="eastAsia"/>
          <w:lang w:val="en-US" w:eastAsia="zh-CN"/>
        </w:rPr>
        <w:t>转产</w:t>
      </w:r>
      <w:r>
        <w:rPr>
          <w:rFonts w:hint="default"/>
        </w:rPr>
        <w:t>转型升级，</w:t>
      </w:r>
      <w:r>
        <w:rPr>
          <w:rFonts w:hint="eastAsia"/>
          <w:lang w:val="en-US" w:eastAsia="zh-CN"/>
        </w:rPr>
        <w:t>实施技术改造、技术创新、清洁生产</w:t>
      </w:r>
      <w:r>
        <w:rPr>
          <w:rFonts w:hint="default"/>
        </w:rPr>
        <w:t>。积极推动传统支柱产业绿色转型升级，重点支持节能低碳化改造、清洁化改造、资源循环再生利用等绿色改造项目，以重庆蓝洁广顺净水材料有限责任公司等产废量较大的企业为重点，开展工业固体废物减量化工艺改造、场内综合利用处置，减少工业固体废物产生量和转移量。以印刷和记录媒介复制业、电力、热力生产和供应业等行业为重点实施绿色化改造，不断优化工艺流程、改进技术装备，降低大宗工业固体废物产生强度，到2025年，全区大宗工业固体废物利用率进一步提高。重点突破利用一般工业固体废物（主要是陶瓷工业固体废物）生产节能建筑材料的关键技术。积极引育第三方绿色制造服务商，为广大中小企业提供专业化服务。健全绿色制造体系，提升能源资源利用效率，降低污染物和碳排放强度。稳步推进园区布局集约化、结构绿色化、链接生态化，提升园区绿色化水平，到2025年，建成绿色园区1个。在支柱行业中选择一些代表性强、行业影响力大、经营实力雄厚、管理水平高的龙头企业，引导企业实施绿色供应链战略管理，推动上下游企业共同提升资源利用效率，改善环境绩效，打造一批绿色供应链管理企业。</w:t>
      </w:r>
    </w:p>
    <w:p>
      <w:pPr>
        <w:pStyle w:val="26"/>
        <w:bidi w:val="0"/>
        <w:rPr>
          <w:rFonts w:hint="default"/>
          <w:lang w:val="en-US" w:eastAsia="zh-CN"/>
        </w:rPr>
      </w:pPr>
      <w:bookmarkStart w:id="39" w:name="_Toc16839"/>
      <w:bookmarkStart w:id="40" w:name="_Toc18326"/>
      <w:r>
        <w:rPr>
          <w:rFonts w:hint="default"/>
          <w:lang w:val="en-US" w:eastAsia="zh-CN"/>
        </w:rPr>
        <w:t>第二节</w:t>
      </w:r>
      <w:r>
        <w:rPr>
          <w:rFonts w:hint="eastAsia"/>
          <w:lang w:val="en-US" w:eastAsia="zh-CN"/>
        </w:rPr>
        <w:t xml:space="preserve"> </w:t>
      </w:r>
      <w:r>
        <w:rPr>
          <w:rFonts w:hint="default"/>
          <w:lang w:val="en-US" w:eastAsia="zh-CN"/>
        </w:rPr>
        <w:t xml:space="preserve"> 完善工业固体废物收运体系</w:t>
      </w:r>
      <w:bookmarkEnd w:id="39"/>
      <w:bookmarkEnd w:id="40"/>
    </w:p>
    <w:p>
      <w:pPr>
        <w:keepNext w:val="0"/>
        <w:keepLines w:val="0"/>
        <w:pageBreakBefore w:val="0"/>
        <w:widowControl w:val="0"/>
        <w:kinsoku/>
        <w:wordWrap/>
        <w:overflowPunct/>
        <w:topLinePunct w:val="0"/>
        <w:autoSpaceDE/>
        <w:autoSpaceDN/>
        <w:bidi w:val="0"/>
        <w:rPr>
          <w:rFonts w:hint="default"/>
        </w:rPr>
      </w:pPr>
      <w:r>
        <w:rPr>
          <w:rFonts w:hint="eastAsia"/>
        </w:rPr>
        <w:t>探索一般工业固体废物收运体系建设。</w:t>
      </w:r>
      <w:r>
        <w:rPr>
          <w:rFonts w:hint="default"/>
        </w:rPr>
        <w:t>落实《一般固体废物分类与代码》，分行业指导企业按固体废物特性和类别收集一般工业固体废物，实行分类投放、分类收集、分类贮存、分类交接、分类转运。禁止向生活垃圾收集设施中投入工业固体废物。</w:t>
      </w:r>
      <w:r>
        <w:t>针对低价值、无价值一般工业固体废物， 探索建立一般工业固体废物规范化收运处置体系。</w:t>
      </w:r>
      <w:r>
        <w:rPr>
          <w:rFonts w:hint="default"/>
        </w:rPr>
        <w:t>结合</w:t>
      </w:r>
      <w:r>
        <w:rPr>
          <w:rFonts w:hint="eastAsia"/>
          <w:lang w:val="en-US" w:eastAsia="zh-CN"/>
        </w:rPr>
        <w:t>荣昌区</w:t>
      </w:r>
      <w:r>
        <w:rPr>
          <w:rFonts w:hint="default"/>
        </w:rPr>
        <w:t>“无废城市”建设，摸清辖区内一般工业固体废物产生种类、数量，明确收运实施单位，建立重点企业工业固体废物管理清单。依据辖区内一般工业固体废物产生和利用处置情况，完善一般工业固体废物专业回收站点</w:t>
      </w:r>
      <w:r>
        <w:rPr>
          <w:rFonts w:hint="eastAsia"/>
          <w:lang w:eastAsia="zh-CN"/>
        </w:rPr>
        <w:t>。</w:t>
      </w:r>
      <w:r>
        <w:rPr>
          <w:rFonts w:hint="default"/>
        </w:rPr>
        <w:t>按照“企业主体、属地负责、第三方服务公司经营、部门监管”的</w:t>
      </w:r>
      <w:r>
        <w:rPr>
          <w:rFonts w:hint="eastAsia"/>
          <w:lang w:val="en-US" w:eastAsia="zh-CN"/>
        </w:rPr>
        <w:t>方</w:t>
      </w:r>
      <w:r>
        <w:rPr>
          <w:rFonts w:hint="default"/>
        </w:rPr>
        <w:t>式，推进一般工业固体废物分类收运体系建设</w:t>
      </w:r>
      <w:r>
        <w:rPr>
          <w:rFonts w:hint="eastAsia"/>
          <w:lang w:eastAsia="zh-CN"/>
        </w:rPr>
        <w:t>，</w:t>
      </w:r>
      <w:r>
        <w:rPr>
          <w:rFonts w:hint="default"/>
        </w:rPr>
        <w:t>积极发挥第三方专业机构的服务作用，以乡镇（街道）、工业园区、产业集聚区为管控单元，培育专业队伍，全面做好工业固体废物的分类、分拣等工作</w:t>
      </w:r>
      <w:r>
        <w:rPr>
          <w:rFonts w:hint="eastAsia"/>
          <w:lang w:eastAsia="zh-CN"/>
        </w:rPr>
        <w:t>，</w:t>
      </w:r>
      <w:r>
        <w:rPr>
          <w:rFonts w:hint="default"/>
        </w:rPr>
        <w:t>探索建立“精准化源头分类、专业化二次分拣、智能化高效清运、最大化资源利用、集中化统一处置”的一般工业固体废物收运模式。到2025年，力争小微</w:t>
      </w:r>
      <w:r>
        <w:rPr>
          <w:rFonts w:hint="eastAsia"/>
          <w:lang w:val="en-US" w:eastAsia="zh-CN"/>
        </w:rPr>
        <w:t>企业</w:t>
      </w:r>
      <w:r>
        <w:rPr>
          <w:rFonts w:hint="default"/>
        </w:rPr>
        <w:t>一般工业固废收贮运一体化建设工作取得明显成效。</w:t>
      </w:r>
    </w:p>
    <w:p>
      <w:pPr>
        <w:keepNext w:val="0"/>
        <w:keepLines w:val="0"/>
        <w:pageBreakBefore w:val="0"/>
        <w:widowControl w:val="0"/>
        <w:kinsoku/>
        <w:wordWrap/>
        <w:overflowPunct/>
        <w:topLinePunct w:val="0"/>
        <w:autoSpaceDE/>
        <w:autoSpaceDN/>
        <w:bidi w:val="0"/>
        <w:rPr>
          <w:rFonts w:hint="default"/>
        </w:rPr>
      </w:pPr>
      <w:r>
        <w:rPr>
          <w:rFonts w:hint="eastAsia"/>
        </w:rPr>
        <w:t>健全工业危险废物收集转运体系。</w:t>
      </w:r>
      <w:r>
        <w:t>支持危险废物专业收集转运和利用处置单位建设区域性综合收集网点和贮存设施，面向小微企业开展危险废物收集转运服务，推动建立规范有序的小微源危险废物收运体系。</w:t>
      </w:r>
      <w:r>
        <w:rPr>
          <w:rFonts w:hint="default"/>
        </w:rPr>
        <w:t>加</w:t>
      </w:r>
      <w:r>
        <w:rPr>
          <w:rFonts w:hint="eastAsia"/>
          <w:lang w:val="en-US" w:eastAsia="zh-CN"/>
        </w:rPr>
        <w:t>大</w:t>
      </w:r>
      <w:r>
        <w:rPr>
          <w:rFonts w:hint="default"/>
        </w:rPr>
        <w:t>非工业源和年产10吨及以下小微企业危险废物收集力度，优化小微企业危险废物收集、利用处置体系，保证危险废物环境风险得到有效管控。落实废蓄电池生产者责任延伸制度，提高废铅蓄电池规范收集处理率。</w:t>
      </w:r>
    </w:p>
    <w:p>
      <w:pPr>
        <w:keepNext w:val="0"/>
        <w:keepLines w:val="0"/>
        <w:pageBreakBefore w:val="0"/>
        <w:widowControl w:val="0"/>
        <w:kinsoku/>
        <w:wordWrap/>
        <w:overflowPunct/>
        <w:topLinePunct w:val="0"/>
        <w:autoSpaceDE/>
        <w:autoSpaceDN/>
        <w:bidi w:val="0"/>
        <w:rPr>
          <w:rFonts w:hint="default"/>
        </w:rPr>
      </w:pPr>
      <w:r>
        <w:rPr>
          <w:rFonts w:hint="eastAsia"/>
        </w:rPr>
        <w:t>严格工业固体废物运输</w:t>
      </w:r>
      <w:r>
        <w:rPr>
          <w:rFonts w:hint="eastAsia"/>
          <w:lang w:val="en-US" w:eastAsia="zh-CN"/>
        </w:rPr>
        <w:t>监管</w:t>
      </w:r>
      <w:r>
        <w:rPr>
          <w:rFonts w:hint="eastAsia"/>
        </w:rPr>
        <w:t>。</w:t>
      </w:r>
      <w:r>
        <w:rPr>
          <w:rFonts w:hint="default"/>
        </w:rPr>
        <w:t>督促辖区内承担一般固体废物转移运输单位完善工业固体废物运输企业、车辆、人员的准入制度、承运责任制度和分类管理制度。定期对工业固体废物运输从业人员培训。严格危险废物运输准入管理，遵守国家有关危险货物运输管理的规定</w:t>
      </w:r>
      <w:r>
        <w:rPr>
          <w:rFonts w:hint="eastAsia"/>
          <w:lang w:eastAsia="zh-CN"/>
        </w:rPr>
        <w:t>，</w:t>
      </w:r>
      <w:r>
        <w:rPr>
          <w:rFonts w:hint="eastAsia"/>
          <w:lang w:val="en-US" w:eastAsia="zh-CN"/>
        </w:rPr>
        <w:t>严防</w:t>
      </w:r>
      <w:r>
        <w:rPr>
          <w:rFonts w:hint="default"/>
        </w:rPr>
        <w:t>危险废物</w:t>
      </w:r>
      <w:r>
        <w:rPr>
          <w:rFonts w:hint="eastAsia"/>
          <w:lang w:val="en-US" w:eastAsia="zh-CN"/>
        </w:rPr>
        <w:t>运输过程</w:t>
      </w:r>
      <w:r>
        <w:rPr>
          <w:rFonts w:hint="default"/>
        </w:rPr>
        <w:t>二次污染</w:t>
      </w:r>
      <w:r>
        <w:rPr>
          <w:rFonts w:hint="eastAsia"/>
          <w:lang w:val="en-US" w:eastAsia="zh-CN"/>
        </w:rPr>
        <w:t>，</w:t>
      </w:r>
      <w:r>
        <w:rPr>
          <w:rFonts w:hint="default"/>
        </w:rPr>
        <w:t>必须采取防扬散、防渗漏等措施。运输车辆应当安装具有行驶记录功能的卫星定位装置，对运输过程进行实时监控和管理。工业固体废物运输过程中应规范工业固体废物委外运输监管，要求产废单位对受托方的主体资质和技术能力进行核实，依法签订书面合同，约定污染防治要求，督促受托方严格按照有关法律法规的规定。强化危险废物转运过程风险防控，严格执行危险废物规范化管理考核要求、转移联单和电子运单上报制度，杜绝危险废物申报登记“两张皮”问题。强化与内江、泸州、大足、永川等毗邻地区工业固体废物转运联防联控。加大对跨境路口、收费站点、道路卡口等关键节点的巡查力度，严控非法转运。</w:t>
      </w:r>
    </w:p>
    <w:p>
      <w:pPr>
        <w:keepNext w:val="0"/>
        <w:keepLines w:val="0"/>
        <w:pageBreakBefore w:val="0"/>
        <w:widowControl w:val="0"/>
        <w:kinsoku/>
        <w:wordWrap/>
        <w:overflowPunct/>
        <w:topLinePunct w:val="0"/>
        <w:autoSpaceDE/>
        <w:autoSpaceDN/>
        <w:bidi w:val="0"/>
        <w:rPr>
          <w:rFonts w:hint="default"/>
        </w:rPr>
      </w:pPr>
      <w:r>
        <w:rPr>
          <w:rFonts w:hint="eastAsia"/>
        </w:rPr>
        <w:t>推动工业固体废物存量清零动态化。</w:t>
      </w:r>
      <w:r>
        <w:rPr>
          <w:rFonts w:hint="default"/>
        </w:rPr>
        <w:t>充分利用工业固体废物监管信息系统，全面摸底调查和整治工业固体废物堆存场所，动态掌握工业固体废物存量贮存信息，通过停限产、处以罚款等形式倒逼企业加快清理工作，逐步减少历史遗留工业固体废物贮存处置总量。以濑溪河及清流河两岸、饮用水水源地周边、沿湖沿库、交通干线两侧、城乡结合部、农村地区等环境和人文敏感区作为重点区域，严格压实清零工作主体责任，建立全区危险废物处置资源协调机制，滚动落实存量危险废物清零处置。</w:t>
      </w:r>
    </w:p>
    <w:p>
      <w:pPr>
        <w:pStyle w:val="26"/>
        <w:bidi w:val="0"/>
        <w:rPr>
          <w:rFonts w:hint="default"/>
          <w:lang w:val="en-US" w:eastAsia="zh-CN"/>
        </w:rPr>
      </w:pPr>
      <w:bookmarkStart w:id="41" w:name="_Toc10495"/>
      <w:bookmarkStart w:id="42" w:name="_Toc28426"/>
      <w:r>
        <w:rPr>
          <w:rFonts w:hint="default"/>
          <w:lang w:val="en-US" w:eastAsia="zh-CN"/>
        </w:rPr>
        <w:t xml:space="preserve">第三节 </w:t>
      </w:r>
      <w:r>
        <w:rPr>
          <w:rFonts w:hint="eastAsia"/>
          <w:lang w:val="en-US" w:eastAsia="zh-CN"/>
        </w:rPr>
        <w:t xml:space="preserve"> </w:t>
      </w:r>
      <w:r>
        <w:rPr>
          <w:rFonts w:hint="default"/>
          <w:lang w:val="en-US" w:eastAsia="zh-CN"/>
        </w:rPr>
        <w:t>提高工业固体废物利用水平</w:t>
      </w:r>
      <w:bookmarkEnd w:id="41"/>
      <w:bookmarkEnd w:id="42"/>
    </w:p>
    <w:p>
      <w:pPr>
        <w:keepNext w:val="0"/>
        <w:keepLines w:val="0"/>
        <w:pageBreakBefore w:val="0"/>
        <w:widowControl w:val="0"/>
        <w:kinsoku/>
        <w:wordWrap/>
        <w:overflowPunct/>
        <w:topLinePunct w:val="0"/>
        <w:autoSpaceDE/>
        <w:autoSpaceDN/>
        <w:bidi w:val="0"/>
        <w:rPr>
          <w:rFonts w:hint="default"/>
        </w:rPr>
      </w:pPr>
      <w:r>
        <w:rPr>
          <w:rFonts w:hint="eastAsia"/>
        </w:rPr>
        <w:t>推动企业循环化改造。</w:t>
      </w:r>
      <w:r>
        <w:rPr>
          <w:rFonts w:hint="default"/>
        </w:rPr>
        <w:t>推行低碳、循环经济先进适用技术，以新工艺、新技术、新材料为突破点推动节能环保技术装备升级，重点支持工业企业清洁化改造，资源循环再生利用项目。鼓励产废单位开展内部循环利用，加强陶瓷生产“三废”综合回收循环利用工艺研究，鼓励电子电路产业园新入</w:t>
      </w:r>
      <w:r>
        <w:rPr>
          <w:rFonts w:hint="eastAsia"/>
          <w:lang w:eastAsia="zh-CN"/>
        </w:rPr>
        <w:t>驻</w:t>
      </w:r>
      <w:r>
        <w:rPr>
          <w:rFonts w:hint="default"/>
        </w:rPr>
        <w:t>企业配套建设工业危险废物循环利用工艺，培育一批能源资源消耗少、环境污染小的清洁生产企业。</w:t>
      </w:r>
    </w:p>
    <w:p>
      <w:pPr>
        <w:keepNext w:val="0"/>
        <w:keepLines w:val="0"/>
        <w:pageBreakBefore w:val="0"/>
        <w:widowControl w:val="0"/>
        <w:kinsoku/>
        <w:wordWrap/>
        <w:overflowPunct/>
        <w:topLinePunct w:val="0"/>
        <w:autoSpaceDE/>
        <w:autoSpaceDN/>
        <w:bidi w:val="0"/>
        <w:rPr>
          <w:rFonts w:hint="default"/>
        </w:rPr>
      </w:pPr>
      <w:r>
        <w:rPr>
          <w:rFonts w:hint="eastAsia"/>
        </w:rPr>
        <w:t>推动工业园区循环化改造。</w:t>
      </w:r>
      <w:r>
        <w:rPr>
          <w:rFonts w:hint="default"/>
        </w:rPr>
        <w:t>以板桥园区为先锋，推进工业园区产业耦合，最大限度降低排放总量，积极争取国家园区循环化改造示范试点建设。探索推动园区内各大产业相互融合渗透，依托唯美陶瓷、华森制药、澳龙生物及昌元化工等企业，在食品加工产业、医药及医疗器械产业、现代建筑产业、智能制造产业等流程制造业间开展横向链接，力争规划落实一批循环化改造延伸或补链项目，建立跨产业的循环经济产业链。鼓励探索低碳转型路径，建立健全全区产业废物资源化信息平台，搭建工业固体废物交换利用的桥梁，构建“资源—产品—再生资源”循环产业链条。</w:t>
      </w:r>
    </w:p>
    <w:p>
      <w:pPr>
        <w:keepNext w:val="0"/>
        <w:keepLines w:val="0"/>
        <w:pageBreakBefore w:val="0"/>
        <w:widowControl w:val="0"/>
        <w:kinsoku/>
        <w:wordWrap/>
        <w:overflowPunct/>
        <w:topLinePunct w:val="0"/>
        <w:autoSpaceDE/>
        <w:autoSpaceDN/>
        <w:bidi w:val="0"/>
        <w:rPr>
          <w:rFonts w:hint="default"/>
        </w:rPr>
      </w:pPr>
      <w:r>
        <w:rPr>
          <w:rFonts w:hint="default"/>
        </w:rPr>
        <w:t>持续提高资源综合利用技术水平。贯彻落实国家发展改革委等十部门联合印发的《关于“十四五”大宗固体废弃物综合利用的指导意见》，重点发展粉煤灰、脱硫石膏、废水处理污泥、铸造废砂、矿山尾矿等大宗固体废物的综合利用，推广大掺量工业固体废物生产建材产品。以一般工业固体废物贮存大户重庆昌元化工集团有限公司为重点，鼓励扩大昌龙化工生产规模，提升锰渣自行综合利用量。鼓励重庆昌元化工集团有限公司加强与水泥、灰渣砖、混凝土、锰肥、路基材料等生产企业的合作，拓宽贮存锰渣的综合利用处置途径，加快贮存量的削减速度。加快废钢渣深度开发利用技术，以及废酸、废油脂、废乳化液等工业危险废物的深度资源化利用技术研发。强化陶瓷生产、加工过程产生的废品、废料用于制备建筑装饰材料、透水砖等建材材料等工艺的研究和利用。推广示范工业污泥脱水资源化利用技术装备。有效落实资源综合利用税收优惠政策，壮大再生资源、再制造等资源综合利用产业规模，有效地从源头减少一般工业固体废物产生量。</w:t>
      </w:r>
    </w:p>
    <w:p>
      <w:pPr>
        <w:keepNext w:val="0"/>
        <w:keepLines w:val="0"/>
        <w:pageBreakBefore w:val="0"/>
        <w:widowControl w:val="0"/>
        <w:kinsoku/>
        <w:wordWrap/>
        <w:overflowPunct/>
        <w:topLinePunct w:val="0"/>
        <w:autoSpaceDE/>
        <w:autoSpaceDN/>
        <w:bidi w:val="0"/>
        <w:rPr>
          <w:rFonts w:hint="default"/>
        </w:rPr>
      </w:pPr>
      <w:r>
        <w:rPr>
          <w:rFonts w:hint="eastAsia"/>
        </w:rPr>
        <w:t>培育综合利用骨干企业。</w:t>
      </w:r>
      <w:r>
        <w:rPr>
          <w:rFonts w:hint="default"/>
        </w:rPr>
        <w:t>大力支持重庆市荣昌区大雨环保科技有限公司、重庆市荣昌区诚信再生物资回收有限公司等现有经营规模较大和拥有一定数量回收网点基础的再生资源回收企业开展高效、高质、高值再生资源综合利用示范项目建设，形成可复制、可推广的实施范例，发挥带动引领作用。</w:t>
      </w:r>
    </w:p>
    <w:p>
      <w:pPr>
        <w:pStyle w:val="26"/>
        <w:bidi w:val="0"/>
        <w:rPr>
          <w:rFonts w:hint="default"/>
          <w:lang w:val="en-US" w:eastAsia="zh-CN"/>
        </w:rPr>
      </w:pPr>
      <w:bookmarkStart w:id="43" w:name="_Toc29805"/>
      <w:bookmarkStart w:id="44" w:name="_Toc10326"/>
      <w:r>
        <w:rPr>
          <w:rFonts w:hint="default"/>
          <w:lang w:val="en-US" w:eastAsia="zh-CN"/>
        </w:rPr>
        <w:t xml:space="preserve">第四节 </w:t>
      </w:r>
      <w:r>
        <w:rPr>
          <w:rFonts w:hint="eastAsia"/>
          <w:lang w:val="en-US" w:eastAsia="zh-CN"/>
        </w:rPr>
        <w:t xml:space="preserve"> </w:t>
      </w:r>
      <w:r>
        <w:rPr>
          <w:rFonts w:hint="default"/>
          <w:lang w:val="en-US" w:eastAsia="zh-CN"/>
        </w:rPr>
        <w:t>防范工业固体废物环境风险</w:t>
      </w:r>
      <w:bookmarkEnd w:id="43"/>
      <w:bookmarkEnd w:id="44"/>
    </w:p>
    <w:p>
      <w:pPr>
        <w:keepNext w:val="0"/>
        <w:keepLines w:val="0"/>
        <w:pageBreakBefore w:val="0"/>
        <w:widowControl w:val="0"/>
        <w:kinsoku/>
        <w:wordWrap/>
        <w:overflowPunct/>
        <w:topLinePunct w:val="0"/>
        <w:autoSpaceDE/>
        <w:autoSpaceDN/>
        <w:bidi w:val="0"/>
        <w:rPr>
          <w:rFonts w:hint="default"/>
        </w:rPr>
      </w:pPr>
      <w:r>
        <w:rPr>
          <w:rFonts w:hint="eastAsia"/>
        </w:rPr>
        <w:t>强化重点领域风险防控。</w:t>
      </w:r>
      <w:r>
        <w:rPr>
          <w:rFonts w:hint="default"/>
        </w:rPr>
        <w:t>以“清废行动”为抓手，以重金属、废酸、废矿物油等危险废物为重点，深入开展工业固体废物污染环境排查整治专项行动，严厉打击工业固体废物非法转移、倾倒、处置行为。以荣昌高新技术产业开发区、濑溪河、清流河流域等敏感区域和近年发生信访、举报地为排查重点，按照边查边改、立行整改、限期整改的原则，建立问题清单，并要求企业第一时间逐条整改。</w:t>
      </w:r>
    </w:p>
    <w:p>
      <w:pPr>
        <w:keepNext w:val="0"/>
        <w:keepLines w:val="0"/>
        <w:pageBreakBefore w:val="0"/>
        <w:widowControl w:val="0"/>
        <w:kinsoku/>
        <w:wordWrap/>
        <w:overflowPunct/>
        <w:topLinePunct w:val="0"/>
        <w:autoSpaceDE/>
        <w:autoSpaceDN/>
        <w:bidi w:val="0"/>
        <w:rPr>
          <w:rFonts w:hint="eastAsia"/>
        </w:rPr>
      </w:pPr>
      <w:r>
        <w:rPr>
          <w:rFonts w:hint="eastAsia"/>
        </w:rPr>
        <w:t>提升危险废物环境应急响应能力。</w:t>
      </w:r>
      <w:r>
        <w:rPr>
          <w:rFonts w:hint="default"/>
        </w:rPr>
        <w:t>深入推进跨区域、跨部门协同应急处置突发环境事件及其处理过程中产生的危险废物，完善现场指挥与协调制度以及信息报告和公开机制。加强突发环境事件及其处理过程中产生的危险废物应急处置的管理队伍、专家队伍建设。督促企业按照《企业事业单位突发环境事件应急预案备案管理办法（试行）》规定编制和修订突发环境事件应急预案并备案，定期开展企业内专项应急演练，提升应急事件应对能力。</w:t>
      </w:r>
    </w:p>
    <w:p>
      <w:pPr>
        <w:keepNext w:val="0"/>
        <w:keepLines w:val="0"/>
        <w:pageBreakBefore w:val="0"/>
        <w:widowControl w:val="0"/>
        <w:kinsoku/>
        <w:wordWrap/>
        <w:overflowPunct/>
        <w:topLinePunct w:val="0"/>
        <w:autoSpaceDE/>
        <w:autoSpaceDN/>
        <w:bidi w:val="0"/>
        <w:rPr>
          <w:rFonts w:hint="default"/>
        </w:rPr>
      </w:pPr>
      <w:r>
        <w:rPr>
          <w:rFonts w:hint="eastAsia"/>
        </w:rPr>
        <w:t>加快补齐一般工业固体废物处置设施短板。</w:t>
      </w:r>
      <w:r>
        <w:rPr>
          <w:rFonts w:hint="default"/>
        </w:rPr>
        <w:t>加快推动重庆荣昌高新区一般工业固废处置场建设，督促污泥处置场的建设进度，尽快投入使用，推动荣昌区生活垃圾焚烧发电项目建设。鼓励有条件的企业自建和扩建一般工业固体废物利用处置设施，探索开展对外经营服务模式，实现一般工业固体废物就地、就近处置。</w:t>
      </w:r>
    </w:p>
    <w:p>
      <w:pPr>
        <w:keepNext w:val="0"/>
        <w:keepLines w:val="0"/>
        <w:pageBreakBefore w:val="0"/>
        <w:widowControl w:val="0"/>
        <w:kinsoku/>
        <w:wordWrap/>
        <w:overflowPunct/>
        <w:topLinePunct w:val="0"/>
        <w:autoSpaceDE/>
        <w:autoSpaceDN/>
        <w:bidi w:val="0"/>
        <w:rPr>
          <w:rFonts w:hint="default"/>
        </w:rPr>
      </w:pPr>
      <w:r>
        <w:rPr>
          <w:rFonts w:hint="eastAsia"/>
        </w:rPr>
        <w:t>鼓励建设危险废物处置设施。</w:t>
      </w:r>
      <w:r>
        <w:rPr>
          <w:rFonts w:hint="default"/>
        </w:rPr>
        <w:t>实施危险废物贮存点建设工程，加快推动广富工业园区危险废物集中收集贮存转运项目建设。鼓励陶瓷、制药、电镀等行业配套建设危险废物自行处置利用设施。积极引进水泥窑协同无害化处置等环保产品研发生产企业，提升全区危险废物无害化处置兜底保障能力。</w:t>
      </w:r>
    </w:p>
    <w:p>
      <w:pPr>
        <w:keepNext w:val="0"/>
        <w:keepLines w:val="0"/>
        <w:pageBreakBefore w:val="0"/>
        <w:widowControl w:val="0"/>
        <w:kinsoku/>
        <w:wordWrap/>
        <w:overflowPunct/>
        <w:topLinePunct w:val="0"/>
        <w:autoSpaceDE/>
        <w:autoSpaceDN/>
        <w:bidi w:val="0"/>
        <w:rPr>
          <w:rFonts w:hint="default"/>
        </w:rPr>
      </w:pPr>
      <w:r>
        <w:rPr>
          <w:rFonts w:hint="eastAsia"/>
        </w:rPr>
        <w:t>规范工业固体废物集中贮存</w:t>
      </w:r>
      <w:r>
        <w:rPr>
          <w:rFonts w:hint="eastAsia"/>
          <w:lang w:val="en-US" w:eastAsia="zh-CN"/>
        </w:rPr>
        <w:t>设施建设与管理</w:t>
      </w:r>
      <w:r>
        <w:rPr>
          <w:rFonts w:hint="eastAsia"/>
        </w:rPr>
        <w:t>。</w:t>
      </w:r>
      <w:r>
        <w:rPr>
          <w:rFonts w:hint="default"/>
        </w:rPr>
        <w:t>全面摸底调查和整治粉煤灰、炉渣、脱硫石膏、污泥等已建一般工业固体废物、危险废物堆存场所。工业固体废物贮存场所设置必须符合《一般工业固体废物贮存和填埋污染控制标准》(GB 18599</w:t>
      </w:r>
      <w:r>
        <w:rPr>
          <w:rFonts w:hint="eastAsia"/>
          <w:lang w:eastAsia="zh-CN"/>
        </w:rPr>
        <w:t>—</w:t>
      </w:r>
      <w:r>
        <w:rPr>
          <w:rFonts w:hint="default"/>
        </w:rPr>
        <w:t>2020)、《危险废物贮存污染控制标准》（2013年修订）且按要求完善环评手续，做到安全分类贮存。依据一般工业固体废物贮存场所污染防治现状，建设和完善“防扬散、防流失、防渗漏”等设施，及时清理不规范的一般工业固体废物堆场，建立规范的集中贮存转运点。开展工业固体废物精细化分类管理，以暂时不利用、不能回收利用或者需要暂时贮存的一般工业固体废物为重点，开展源头分类贮存，禁止生活垃圾、建筑垃圾等混入。对定性不明的中间产物（产品）、副产物（品）等物料，督促相关企业开展一般工业固体废物和危险废物鉴别。</w:t>
      </w:r>
      <w:r>
        <w:t>依托危险废物规范化环境管理评估，通过对经营单位的检查，不断推动分类贮存的规范化和专业化。加强工业危险废物年产生量 100 吨以上</w:t>
      </w:r>
      <w:r>
        <w:rPr>
          <w:rFonts w:hint="default"/>
        </w:rPr>
        <w:t>企业的监督管理，督促其按照规范化标准要求建设贮存设施和场所，落实分类贮存要求</w:t>
      </w:r>
      <w:r>
        <w:rPr>
          <w:rFonts w:hint="eastAsia"/>
          <w:lang w:eastAsia="zh-CN"/>
        </w:rPr>
        <w:t>，</w:t>
      </w:r>
      <w:r>
        <w:rPr>
          <w:rFonts w:hint="default"/>
        </w:rPr>
        <w:t>禁止将危险废物混入非危险废物中贮存</w:t>
      </w:r>
      <w:r>
        <w:rPr>
          <w:rFonts w:hint="eastAsia"/>
          <w:lang w:eastAsia="zh-CN"/>
        </w:rPr>
        <w:t>，</w:t>
      </w:r>
      <w:r>
        <w:rPr>
          <w:rFonts w:hint="default"/>
        </w:rPr>
        <w:t>禁止将危险废物提供或委托给无危险废物经营许可证的单位贮存。到 2023 年，完成危险废物贮存场所提升改造工作，并实施专项检查。</w:t>
      </w:r>
    </w:p>
    <w:p>
      <w:pPr>
        <w:pStyle w:val="26"/>
        <w:bidi w:val="0"/>
        <w:rPr>
          <w:rFonts w:hint="default"/>
          <w:lang w:val="en-US" w:eastAsia="zh-CN"/>
        </w:rPr>
      </w:pPr>
      <w:bookmarkStart w:id="45" w:name="_Toc2958"/>
      <w:bookmarkStart w:id="46" w:name="_Toc30832"/>
      <w:r>
        <w:rPr>
          <w:rFonts w:hint="default"/>
          <w:lang w:val="en-US" w:eastAsia="zh-CN"/>
        </w:rPr>
        <w:t>第五节</w:t>
      </w:r>
      <w:r>
        <w:rPr>
          <w:rFonts w:hint="eastAsia"/>
          <w:lang w:val="en-US" w:eastAsia="zh-CN"/>
        </w:rPr>
        <w:t xml:space="preserve"> </w:t>
      </w:r>
      <w:r>
        <w:rPr>
          <w:rFonts w:hint="default"/>
          <w:lang w:val="en-US" w:eastAsia="zh-CN"/>
        </w:rPr>
        <w:t xml:space="preserve"> 提升工业固体废物监管能力</w:t>
      </w:r>
      <w:bookmarkEnd w:id="45"/>
      <w:bookmarkEnd w:id="46"/>
    </w:p>
    <w:p>
      <w:pPr>
        <w:keepNext w:val="0"/>
        <w:keepLines w:val="0"/>
        <w:pageBreakBefore w:val="0"/>
        <w:widowControl w:val="0"/>
        <w:kinsoku/>
        <w:wordWrap/>
        <w:overflowPunct/>
        <w:topLinePunct w:val="0"/>
        <w:autoSpaceDE/>
        <w:autoSpaceDN/>
        <w:bidi w:val="0"/>
        <w:rPr>
          <w:rFonts w:hint="eastAsia"/>
          <w:lang w:eastAsia="zh-CN"/>
        </w:rPr>
      </w:pPr>
      <w:r>
        <w:rPr>
          <w:rFonts w:hint="eastAsia"/>
        </w:rPr>
        <w:t>加强管理队伍建设。</w:t>
      </w:r>
      <w:r>
        <w:rPr>
          <w:rFonts w:hint="default"/>
        </w:rPr>
        <w:t>加强环境执法和固体废物管理机构专业技术人才队伍建设，鼓励企业配齐专职管理人员或聘请第三方专业机构指导参与固体废物管理。强化对各</w:t>
      </w:r>
      <w:r>
        <w:rPr>
          <w:rFonts w:hint="eastAsia"/>
          <w:lang w:val="en-US" w:eastAsia="zh-CN"/>
        </w:rPr>
        <w:t>工业园区</w:t>
      </w:r>
      <w:r>
        <w:rPr>
          <w:rFonts w:hint="default"/>
        </w:rPr>
        <w:t>及企业固体废物管理人员的技术培训与交流，不断提升工业固体废物管理能力与技术水平。严格对危险废物经营单位、鉴别单位及其从业人员管理，建立健全危险废物经营单位、鉴别单位及其从业人员退出机制。</w:t>
      </w:r>
    </w:p>
    <w:p>
      <w:pPr>
        <w:keepNext w:val="0"/>
        <w:keepLines w:val="0"/>
        <w:pageBreakBefore w:val="0"/>
        <w:widowControl w:val="0"/>
        <w:kinsoku/>
        <w:wordWrap/>
        <w:overflowPunct/>
        <w:topLinePunct w:val="0"/>
        <w:autoSpaceDE/>
        <w:autoSpaceDN/>
        <w:bidi w:val="0"/>
        <w:rPr>
          <w:rFonts w:hint="default"/>
        </w:rPr>
      </w:pPr>
      <w:r>
        <w:rPr>
          <w:rFonts w:hint="eastAsia"/>
          <w:lang w:eastAsia="zh-CN"/>
        </w:rPr>
        <w:t>强化部门</w:t>
      </w:r>
      <w:r>
        <w:rPr>
          <w:rFonts w:hint="eastAsia"/>
        </w:rPr>
        <w:t>联防联控</w:t>
      </w:r>
      <w:r>
        <w:rPr>
          <w:rFonts w:hint="eastAsia"/>
          <w:lang w:eastAsia="zh-CN"/>
        </w:rPr>
        <w:t>。</w:t>
      </w:r>
      <w:r>
        <w:rPr>
          <w:rFonts w:hint="default"/>
        </w:rPr>
        <w:t>生态环境部门加强与经信、公安、交通、应急等相关行政主管部门沟通协调，建立部门信息共享和联动执法机制。加强环境污染案件危险废物认定、环境损害评估等司法衔接，保障环境污染犯罪案件及时立案、依法查处。立足“成渝双城经济圈”建设，贯彻落实《重庆市四川省危险废物跨省市转移“白名单”合作机制》《川渝危险废物协同处置协议》，推动危险废物跨区域协同处置合作。与内江、泸州、大足、永川等毗邻地区相互通报危险废物产生和处理处置情况、危险废物处理处置设施持证情况、一般工业固体废物处置和资源化利用情况，在充分保障辖区内危险废物妥善处置的基础上，推进毗邻地区处置设施共建共享。</w:t>
      </w:r>
      <w:bookmarkStart w:id="47" w:name="_Toc13143"/>
    </w:p>
    <w:p>
      <w:pPr>
        <w:keepNext w:val="0"/>
        <w:keepLines w:val="0"/>
        <w:pageBreakBefore w:val="0"/>
        <w:widowControl w:val="0"/>
        <w:kinsoku/>
        <w:wordWrap/>
        <w:overflowPunct/>
        <w:topLinePunct w:val="0"/>
        <w:autoSpaceDE/>
        <w:autoSpaceDN/>
        <w:bidi w:val="0"/>
        <w:rPr>
          <w:rFonts w:hint="default"/>
          <w:lang w:val="en-US" w:eastAsia="zh-CN"/>
        </w:rPr>
      </w:pPr>
      <w:r>
        <w:rPr>
          <w:rFonts w:hint="eastAsia"/>
        </w:rPr>
        <w:t>加强工业固体废物利用处置单位监管</w:t>
      </w:r>
      <w:r>
        <w:rPr>
          <w:rFonts w:hint="eastAsia"/>
          <w:lang w:eastAsia="zh-CN"/>
        </w:rPr>
        <w:t>。</w:t>
      </w:r>
      <w:r>
        <w:rPr>
          <w:rFonts w:hint="default"/>
        </w:rPr>
        <w:t>严格执行一般工业固体废物经营记录制度，做到一般工业固体废物的交接记录与利用处置记录相一致。督促一般工业固体废物利用处置单位严格落实环评批复、验收文件中关于污染防治的各项要求，妥善运行污染防治设施，严防二次污染。结合全国第二次污染源普查、环境统计工作分别健全全区危险废物产生单位清单和拥有危险废物自行利用处置设施的单位清单，</w:t>
      </w:r>
      <w:r>
        <w:t>常态化开展全</w:t>
      </w:r>
      <w:r>
        <w:rPr>
          <w:rFonts w:hint="eastAsia"/>
          <w:lang w:val="en-US" w:eastAsia="zh-CN"/>
        </w:rPr>
        <w:t>区</w:t>
      </w:r>
      <w:r>
        <w:t>危险废物规范化环境管理评估工作，对于不达标单位，明确整改措施和整改限期，</w:t>
      </w:r>
      <w:r>
        <w:rPr>
          <w:rFonts w:hint="eastAsia"/>
          <w:lang w:val="en-US" w:eastAsia="zh-CN"/>
        </w:rPr>
        <w:t>区</w:t>
      </w:r>
      <w:r>
        <w:t>生态环境</w:t>
      </w:r>
      <w:r>
        <w:rPr>
          <w:rFonts w:hint="eastAsia"/>
          <w:lang w:val="en-US" w:eastAsia="zh-CN"/>
        </w:rPr>
        <w:t>局</w:t>
      </w:r>
      <w:r>
        <w:t>进行跟踪核查销号。夯实年产50吨以上危险废物重点产废企业和经营单位“一物一码”精细化管理工作</w:t>
      </w:r>
      <w:r>
        <w:rPr>
          <w:rFonts w:hint="eastAsia"/>
          <w:lang w:eastAsia="zh-CN"/>
        </w:rPr>
        <w:t>，</w:t>
      </w:r>
      <w:r>
        <w:rPr>
          <w:rFonts w:hint="default"/>
        </w:rPr>
        <w:t>不断优化危险废物管理信息系统。</w:t>
      </w:r>
    </w:p>
    <w:p>
      <w:pPr>
        <w:pStyle w:val="26"/>
        <w:bidi w:val="0"/>
        <w:rPr>
          <w:rFonts w:hint="default"/>
          <w:lang w:val="en-US" w:eastAsia="zh-CN"/>
        </w:rPr>
      </w:pPr>
      <w:bookmarkStart w:id="48" w:name="_Toc9181"/>
      <w:r>
        <w:rPr>
          <w:rFonts w:hint="default"/>
          <w:lang w:val="en-US" w:eastAsia="zh-CN"/>
        </w:rPr>
        <w:t xml:space="preserve">第六节 </w:t>
      </w:r>
      <w:r>
        <w:rPr>
          <w:rFonts w:hint="eastAsia"/>
          <w:lang w:val="en-US" w:eastAsia="zh-CN"/>
        </w:rPr>
        <w:t xml:space="preserve"> </w:t>
      </w:r>
      <w:r>
        <w:rPr>
          <w:rFonts w:hint="default"/>
          <w:lang w:val="en-US" w:eastAsia="zh-CN"/>
        </w:rPr>
        <w:t>健全工业固体废物管理体系</w:t>
      </w:r>
      <w:bookmarkEnd w:id="47"/>
      <w:bookmarkEnd w:id="48"/>
    </w:p>
    <w:p>
      <w:pPr>
        <w:keepNext w:val="0"/>
        <w:keepLines w:val="0"/>
        <w:pageBreakBefore w:val="0"/>
        <w:widowControl w:val="0"/>
        <w:kinsoku/>
        <w:wordWrap/>
        <w:overflowPunct/>
        <w:topLinePunct w:val="0"/>
        <w:autoSpaceDE/>
        <w:autoSpaceDN/>
        <w:bidi w:val="0"/>
        <w:rPr>
          <w:rFonts w:hint="default"/>
        </w:rPr>
      </w:pPr>
      <w:r>
        <w:rPr>
          <w:rFonts w:hint="default"/>
        </w:rPr>
        <w:t>推动建设</w:t>
      </w:r>
      <w:r>
        <w:rPr>
          <w:rFonts w:hint="eastAsia"/>
          <w:lang w:val="en-US" w:eastAsia="zh-CN"/>
        </w:rPr>
        <w:t>园区</w:t>
      </w:r>
      <w:r>
        <w:rPr>
          <w:rFonts w:hint="default"/>
        </w:rPr>
        <w:t>固体废物监管平台。</w:t>
      </w:r>
      <w:r>
        <w:rPr>
          <w:rFonts w:hint="eastAsia"/>
          <w:lang w:val="en-US" w:eastAsia="zh-CN"/>
        </w:rPr>
        <w:t>认真</w:t>
      </w:r>
      <w:r>
        <w:rPr>
          <w:rFonts w:hint="default"/>
        </w:rPr>
        <w:t>贯彻落实《中华人民共和国固体废物污染环境防治法》</w:t>
      </w:r>
      <w:r>
        <w:rPr>
          <w:rFonts w:hint="eastAsia"/>
          <w:lang w:val="en-US" w:eastAsia="zh-CN"/>
        </w:rPr>
        <w:t>及有关规定</w:t>
      </w:r>
      <w:r>
        <w:rPr>
          <w:rFonts w:hint="default"/>
        </w:rPr>
        <w:t>，建立工业固体废物产生单位电子管理台</w:t>
      </w:r>
      <w:r>
        <w:rPr>
          <w:rFonts w:hint="default"/>
          <w:lang w:val="en-US" w:eastAsia="zh-CN"/>
        </w:rPr>
        <w:t>账</w:t>
      </w:r>
      <w:r>
        <w:rPr>
          <w:rFonts w:hint="default"/>
        </w:rPr>
        <w:t>，如实记录工业固体废物的种类、数量、流向、贮存、利用、处置等信息。结合</w:t>
      </w:r>
      <w:r>
        <w:rPr>
          <w:rFonts w:hint="eastAsia"/>
          <w:lang w:eastAsia="zh-CN"/>
        </w:rPr>
        <w:t>荣昌</w:t>
      </w:r>
      <w:r>
        <w:rPr>
          <w:rFonts w:hint="default"/>
        </w:rPr>
        <w:t>智慧城市建设，加快推进园区统一管理平台和大数据中心建设，构建固体废物智慧监管平台，全面提升园区工业固体废物管理的信息化和智能化水平。</w:t>
      </w:r>
    </w:p>
    <w:p>
      <w:pPr>
        <w:keepNext w:val="0"/>
        <w:keepLines w:val="0"/>
        <w:pageBreakBefore w:val="0"/>
        <w:widowControl w:val="0"/>
        <w:kinsoku/>
        <w:wordWrap/>
        <w:overflowPunct/>
        <w:topLinePunct w:val="0"/>
        <w:autoSpaceDE/>
        <w:autoSpaceDN/>
        <w:bidi w:val="0"/>
        <w:rPr>
          <w:rFonts w:hint="default"/>
        </w:rPr>
      </w:pPr>
      <w:r>
        <w:rPr>
          <w:rFonts w:hint="eastAsia"/>
        </w:rPr>
        <w:t>提升工业固体废物管理信息化水平</w:t>
      </w:r>
      <w:r>
        <w:rPr>
          <w:rFonts w:hint="eastAsia"/>
          <w:lang w:eastAsia="zh-CN"/>
        </w:rPr>
        <w:t>。</w:t>
      </w:r>
      <w:r>
        <w:rPr>
          <w:rFonts w:hint="default"/>
        </w:rPr>
        <w:t>推进产生一般工业固体废物的规模以上、年产废量100吨及以上工业企业以及一般工业固体废物收集、贮存、利用、处置企业等建立工业固体废物管理电子月台账。全面落实危险废物产生单位（包括医疗卫生机构）通过重庆市固体废物管理信息系统开展危险废物管理计划备案和产生情况申报、危险废物电子转移联单运行、危险废物出口核准等工作。全面实现重点危险废物产生企业“一物一码”全过程跟踪管理，逐步推进全区重点产废单位危险废物精细化信息化管理。严格落实工业固体废物产生、收集、贮存、运输、利用、处置单位和其他生产经营者信用记录制度，将相关信用记录纳入全国信用信息共享平台。</w:t>
      </w:r>
    </w:p>
    <w:p>
      <w:pPr>
        <w:keepNext w:val="0"/>
        <w:keepLines w:val="0"/>
        <w:pageBreakBefore w:val="0"/>
        <w:widowControl w:val="0"/>
        <w:kinsoku/>
        <w:wordWrap/>
        <w:overflowPunct/>
        <w:topLinePunct w:val="0"/>
        <w:autoSpaceDE/>
        <w:autoSpaceDN/>
        <w:bidi w:val="0"/>
      </w:pPr>
      <w:r>
        <w:rPr>
          <w:rFonts w:hint="eastAsia"/>
        </w:rPr>
        <w:t>强化工业固体废物日常监管。</w:t>
      </w:r>
      <w:r>
        <w:t>按照《排污许可证申请与核发技术规范工业固体废物（试行）》、《关于开展工业固体废物排污许可管理工作的通知》，依法依规推进工业固体废物排污许可核发工作。建立危险废物经营许可证审批与环境影响评价、排污许可审批的有效衔接机制，统一危险废物管理要求。深入开展危险废物利用处置设施绩效评估，健全危险废物经营单位“财务、联单、货物”三本账第三方评估制度，加快推进焚烧、水泥窑等处置设施提标改造，对长期运行状况不佳、达标排放困难的利用处置设施，予以能力核减。强化企业环境信用评价，定期发布评价结果，实施差异化监管，并依法依规在公共采购、金融支持等领域实行守信激励和失信惩戒。</w:t>
      </w:r>
    </w:p>
    <w:p>
      <w:pPr>
        <w:keepNext w:val="0"/>
        <w:keepLines w:val="0"/>
        <w:pageBreakBefore w:val="0"/>
        <w:widowControl w:val="0"/>
        <w:kinsoku/>
        <w:wordWrap/>
        <w:overflowPunct/>
        <w:topLinePunct w:val="0"/>
        <w:autoSpaceDE/>
        <w:autoSpaceDN/>
        <w:bidi w:val="0"/>
      </w:pPr>
      <w:r>
        <w:rPr>
          <w:rFonts w:hint="eastAsia"/>
        </w:rPr>
        <w:t>压实企业主体责任。</w:t>
      </w:r>
      <w:r>
        <w:t>产生、收集、贮存、运输、利用、处置工业固体废物的单位（以下统称相关单位）是污染环境防治的责任主体，要严格落实工业固体废物污染环境防治和安全生产法律法规制度，落实主要负责人（法定代表人、主要负责人）工业固体废物污染环境防治第一责任人责任以及直接负责的主管人员、其他直接人员污染防治责任。依法推动收集、贮存、运输、利用、处置危险废物的单位，投保环境污染责任保险，到2023年底，力争危险废物经营单位环境污染责任保险覆盖率100%。</w:t>
      </w:r>
    </w:p>
    <w:p>
      <w:pPr>
        <w:keepNext w:val="0"/>
        <w:keepLines w:val="0"/>
        <w:pageBreakBefore w:val="0"/>
        <w:widowControl w:val="0"/>
        <w:kinsoku/>
        <w:wordWrap/>
        <w:overflowPunct/>
        <w:topLinePunct w:val="0"/>
        <w:autoSpaceDE/>
        <w:autoSpaceDN/>
        <w:bidi w:val="0"/>
        <w:rPr>
          <w:rFonts w:hint="eastAsia" w:ascii="宋体" w:hAnsi="宋体" w:eastAsia="方正仿宋_GBK" w:cs="方正仿宋_GBK"/>
          <w:color w:val="000000"/>
          <w:spacing w:val="0"/>
          <w:w w:val="100"/>
          <w:kern w:val="0"/>
          <w:szCs w:val="32"/>
          <w:shd w:val="clear" w:color="auto" w:fill="FFFFFF"/>
          <w:lang w:bidi="ar"/>
        </w:rPr>
      </w:pPr>
      <w:r>
        <w:rPr>
          <w:rFonts w:hint="eastAsia" w:ascii="宋体" w:hAnsi="宋体" w:eastAsia="方正仿宋_GBK" w:cs="方正仿宋_GBK"/>
          <w:color w:val="000000"/>
          <w:spacing w:val="0"/>
          <w:w w:val="100"/>
          <w:kern w:val="0"/>
          <w:szCs w:val="32"/>
          <w:shd w:val="clear" w:color="auto" w:fill="FFFFFF"/>
          <w:lang w:bidi="ar"/>
        </w:rPr>
        <w:br w:type="page"/>
      </w:r>
      <w:bookmarkStart w:id="49" w:name="_Toc9224"/>
      <w:bookmarkStart w:id="50" w:name="_Toc25456"/>
      <w:bookmarkStart w:id="51" w:name="_Toc90392518"/>
    </w:p>
    <w:p>
      <w:pPr>
        <w:keepNext w:val="0"/>
        <w:keepLines w:val="0"/>
        <w:pageBreakBefore w:val="0"/>
        <w:widowControl w:val="0"/>
        <w:kinsoku/>
        <w:wordWrap/>
        <w:overflowPunct/>
        <w:topLinePunct w:val="0"/>
        <w:autoSpaceDE/>
        <w:autoSpaceDN/>
        <w:bidi w:val="0"/>
        <w:rPr>
          <w:rFonts w:hint="eastAsia" w:ascii="宋体" w:hAnsi="宋体" w:eastAsia="方正仿宋_GBK" w:cs="方正仿宋_GBK"/>
          <w:color w:val="000000"/>
          <w:spacing w:val="0"/>
          <w:w w:val="100"/>
          <w:kern w:val="0"/>
          <w:szCs w:val="32"/>
          <w:shd w:val="clear" w:color="auto" w:fill="FFFFFF"/>
          <w:lang w:bidi="ar"/>
        </w:rPr>
      </w:pPr>
    </w:p>
    <w:p>
      <w:pPr>
        <w:pStyle w:val="25"/>
        <w:keepNext w:val="0"/>
        <w:keepLines w:val="0"/>
        <w:pageBreakBefore w:val="0"/>
        <w:widowControl w:val="0"/>
        <w:kinsoku/>
        <w:wordWrap/>
        <w:overflowPunct/>
        <w:topLinePunct w:val="0"/>
        <w:autoSpaceDE/>
        <w:autoSpaceDN/>
        <w:bidi w:val="0"/>
        <w:adjustRightInd/>
        <w:snapToGrid w:val="0"/>
        <w:spacing w:before="0" w:after="0"/>
        <w:textAlignment w:val="auto"/>
        <w:rPr>
          <w:rFonts w:hint="eastAsia"/>
          <w:lang w:val="en-US" w:eastAsia="zh-CN"/>
        </w:rPr>
      </w:pPr>
      <w:r>
        <w:rPr>
          <w:rFonts w:hint="eastAsia"/>
          <w:lang w:val="en-US" w:eastAsia="zh-CN"/>
        </w:rPr>
        <w:t>第四章  重点工程</w:t>
      </w:r>
      <w:bookmarkEnd w:id="49"/>
      <w:bookmarkEnd w:id="50"/>
      <w:bookmarkEnd w:id="51"/>
    </w:p>
    <w:p>
      <w:pPr>
        <w:keepNext w:val="0"/>
        <w:keepLines w:val="0"/>
        <w:pageBreakBefore w:val="0"/>
        <w:widowControl w:val="0"/>
        <w:kinsoku/>
        <w:wordWrap/>
        <w:overflowPunct/>
        <w:topLinePunct w:val="0"/>
        <w:autoSpaceDE/>
        <w:autoSpaceDN/>
        <w:bidi w:val="0"/>
        <w:rPr>
          <w:rFonts w:hint="eastAsia"/>
          <w:lang w:val="en-US" w:eastAsia="zh-CN"/>
        </w:rPr>
      </w:pPr>
      <w:bookmarkStart w:id="52" w:name="_Toc25008"/>
      <w:bookmarkStart w:id="53" w:name="_Toc22248"/>
    </w:p>
    <w:p>
      <w:pPr>
        <w:keepNext w:val="0"/>
        <w:keepLines w:val="0"/>
        <w:pageBreakBefore w:val="0"/>
        <w:widowControl w:val="0"/>
        <w:kinsoku/>
        <w:wordWrap/>
        <w:overflowPunct/>
        <w:topLinePunct w:val="0"/>
        <w:autoSpaceDE/>
        <w:autoSpaceDN/>
        <w:bidi w:val="0"/>
        <w:rPr>
          <w:rFonts w:hint="default"/>
          <w:lang w:val="en-US" w:eastAsia="zh-CN"/>
        </w:rPr>
      </w:pPr>
      <w:r>
        <w:rPr>
          <w:rFonts w:hint="eastAsia"/>
          <w:lang w:val="en-US" w:eastAsia="zh-CN"/>
        </w:rPr>
        <w:t>规划项目。</w:t>
      </w:r>
      <w:r>
        <w:rPr>
          <w:rFonts w:hint="default"/>
          <w:lang w:val="en-US" w:eastAsia="zh-CN"/>
        </w:rPr>
        <w:t>根据荣昌区工业固体废物的产生、处理处置、设施建设等情况，为更好地开展工业固体废物污染防治工作，实现工业固体废物减量化、资源化、无害化，实现规划目标和任务，需落实4大类合计</w:t>
      </w:r>
      <w:r>
        <w:rPr>
          <w:rFonts w:hint="eastAsia"/>
          <w:lang w:val="en-US" w:eastAsia="zh-CN"/>
        </w:rPr>
        <w:t>7</w:t>
      </w:r>
      <w:r>
        <w:rPr>
          <w:rFonts w:hint="default"/>
          <w:lang w:val="en-US" w:eastAsia="zh-CN"/>
        </w:rPr>
        <w:t>项重点项目，总投资估算</w:t>
      </w:r>
      <w:r>
        <w:rPr>
          <w:rFonts w:hint="eastAsia"/>
          <w:lang w:val="en-US" w:eastAsia="zh-CN"/>
        </w:rPr>
        <w:t>40942</w:t>
      </w:r>
      <w:r>
        <w:rPr>
          <w:rFonts w:hint="default"/>
          <w:lang w:val="en-US" w:eastAsia="zh-CN"/>
        </w:rPr>
        <w:t>万元。</w:t>
      </w:r>
      <w:bookmarkEnd w:id="52"/>
      <w:bookmarkEnd w:id="53"/>
    </w:p>
    <w:p>
      <w:pPr>
        <w:keepNext w:val="0"/>
        <w:keepLines w:val="0"/>
        <w:pageBreakBefore w:val="0"/>
        <w:widowControl w:val="0"/>
        <w:kinsoku/>
        <w:wordWrap/>
        <w:overflowPunct/>
        <w:topLinePunct w:val="0"/>
        <w:autoSpaceDE/>
        <w:autoSpaceDN/>
        <w:bidi w:val="0"/>
        <w:rPr>
          <w:rFonts w:hint="default"/>
          <w:lang w:val="en-US" w:eastAsia="zh-CN"/>
        </w:rPr>
      </w:pPr>
      <w:bookmarkStart w:id="54" w:name="_Toc8973"/>
      <w:bookmarkStart w:id="55" w:name="_Toc25070"/>
      <w:r>
        <w:rPr>
          <w:rFonts w:hint="eastAsia"/>
          <w:lang w:val="en-US" w:eastAsia="zh-CN"/>
        </w:rPr>
        <w:t>资金筹措。</w:t>
      </w:r>
      <w:r>
        <w:rPr>
          <w:rFonts w:hint="default"/>
          <w:lang w:val="en-US" w:eastAsia="zh-CN"/>
        </w:rPr>
        <w:t>坚持政府主导与市场化运作相结合的模式，按照“谁受益，谁投资”及是否具有公共属性的原则，筹措荣昌区工业固体废物污染防治工作工程项目的资金，并建立完善的资金投入机制。对于受益主体明确的项目，项目经费应以受益主体为主，并运用市场经济手段，多渠道、多途径筹集资金，减轻政府的负担。对于污泥处理、工业固体废物处置设施等能通过收费形式收回成本并产生经济效益的基础设施建设项目，鼓励采用PPP等形式筹措资金，引导社会资本参与项目建设。对于不能通过收费等形式直接收回投资的公共项目，可以财政拨款、地方自筹、申请上级政府拨款、银行贷款为主。</w:t>
      </w:r>
      <w:bookmarkEnd w:id="54"/>
      <w:bookmarkEnd w:id="55"/>
    </w:p>
    <w:p>
      <w:pPr>
        <w:keepNext w:val="0"/>
        <w:keepLines w:val="0"/>
        <w:pageBreakBefore w:val="0"/>
        <w:widowControl w:val="0"/>
        <w:kinsoku/>
        <w:wordWrap/>
        <w:overflowPunct/>
        <w:topLinePunct w:val="0"/>
        <w:autoSpaceDE/>
        <w:autoSpaceDN/>
        <w:bidi w:val="0"/>
        <w:rPr>
          <w:rFonts w:hint="eastAsia"/>
        </w:rPr>
      </w:pPr>
      <w:r>
        <w:rPr>
          <w:rFonts w:hint="eastAsia"/>
        </w:rPr>
        <w:br w:type="page"/>
      </w:r>
      <w:bookmarkStart w:id="56" w:name="_Toc6790"/>
      <w:bookmarkStart w:id="57" w:name="_Toc10910"/>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5"/>
        <w:keepNext w:val="0"/>
        <w:keepLines w:val="0"/>
        <w:pageBreakBefore w:val="0"/>
        <w:widowControl w:val="0"/>
        <w:kinsoku/>
        <w:wordWrap/>
        <w:overflowPunct/>
        <w:topLinePunct w:val="0"/>
        <w:autoSpaceDE/>
        <w:autoSpaceDN/>
        <w:bidi w:val="0"/>
        <w:adjustRightInd/>
        <w:snapToGrid w:val="0"/>
        <w:spacing w:before="0" w:after="0"/>
        <w:textAlignment w:val="auto"/>
        <w:rPr>
          <w:rFonts w:hint="default"/>
          <w:lang w:val="en-US" w:eastAsia="zh-CN"/>
        </w:rPr>
      </w:pPr>
      <w:r>
        <w:rPr>
          <w:rFonts w:hint="default"/>
          <w:lang w:val="en-US" w:eastAsia="zh-CN"/>
        </w:rPr>
        <w:t>第</w:t>
      </w:r>
      <w:r>
        <w:rPr>
          <w:rFonts w:hint="eastAsia"/>
          <w:lang w:val="en-US" w:eastAsia="zh-CN"/>
        </w:rPr>
        <w:t>五</w:t>
      </w:r>
      <w:r>
        <w:rPr>
          <w:rFonts w:hint="default"/>
          <w:lang w:val="en-US" w:eastAsia="zh-CN"/>
        </w:rPr>
        <w:t>章</w:t>
      </w:r>
      <w:r>
        <w:rPr>
          <w:rFonts w:hint="eastAsia"/>
          <w:lang w:val="en-US" w:eastAsia="zh-CN"/>
        </w:rPr>
        <w:t xml:space="preserve">  </w:t>
      </w:r>
      <w:r>
        <w:rPr>
          <w:rFonts w:hint="default"/>
          <w:lang w:val="en-US" w:eastAsia="zh-CN"/>
        </w:rPr>
        <w:t>保障措施</w:t>
      </w:r>
      <w:bookmarkEnd w:id="56"/>
      <w:bookmarkEnd w:id="57"/>
    </w:p>
    <w:p>
      <w:pPr>
        <w:keepNext w:val="0"/>
        <w:keepLines w:val="0"/>
        <w:pageBreakBefore w:val="0"/>
        <w:widowControl w:val="0"/>
        <w:kinsoku/>
        <w:wordWrap/>
        <w:overflowPunct/>
        <w:topLinePunct w:val="0"/>
        <w:autoSpaceDE/>
        <w:autoSpaceDN/>
        <w:bidi w:val="0"/>
        <w:rPr>
          <w:rFonts w:hint="eastAsia"/>
        </w:rPr>
      </w:pPr>
      <w:bookmarkStart w:id="58" w:name="_Toc22007"/>
    </w:p>
    <w:p>
      <w:pPr>
        <w:keepNext w:val="0"/>
        <w:keepLines w:val="0"/>
        <w:pageBreakBefore w:val="0"/>
        <w:widowControl w:val="0"/>
        <w:kinsoku/>
        <w:wordWrap/>
        <w:overflowPunct/>
        <w:topLinePunct w:val="0"/>
        <w:autoSpaceDE/>
        <w:autoSpaceDN/>
        <w:bidi w:val="0"/>
        <w:rPr>
          <w:rFonts w:hint="default"/>
          <w:lang w:val="en-US" w:eastAsia="zh-CN"/>
        </w:rPr>
      </w:pPr>
      <w:r>
        <w:rPr>
          <w:rFonts w:hint="eastAsia"/>
        </w:rPr>
        <w:t>强化组织领导</w:t>
      </w:r>
      <w:r>
        <w:rPr>
          <w:rFonts w:hint="eastAsia"/>
          <w:lang w:eastAsia="zh-CN"/>
        </w:rPr>
        <w:t>。</w:t>
      </w:r>
      <w:r>
        <w:rPr>
          <w:rFonts w:hint="default"/>
          <w:lang w:val="en-US" w:eastAsia="zh-CN"/>
        </w:rPr>
        <w:t>加强顶层设计，强化组织领导，建立健全部门沟通协作机制，统筹推动工业固体废物管理各项工作，按照部门职责分工，明确各项任务的实施主体，加强互动协作，及时通报、交流信息，努力构建形成上下联动、齐抓共管、</w:t>
      </w:r>
      <w:r>
        <w:rPr>
          <w:rFonts w:hint="eastAsia"/>
          <w:lang w:val="en-US" w:eastAsia="zh-CN"/>
        </w:rPr>
        <w:t>协调</w:t>
      </w:r>
      <w:r>
        <w:rPr>
          <w:rFonts w:hint="default"/>
          <w:lang w:val="en-US" w:eastAsia="zh-CN"/>
        </w:rPr>
        <w:t>推进的工作格局。抓好规划目标、指标、任务分解，明确时间进度要求，将规划任务实施责任细化到区级部门、街镇、工业园区，各责任单位制定年度工作实施方案。对规划实施进展缓慢、重点工程任务滞后或运行不稳定、政策措施落实不到位的区级部门、街镇、工业园区，跟踪问责问效，确保各项工作落实到位。</w:t>
      </w:r>
      <w:bookmarkEnd w:id="58"/>
    </w:p>
    <w:p>
      <w:pPr>
        <w:keepNext w:val="0"/>
        <w:keepLines w:val="0"/>
        <w:pageBreakBefore w:val="0"/>
        <w:widowControl w:val="0"/>
        <w:kinsoku/>
        <w:wordWrap/>
        <w:overflowPunct/>
        <w:topLinePunct w:val="0"/>
        <w:autoSpaceDE/>
        <w:autoSpaceDN/>
        <w:bidi w:val="0"/>
        <w:rPr>
          <w:rFonts w:hint="default"/>
          <w:lang w:val="en-US" w:eastAsia="zh-CN"/>
        </w:rPr>
      </w:pPr>
      <w:bookmarkStart w:id="59" w:name="_Toc107"/>
      <w:r>
        <w:rPr>
          <w:rFonts w:hint="default"/>
        </w:rPr>
        <w:t>严格监督考核</w:t>
      </w:r>
      <w:r>
        <w:rPr>
          <w:rFonts w:hint="eastAsia"/>
          <w:lang w:eastAsia="zh-CN"/>
        </w:rPr>
        <w:t>。</w:t>
      </w:r>
      <w:r>
        <w:rPr>
          <w:rFonts w:hint="default"/>
          <w:lang w:val="en-US" w:eastAsia="zh-CN"/>
        </w:rPr>
        <w:t>制定科学、规范、严格的规划实施年度评估考核机制，规范督查方案和目标考核办法，完善多部门联合监管、专项监督和舆论监督等多种监管方式，加强对规划执行情况的巡视督查，及时评估总结规划确定的目标指标、主要任务、重点工程等落实情况。将危险废物产生企业规范化管理情况等指标纳入企业信用评价考核中，建立危险废物重大环境事件和污染事故的问责制和责任追究制。严格落实信息公开制度，充分发挥新闻媒体和环保举报热线的监督作用，鼓励公众积极参与监督和举报，努力营造政府引导，业主自律、群众参与、媒体监督的良好氛围。</w:t>
      </w:r>
      <w:bookmarkEnd w:id="59"/>
    </w:p>
    <w:p>
      <w:pPr>
        <w:keepNext w:val="0"/>
        <w:keepLines w:val="0"/>
        <w:pageBreakBefore w:val="0"/>
        <w:widowControl w:val="0"/>
        <w:kinsoku/>
        <w:wordWrap/>
        <w:overflowPunct/>
        <w:topLinePunct w:val="0"/>
        <w:autoSpaceDE/>
        <w:autoSpaceDN/>
        <w:bidi w:val="0"/>
        <w:rPr>
          <w:rFonts w:hint="default"/>
          <w:lang w:val="en-US" w:eastAsia="zh-CN"/>
        </w:rPr>
      </w:pPr>
      <w:r>
        <w:rPr>
          <w:rFonts w:hint="eastAsia"/>
        </w:rPr>
        <w:br w:type="page"/>
      </w:r>
      <w:bookmarkStart w:id="60" w:name="_Toc1385"/>
      <w:r>
        <w:rPr>
          <w:rFonts w:hint="default"/>
        </w:rPr>
        <w:t>强化技术支撑</w:t>
      </w:r>
      <w:r>
        <w:rPr>
          <w:rFonts w:hint="eastAsia"/>
          <w:lang w:eastAsia="zh-CN"/>
        </w:rPr>
        <w:t>。</w:t>
      </w:r>
      <w:r>
        <w:rPr>
          <w:rFonts w:hint="default"/>
          <w:lang w:val="en-US" w:eastAsia="zh-CN"/>
        </w:rPr>
        <w:t>严格执行工业固体废物收集利用处置设施建设的国家技术标准和设计规范，严把项目建设质量关，实现项目达标达产。加强对工业固体废物资源利用的科技研发投入，积极鼓励工业固体废物利用处置新技术、新工艺、新装备的开发、试点和示范推广。依托产废量较大的企业，深入研发高质量再生资源产品。通过引进国内外先进工业固体废物资源利用技术、设备和鼓励自主创新等方式，探索规模化、高值化利用技术，力争建立一批示范性工程项目，加快技术研发和成果推广应用的转化周期，强化工业固体废物利用技术创新和产业化发展。</w:t>
      </w:r>
      <w:bookmarkEnd w:id="60"/>
    </w:p>
    <w:p>
      <w:pPr>
        <w:keepNext w:val="0"/>
        <w:keepLines w:val="0"/>
        <w:pageBreakBefore w:val="0"/>
        <w:widowControl w:val="0"/>
        <w:kinsoku/>
        <w:wordWrap/>
        <w:overflowPunct/>
        <w:topLinePunct w:val="0"/>
        <w:autoSpaceDE/>
        <w:autoSpaceDN/>
        <w:bidi w:val="0"/>
        <w:rPr>
          <w:rFonts w:hint="default"/>
          <w:lang w:val="en-US" w:eastAsia="zh-CN"/>
        </w:rPr>
      </w:pPr>
      <w:bookmarkStart w:id="61" w:name="_Toc22862"/>
      <w:r>
        <w:rPr>
          <w:rFonts w:hint="default"/>
        </w:rPr>
        <w:t>加强宣传引导</w:t>
      </w:r>
      <w:r>
        <w:rPr>
          <w:rFonts w:hint="eastAsia"/>
          <w:lang w:eastAsia="zh-CN"/>
        </w:rPr>
        <w:t>。</w:t>
      </w:r>
      <w:r>
        <w:rPr>
          <w:rFonts w:hint="default"/>
          <w:lang w:val="en-US" w:eastAsia="zh-CN"/>
        </w:rPr>
        <w:t>充分利用广播、电视、报刊等传统新闻媒体及微博、微信、网站等新兴媒体资源，积极开展工业固体废物相关法律法规的宣传活动，普及宣传工业固体废物污染防治相关知识，提高公众对工业固体废物及其危害的认识，增强公众法制观念和污染预防的意识。鼓励公众积极参与废铅酸蓄电池、废旧灯管等回收活动，购买绿色环保产品，形成全社会关注工业固体废物处置的良好气氛和有利于危险废物减量化的消费习惯。</w:t>
      </w:r>
      <w:bookmarkEnd w:id="61"/>
    </w:p>
    <w:p>
      <w:pPr>
        <w:keepNext w:val="0"/>
        <w:keepLines w:val="0"/>
        <w:pageBreakBefore w:val="0"/>
        <w:widowControl w:val="0"/>
        <w:kinsoku/>
        <w:wordWrap/>
        <w:overflowPunct/>
        <w:topLinePunct w:val="0"/>
        <w:autoSpaceDE/>
        <w:autoSpaceDN/>
        <w:bidi w:val="0"/>
        <w:rPr>
          <w:rFonts w:hint="eastAsia"/>
        </w:rPr>
        <w:sectPr>
          <w:headerReference r:id="rId5" w:type="default"/>
          <w:footerReference r:id="rId6" w:type="default"/>
          <w:footerReference r:id="rId7"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pStyle w:val="3"/>
        <w:keepNext w:val="0"/>
        <w:keepLines w:val="0"/>
        <w:pageBreakBefore w:val="0"/>
        <w:widowControl w:val="0"/>
        <w:kinsoku/>
        <w:wordWrap/>
        <w:overflowPunct/>
        <w:topLinePunct w:val="0"/>
        <w:autoSpaceDE/>
        <w:autoSpaceDN/>
        <w:bidi w:val="0"/>
        <w:adjustRightInd/>
        <w:snapToGrid/>
        <w:spacing w:after="292" w:afterLines="50"/>
        <w:ind w:left="0" w:leftChars="0" w:firstLine="0" w:firstLineChars="0"/>
        <w:textAlignment w:val="auto"/>
        <w:rPr>
          <w:rFonts w:hint="eastAsia" w:ascii="方正黑体_GBK" w:hAnsi="方正黑体_GBK" w:eastAsia="方正黑体_GBK" w:cs="方正黑体_GBK"/>
          <w:b w:val="0"/>
          <w:bCs w:val="0"/>
          <w:color w:val="000000" w:themeColor="text1"/>
          <w:spacing w:val="0"/>
          <w:w w:val="100"/>
          <w:kern w:val="0"/>
          <w:sz w:val="24"/>
          <w:szCs w:val="24"/>
        </w:rPr>
      </w:pPr>
      <w:bookmarkStart w:id="62" w:name="_Toc9523"/>
      <w:r>
        <w:rPr>
          <w:rFonts w:hint="default"/>
        </w:rPr>
        <w:t xml:space="preserve">附表 </w:t>
      </w:r>
      <w:r>
        <w:rPr>
          <w:rFonts w:hint="eastAsia"/>
          <w:lang w:val="en-US" w:eastAsia="zh-CN"/>
        </w:rPr>
        <w:t xml:space="preserve">              </w:t>
      </w:r>
      <w:r>
        <w:rPr>
          <w:rFonts w:hint="default"/>
        </w:rPr>
        <w:t xml:space="preserve"> 荣昌区工业固体废物污染防治工作规划工程项目</w:t>
      </w:r>
      <w:bookmarkEnd w:id="62"/>
    </w:p>
    <w:tbl>
      <w:tblPr>
        <w:tblStyle w:val="18"/>
        <w:tblW w:w="4982" w:type="pct"/>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23" w:type="dxa"/>
          <w:bottom w:w="0" w:type="dxa"/>
          <w:right w:w="23" w:type="dxa"/>
        </w:tblCellMar>
      </w:tblPr>
      <w:tblGrid>
        <w:gridCol w:w="545"/>
        <w:gridCol w:w="1607"/>
        <w:gridCol w:w="3401"/>
        <w:gridCol w:w="972"/>
        <w:gridCol w:w="855"/>
        <w:gridCol w:w="1076"/>
        <w:gridCol w:w="1856"/>
        <w:gridCol w:w="1680"/>
        <w:gridCol w:w="1442"/>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20" w:hRule="atLeast"/>
          <w:tblHeader/>
        </w:trPr>
        <w:tc>
          <w:tcPr>
            <w:tcW w:w="202"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序号</w:t>
            </w:r>
          </w:p>
        </w:tc>
        <w:tc>
          <w:tcPr>
            <w:tcW w:w="59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项目名称</w:t>
            </w:r>
          </w:p>
        </w:tc>
        <w:tc>
          <w:tcPr>
            <w:tcW w:w="126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项目内容</w:t>
            </w:r>
          </w:p>
        </w:tc>
        <w:tc>
          <w:tcPr>
            <w:tcW w:w="36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总投资</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（万元）</w:t>
            </w:r>
          </w:p>
        </w:tc>
        <w:tc>
          <w:tcPr>
            <w:tcW w:w="31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建设</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时期</w:t>
            </w:r>
          </w:p>
        </w:tc>
        <w:tc>
          <w:tcPr>
            <w:tcW w:w="400"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牵头单位</w:t>
            </w:r>
          </w:p>
        </w:tc>
        <w:tc>
          <w:tcPr>
            <w:tcW w:w="69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配合单位</w:t>
            </w:r>
          </w:p>
        </w:tc>
        <w:tc>
          <w:tcPr>
            <w:tcW w:w="62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项目来源</w:t>
            </w:r>
          </w:p>
        </w:tc>
        <w:tc>
          <w:tcPr>
            <w:tcW w:w="53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黑体_GBK" w:hAnsi="方正黑体_GBK" w:eastAsia="方正黑体_GBK" w:cs="方正黑体_GBK"/>
                <w:b w:val="0"/>
                <w:bCs w:val="0"/>
                <w:color w:val="000000" w:themeColor="text1"/>
                <w:spacing w:val="0"/>
                <w:w w:val="100"/>
                <w:kern w:val="0"/>
                <w:sz w:val="24"/>
                <w:szCs w:val="24"/>
              </w:rPr>
            </w:pPr>
            <w:r>
              <w:rPr>
                <w:rFonts w:hint="eastAsia" w:ascii="方正黑体_GBK" w:hAnsi="方正黑体_GBK" w:eastAsia="方正黑体_GBK" w:cs="方正黑体_GBK"/>
                <w:b w:val="0"/>
                <w:bCs w:val="0"/>
                <w:color w:val="000000" w:themeColor="text1"/>
                <w:spacing w:val="0"/>
                <w:w w:val="100"/>
                <w:kern w:val="0"/>
                <w:sz w:val="24"/>
                <w:szCs w:val="24"/>
              </w:rPr>
              <w:t>资金来源</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477" w:hRule="atLeast"/>
        </w:trPr>
        <w:tc>
          <w:tcPr>
            <w:tcW w:w="5000" w:type="pct"/>
            <w:gridSpan w:val="9"/>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auto"/>
                <w:spacing w:val="0"/>
                <w:w w:val="100"/>
                <w:kern w:val="0"/>
                <w:sz w:val="24"/>
                <w:szCs w:val="24"/>
              </w:rPr>
              <w:t>一</w:t>
            </w:r>
            <w:r>
              <w:rPr>
                <w:rFonts w:hint="eastAsia" w:ascii="方正仿宋_GBK" w:hAnsi="方正仿宋_GBK" w:eastAsia="方正仿宋_GBK" w:cs="方正仿宋_GBK"/>
                <w:b w:val="0"/>
                <w:bCs w:val="0"/>
                <w:color w:val="auto"/>
                <w:spacing w:val="0"/>
                <w:w w:val="100"/>
                <w:kern w:val="0"/>
                <w:sz w:val="24"/>
                <w:szCs w:val="24"/>
                <w:lang w:eastAsia="zh-CN"/>
              </w:rPr>
              <w:t>、</w:t>
            </w:r>
            <w:r>
              <w:rPr>
                <w:rFonts w:hint="eastAsia" w:ascii="方正仿宋_GBK" w:hAnsi="方正仿宋_GBK" w:eastAsia="方正仿宋_GBK" w:cs="方正仿宋_GBK"/>
                <w:b w:val="0"/>
                <w:bCs w:val="0"/>
                <w:color w:val="auto"/>
                <w:spacing w:val="0"/>
                <w:w w:val="100"/>
                <w:kern w:val="0"/>
                <w:sz w:val="24"/>
                <w:szCs w:val="24"/>
              </w:rPr>
              <w:t>工业固体废物源头减量</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1286" w:hRule="atLeast"/>
        </w:trPr>
        <w:tc>
          <w:tcPr>
            <w:tcW w:w="202"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1</w:t>
            </w:r>
          </w:p>
        </w:tc>
        <w:tc>
          <w:tcPr>
            <w:tcW w:w="59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清洁生产水平提升工程</w:t>
            </w:r>
          </w:p>
        </w:tc>
        <w:tc>
          <w:tcPr>
            <w:tcW w:w="126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推动荣昌高新区化工、生物医药、农牧高新等传统产业清洁化改造。</w:t>
            </w:r>
          </w:p>
        </w:tc>
        <w:tc>
          <w:tcPr>
            <w:tcW w:w="36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600</w:t>
            </w:r>
          </w:p>
        </w:tc>
        <w:tc>
          <w:tcPr>
            <w:tcW w:w="31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2021</w:t>
            </w:r>
            <w:r>
              <w:rPr>
                <w:rFonts w:hint="eastAsia" w:ascii="方正仿宋_GBK" w:hAnsi="方正仿宋_GBK" w:cs="方正仿宋_GBK"/>
                <w:b w:val="0"/>
                <w:bCs w:val="0"/>
                <w:color w:val="000000" w:themeColor="text1"/>
                <w:spacing w:val="0"/>
                <w:w w:val="100"/>
                <w:kern w:val="0"/>
                <w:sz w:val="24"/>
                <w:szCs w:val="24"/>
                <w:lang w:eastAsia="zh-CN"/>
              </w:rPr>
              <w:t>——</w:t>
            </w:r>
            <w:r>
              <w:rPr>
                <w:rFonts w:hint="eastAsia" w:ascii="方正仿宋_GBK" w:hAnsi="方正仿宋_GBK" w:eastAsia="方正仿宋_GBK" w:cs="方正仿宋_GBK"/>
                <w:b w:val="0"/>
                <w:bCs w:val="0"/>
                <w:color w:val="000000" w:themeColor="text1"/>
                <w:spacing w:val="0"/>
                <w:w w:val="100"/>
                <w:kern w:val="0"/>
                <w:sz w:val="24"/>
                <w:szCs w:val="24"/>
              </w:rPr>
              <w:t>2025</w:t>
            </w:r>
          </w:p>
        </w:tc>
        <w:tc>
          <w:tcPr>
            <w:tcW w:w="400"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高新区管委会</w:t>
            </w:r>
          </w:p>
        </w:tc>
        <w:tc>
          <w:tcPr>
            <w:tcW w:w="69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区经济信息委</w:t>
            </w:r>
          </w:p>
        </w:tc>
        <w:tc>
          <w:tcPr>
            <w:tcW w:w="62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高新区十四五规划</w:t>
            </w:r>
          </w:p>
        </w:tc>
        <w:tc>
          <w:tcPr>
            <w:tcW w:w="53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平台出资，集中处理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1240" w:hRule="atLeast"/>
        </w:trPr>
        <w:tc>
          <w:tcPr>
            <w:tcW w:w="202"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2</w:t>
            </w:r>
          </w:p>
        </w:tc>
        <w:tc>
          <w:tcPr>
            <w:tcW w:w="59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工业绿色制造体系建设工程</w:t>
            </w:r>
          </w:p>
        </w:tc>
        <w:tc>
          <w:tcPr>
            <w:tcW w:w="126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建成绿色产业链、绿色工厂等15家；建成绿色园区1个</w:t>
            </w:r>
          </w:p>
        </w:tc>
        <w:tc>
          <w:tcPr>
            <w:tcW w:w="36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2000</w:t>
            </w:r>
          </w:p>
        </w:tc>
        <w:tc>
          <w:tcPr>
            <w:tcW w:w="31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2021</w:t>
            </w:r>
            <w:r>
              <w:rPr>
                <w:rFonts w:hint="eastAsia" w:ascii="方正仿宋_GBK" w:hAnsi="方正仿宋_GBK" w:cs="方正仿宋_GBK"/>
                <w:b w:val="0"/>
                <w:bCs w:val="0"/>
                <w:color w:val="000000" w:themeColor="text1"/>
                <w:spacing w:val="0"/>
                <w:w w:val="100"/>
                <w:kern w:val="0"/>
                <w:sz w:val="24"/>
                <w:szCs w:val="24"/>
                <w:lang w:eastAsia="zh-CN"/>
              </w:rPr>
              <w:t>—</w:t>
            </w:r>
            <w:r>
              <w:rPr>
                <w:rFonts w:hint="eastAsia" w:ascii="方正仿宋_GBK" w:hAnsi="方正仿宋_GBK" w:eastAsia="方正仿宋_GBK" w:cs="方正仿宋_GBK"/>
                <w:b w:val="0"/>
                <w:bCs w:val="0"/>
                <w:color w:val="000000" w:themeColor="text1"/>
                <w:spacing w:val="0"/>
                <w:w w:val="100"/>
                <w:kern w:val="0"/>
                <w:sz w:val="24"/>
                <w:szCs w:val="24"/>
              </w:rPr>
              <w:t>2025</w:t>
            </w:r>
          </w:p>
        </w:tc>
        <w:tc>
          <w:tcPr>
            <w:tcW w:w="400"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区经济信息委</w:t>
            </w:r>
          </w:p>
        </w:tc>
        <w:tc>
          <w:tcPr>
            <w:tcW w:w="69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区生态环境局、高新区管委会、区水利局</w:t>
            </w:r>
          </w:p>
        </w:tc>
        <w:tc>
          <w:tcPr>
            <w:tcW w:w="62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区经信委十四五规划</w:t>
            </w:r>
          </w:p>
        </w:tc>
        <w:tc>
          <w:tcPr>
            <w:tcW w:w="53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企业自筹，创建成功后区政府财政补贴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706" w:hRule="atLeast"/>
        </w:trPr>
        <w:tc>
          <w:tcPr>
            <w:tcW w:w="5000" w:type="pct"/>
            <w:gridSpan w:val="9"/>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auto"/>
                <w:spacing w:val="0"/>
                <w:w w:val="100"/>
                <w:kern w:val="0"/>
                <w:sz w:val="24"/>
                <w:szCs w:val="24"/>
              </w:rPr>
              <w:t>二</w:t>
            </w:r>
            <w:r>
              <w:rPr>
                <w:rFonts w:hint="eastAsia" w:ascii="方正仿宋_GBK" w:hAnsi="方正仿宋_GBK" w:eastAsia="方正仿宋_GBK" w:cs="方正仿宋_GBK"/>
                <w:b w:val="0"/>
                <w:bCs w:val="0"/>
                <w:color w:val="auto"/>
                <w:spacing w:val="0"/>
                <w:w w:val="100"/>
                <w:kern w:val="0"/>
                <w:sz w:val="24"/>
                <w:szCs w:val="24"/>
                <w:lang w:eastAsia="zh-CN"/>
              </w:rPr>
              <w:t>、</w:t>
            </w:r>
            <w:r>
              <w:rPr>
                <w:rFonts w:hint="eastAsia" w:ascii="方正仿宋_GBK" w:hAnsi="方正仿宋_GBK" w:eastAsia="方正仿宋_GBK" w:cs="方正仿宋_GBK"/>
                <w:b w:val="0"/>
                <w:bCs w:val="0"/>
                <w:color w:val="auto"/>
                <w:spacing w:val="0"/>
                <w:w w:val="100"/>
                <w:kern w:val="0"/>
                <w:sz w:val="24"/>
                <w:szCs w:val="24"/>
              </w:rPr>
              <w:t>工业固体废物资源化利用水平提升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924" w:hRule="atLeast"/>
        </w:trPr>
        <w:tc>
          <w:tcPr>
            <w:tcW w:w="202"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3</w:t>
            </w:r>
          </w:p>
        </w:tc>
        <w:tc>
          <w:tcPr>
            <w:tcW w:w="59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绿色循环化改工程</w:t>
            </w:r>
          </w:p>
        </w:tc>
        <w:tc>
          <w:tcPr>
            <w:tcW w:w="126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推进园区循环化改造。</w:t>
            </w:r>
          </w:p>
        </w:tc>
        <w:tc>
          <w:tcPr>
            <w:tcW w:w="36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600</w:t>
            </w:r>
          </w:p>
        </w:tc>
        <w:tc>
          <w:tcPr>
            <w:tcW w:w="31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2021</w:t>
            </w:r>
            <w:r>
              <w:rPr>
                <w:rFonts w:hint="eastAsia" w:ascii="方正仿宋_GBK" w:hAnsi="方正仿宋_GBK" w:cs="方正仿宋_GBK"/>
                <w:b w:val="0"/>
                <w:bCs w:val="0"/>
                <w:color w:val="000000" w:themeColor="text1"/>
                <w:spacing w:val="0"/>
                <w:w w:val="100"/>
                <w:kern w:val="0"/>
                <w:sz w:val="24"/>
                <w:szCs w:val="24"/>
                <w:lang w:eastAsia="zh-CN"/>
              </w:rPr>
              <w:t>—</w:t>
            </w:r>
            <w:r>
              <w:rPr>
                <w:rFonts w:hint="eastAsia" w:ascii="方正仿宋_GBK" w:hAnsi="方正仿宋_GBK" w:eastAsia="方正仿宋_GBK" w:cs="方正仿宋_GBK"/>
                <w:b w:val="0"/>
                <w:bCs w:val="0"/>
                <w:color w:val="000000" w:themeColor="text1"/>
                <w:spacing w:val="0"/>
                <w:w w:val="100"/>
                <w:kern w:val="0"/>
                <w:sz w:val="24"/>
                <w:szCs w:val="24"/>
              </w:rPr>
              <w:t>2025</w:t>
            </w:r>
          </w:p>
        </w:tc>
        <w:tc>
          <w:tcPr>
            <w:tcW w:w="400"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高新区管委会</w:t>
            </w:r>
          </w:p>
        </w:tc>
        <w:tc>
          <w:tcPr>
            <w:tcW w:w="69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区经济信息委</w:t>
            </w:r>
          </w:p>
        </w:tc>
        <w:tc>
          <w:tcPr>
            <w:tcW w:w="62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区经信委十四五规划</w:t>
            </w:r>
          </w:p>
        </w:tc>
        <w:tc>
          <w:tcPr>
            <w:tcW w:w="53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000000" w:themeColor="text1"/>
                <w:spacing w:val="0"/>
                <w:w w:val="100"/>
                <w:kern w:val="0"/>
                <w:sz w:val="24"/>
                <w:szCs w:val="24"/>
              </w:rPr>
              <w:t>平台出资，集中处理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2003" w:hRule="atLeast"/>
        </w:trPr>
        <w:tc>
          <w:tcPr>
            <w:tcW w:w="202"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sz w:val="32"/>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144780</wp:posOffset>
                      </wp:positionV>
                      <wp:extent cx="282575" cy="1332230"/>
                      <wp:effectExtent l="5080" t="4445" r="17145" b="15875"/>
                      <wp:wrapNone/>
                      <wp:docPr id="4" name="文本框 161"/>
                      <wp:cNvGraphicFramePr/>
                      <a:graphic xmlns:a="http://schemas.openxmlformats.org/drawingml/2006/main">
                        <a:graphicData uri="http://schemas.microsoft.com/office/word/2010/wordprocessingShape">
                          <wps:wsp>
                            <wps:cNvSpPr txBox="1"/>
                            <wps:spPr>
                              <a:xfrm>
                                <a:off x="0" y="0"/>
                                <a:ext cx="282575" cy="13322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33 </w:t>
                                  </w:r>
                                  <w:r>
                                    <w:rPr>
                                      <w:rFonts w:hint="eastAsia" w:ascii="宋体" w:hAnsi="宋体" w:eastAsia="宋体" w:cs="宋体"/>
                                      <w:sz w:val="28"/>
                                      <w:szCs w:val="28"/>
                                      <w:lang w:eastAsia="zh-CN"/>
                                    </w:rPr>
                                    <w:t>—</w:t>
                                  </w:r>
                                </w:p>
                              </w:txbxContent>
                            </wps:txbx>
                            <wps:bodyPr vert="eaVert" lIns="0" tIns="0" rIns="0" bIns="0" upright="1"/>
                          </wps:wsp>
                        </a:graphicData>
                      </a:graphic>
                    </wp:anchor>
                  </w:drawing>
                </mc:Choice>
                <mc:Fallback>
                  <w:pict>
                    <v:shape id="文本框 161" o:spid="_x0000_s1026" o:spt="202" type="#_x0000_t202" style="position:absolute;left:0pt;margin-left:-31.5pt;margin-top:11.4pt;height:104.9pt;width:22.25pt;z-index:251662336;mso-width-relative:page;mso-height-relative:page;" fillcolor="#FFFFFF" filled="t" stroked="t" coordsize="21600,21600" o:gfxdata="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bV&#10;wT3aAAAACgEAAA8AAAAAAAAAAQAgAAAAIgAAAGRycy9kb3ducmV2LnhtbFBLAQIUABQAAAAIAIdO&#10;4kBBrkcpIQIAAGoEAAAOAAAAAAAAAAEAIAAAACkBAABkcnMvZTJvRG9jLnhtbFBLBQYAAAAABgAG&#10;AFkBAAC8BQAAAAA=&#10;">
                      <v:fill on="t" focussize="0,0"/>
                      <v:stroke color="#FFFFFF" joinstyle="miter"/>
                      <v:imagedata o:title=""/>
                      <o:lock v:ext="edit" aspectratio="f"/>
                      <v:textbox inset="0mm,0mm,0mm,0mm" style="layout-flow:vertical-ideographic;">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33 </w:t>
                            </w:r>
                            <w:r>
                              <w:rPr>
                                <w:rFonts w:hint="eastAsia" w:ascii="宋体" w:hAnsi="宋体" w:eastAsia="宋体" w:cs="宋体"/>
                                <w:sz w:val="28"/>
                                <w:szCs w:val="28"/>
                                <w:lang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4</w:t>
            </w:r>
          </w:p>
        </w:tc>
        <w:tc>
          <w:tcPr>
            <w:tcW w:w="59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工业固体废物资源化利用工程</w:t>
            </w:r>
          </w:p>
        </w:tc>
        <w:tc>
          <w:tcPr>
            <w:tcW w:w="126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推进粉煤灰和脱硫石膏、冶炼和化工废渣</w:t>
            </w:r>
            <w:r>
              <w:rPr>
                <w:rFonts w:hint="eastAsia" w:ascii="方正仿宋_GBK" w:hAnsi="方正仿宋_GBK" w:eastAsia="方正仿宋_GBK" w:cs="方正仿宋_GBK"/>
                <w:b w:val="0"/>
                <w:bCs w:val="0"/>
                <w:color w:val="auto"/>
                <w:spacing w:val="0"/>
                <w:w w:val="100"/>
                <w:kern w:val="0"/>
                <w:sz w:val="24"/>
                <w:szCs w:val="24"/>
                <w:lang w:eastAsia="zh-CN"/>
              </w:rPr>
              <w:t>、</w:t>
            </w:r>
            <w:r>
              <w:rPr>
                <w:rFonts w:hint="eastAsia" w:ascii="方正仿宋_GBK" w:hAnsi="方正仿宋_GBK" w:eastAsia="方正仿宋_GBK" w:cs="方正仿宋_GBK"/>
                <w:b w:val="0"/>
                <w:bCs w:val="0"/>
                <w:color w:val="auto"/>
                <w:spacing w:val="0"/>
                <w:w w:val="100"/>
                <w:kern w:val="0"/>
                <w:sz w:val="24"/>
                <w:szCs w:val="24"/>
                <w:lang w:val="en-US" w:eastAsia="zh-CN"/>
              </w:rPr>
              <w:t>矿山尾矿</w:t>
            </w:r>
            <w:r>
              <w:rPr>
                <w:rFonts w:hint="eastAsia" w:ascii="方正仿宋_GBK" w:hAnsi="方正仿宋_GBK" w:eastAsia="方正仿宋_GBK" w:cs="方正仿宋_GBK"/>
                <w:b w:val="0"/>
                <w:bCs w:val="0"/>
                <w:color w:val="auto"/>
                <w:spacing w:val="0"/>
                <w:w w:val="100"/>
                <w:kern w:val="0"/>
                <w:sz w:val="24"/>
                <w:szCs w:val="24"/>
              </w:rPr>
              <w:t>等大宗</w:t>
            </w:r>
            <w:r>
              <w:rPr>
                <w:rFonts w:hint="eastAsia" w:ascii="方正仿宋_GBK" w:hAnsi="方正仿宋_GBK" w:eastAsia="方正仿宋_GBK" w:cs="方正仿宋_GBK"/>
                <w:b w:val="0"/>
                <w:bCs w:val="0"/>
                <w:color w:val="000000" w:themeColor="text1"/>
                <w:spacing w:val="0"/>
                <w:w w:val="100"/>
                <w:kern w:val="0"/>
                <w:sz w:val="24"/>
                <w:szCs w:val="24"/>
              </w:rPr>
              <w:t>工业固废综合利用，开展大宗固体废弃物综合利用基地和工业资源综合利用基地建设。</w:t>
            </w:r>
          </w:p>
        </w:tc>
        <w:tc>
          <w:tcPr>
            <w:tcW w:w="361"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2000</w:t>
            </w:r>
          </w:p>
        </w:tc>
        <w:tc>
          <w:tcPr>
            <w:tcW w:w="318"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2021</w:t>
            </w:r>
            <w:r>
              <w:rPr>
                <w:rFonts w:hint="eastAsia" w:ascii="方正仿宋_GBK" w:hAnsi="方正仿宋_GBK" w:cs="方正仿宋_GBK"/>
                <w:b w:val="0"/>
                <w:bCs w:val="0"/>
                <w:color w:val="000000" w:themeColor="text1"/>
                <w:spacing w:val="0"/>
                <w:w w:val="100"/>
                <w:kern w:val="0"/>
                <w:sz w:val="24"/>
                <w:szCs w:val="24"/>
                <w:lang w:eastAsia="zh-CN"/>
              </w:rPr>
              <w:t>—</w:t>
            </w:r>
            <w:r>
              <w:rPr>
                <w:rFonts w:hint="eastAsia" w:ascii="方正仿宋_GBK" w:hAnsi="方正仿宋_GBK" w:eastAsia="方正仿宋_GBK" w:cs="方正仿宋_GBK"/>
                <w:b w:val="0"/>
                <w:bCs w:val="0"/>
                <w:color w:val="000000" w:themeColor="text1"/>
                <w:spacing w:val="0"/>
                <w:w w:val="100"/>
                <w:kern w:val="0"/>
                <w:sz w:val="24"/>
                <w:szCs w:val="24"/>
              </w:rPr>
              <w:t>2025</w:t>
            </w:r>
          </w:p>
        </w:tc>
        <w:tc>
          <w:tcPr>
            <w:tcW w:w="400" w:type="pct"/>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区经济信息委</w:t>
            </w:r>
          </w:p>
        </w:tc>
        <w:tc>
          <w:tcPr>
            <w:tcW w:w="69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区生态环境局、高新区管委会、区规划和自然资源局、区住房城乡建委、区财政局</w:t>
            </w:r>
          </w:p>
        </w:tc>
        <w:tc>
          <w:tcPr>
            <w:tcW w:w="62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区经信委十四五规划</w:t>
            </w:r>
          </w:p>
        </w:tc>
        <w:tc>
          <w:tcPr>
            <w:tcW w:w="53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平台出资，集中处理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924" w:hRule="atLeast"/>
        </w:trPr>
        <w:tc>
          <w:tcPr>
            <w:tcW w:w="202"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sz w:val="32"/>
              </w:rPr>
              <mc:AlternateContent>
                <mc:Choice Requires="wps">
                  <w:drawing>
                    <wp:anchor distT="0" distB="0" distL="114300" distR="114300" simplePos="0" relativeHeight="251669504" behindDoc="0" locked="0" layoutInCell="1" allowOverlap="1">
                      <wp:simplePos x="0" y="0"/>
                      <wp:positionH relativeFrom="column">
                        <wp:posOffset>-386715</wp:posOffset>
                      </wp:positionH>
                      <wp:positionV relativeFrom="paragraph">
                        <wp:posOffset>-662305</wp:posOffset>
                      </wp:positionV>
                      <wp:extent cx="282575" cy="1332230"/>
                      <wp:effectExtent l="5080" t="4445" r="17145" b="15875"/>
                      <wp:wrapNone/>
                      <wp:docPr id="9" name="文本框 166"/>
                      <wp:cNvGraphicFramePr/>
                      <a:graphic xmlns:a="http://schemas.openxmlformats.org/drawingml/2006/main">
                        <a:graphicData uri="http://schemas.microsoft.com/office/word/2010/wordprocessingShape">
                          <wps:wsp>
                            <wps:cNvSpPr txBox="1"/>
                            <wps:spPr>
                              <a:xfrm>
                                <a:off x="0" y="0"/>
                                <a:ext cx="282575" cy="13322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34 </w:t>
                                  </w:r>
                                  <w:r>
                                    <w:rPr>
                                      <w:rFonts w:hint="eastAsia" w:ascii="宋体" w:hAnsi="宋体" w:eastAsia="宋体" w:cs="宋体"/>
                                      <w:sz w:val="28"/>
                                      <w:szCs w:val="28"/>
                                      <w:lang w:eastAsia="zh-CN"/>
                                    </w:rPr>
                                    <w:t>—</w:t>
                                  </w:r>
                                </w:p>
                              </w:txbxContent>
                            </wps:txbx>
                            <wps:bodyPr vert="eaVert" lIns="0" tIns="0" rIns="0" bIns="0" upright="1"/>
                          </wps:wsp>
                        </a:graphicData>
                      </a:graphic>
                    </wp:anchor>
                  </w:drawing>
                </mc:Choice>
                <mc:Fallback>
                  <w:pict>
                    <v:shape id="文本框 166" o:spid="_x0000_s1026" o:spt="202" type="#_x0000_t202" style="position:absolute;left:0pt;margin-left:-30.45pt;margin-top:-52.15pt;height:104.9pt;width:22.25pt;z-index:251669504;mso-width-relative:page;mso-height-relative:page;" fillcolor="#FFFFFF" filled="t" stroked="t" coordsize="21600,21600" o:gfxdata="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K&#10;EEw13AAAAAwBAAAPAAAAAAAAAAEAIAAAACIAAABkcnMvZG93bnJldi54bWxQSwECFAAUAAAACACH&#10;TuJAJDrH4yACAABqBAAADgAAAAAAAAABACAAAAArAQAAZHJzL2Uyb0RvYy54bWxQSwUGAAAAAAYA&#10;BgBZAQAAvQUAAAAA&#10;">
                      <v:fill on="t" focussize="0,0"/>
                      <v:stroke color="#FFFFFF" joinstyle="miter"/>
                      <v:imagedata o:title=""/>
                      <o:lock v:ext="edit" aspectratio="f"/>
                      <v:textbox inset="0mm,0mm,0mm,0mm" style="layout-flow:vertical-ideographic;">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34 </w:t>
                            </w:r>
                            <w:r>
                              <w:rPr>
                                <w:rFonts w:hint="eastAsia" w:ascii="宋体" w:hAnsi="宋体" w:eastAsia="宋体" w:cs="宋体"/>
                                <w:sz w:val="28"/>
                                <w:szCs w:val="28"/>
                                <w:lang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5</w:t>
            </w:r>
          </w:p>
        </w:tc>
        <w:tc>
          <w:tcPr>
            <w:tcW w:w="598"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绿色矿山创建工程</w:t>
            </w:r>
          </w:p>
        </w:tc>
        <w:tc>
          <w:tcPr>
            <w:tcW w:w="1265" w:type="pct"/>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0" w:firstLineChars="0"/>
              <w:jc w:val="both"/>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推动重庆现在饮品有限责任公司</w:t>
            </w:r>
            <w:r>
              <w:rPr>
                <w:rFonts w:hint="eastAsia" w:ascii="方正仿宋_GBK" w:hAnsi="方正仿宋_GBK" w:eastAsia="方正仿宋_GBK" w:cs="方正仿宋_GBK"/>
                <w:b w:val="0"/>
                <w:bCs w:val="0"/>
                <w:color w:val="000000" w:themeColor="text1"/>
                <w:spacing w:val="0"/>
                <w:w w:val="100"/>
                <w:kern w:val="0"/>
                <w:sz w:val="24"/>
                <w:szCs w:val="24"/>
                <w:lang w:eastAsia="zh-CN"/>
              </w:rPr>
              <w:t>、</w:t>
            </w:r>
            <w:r>
              <w:rPr>
                <w:rFonts w:hint="eastAsia" w:ascii="方正仿宋_GBK" w:hAnsi="方正仿宋_GBK" w:eastAsia="方正仿宋_GBK" w:cs="方正仿宋_GBK"/>
                <w:b w:val="0"/>
                <w:bCs w:val="0"/>
                <w:color w:val="000000" w:themeColor="text1"/>
                <w:spacing w:val="0"/>
                <w:w w:val="100"/>
                <w:kern w:val="0"/>
                <w:sz w:val="24"/>
                <w:szCs w:val="24"/>
              </w:rPr>
              <w:t>荣昌区荣隆镇矿泉水、重庆綦实物流有限公司</w:t>
            </w:r>
            <w:r>
              <w:rPr>
                <w:rFonts w:hint="eastAsia" w:ascii="方正仿宋_GBK" w:hAnsi="方正仿宋_GBK" w:eastAsia="方正仿宋_GBK" w:cs="方正仿宋_GBK"/>
                <w:b w:val="0"/>
                <w:bCs w:val="0"/>
                <w:color w:val="000000" w:themeColor="text1"/>
                <w:spacing w:val="0"/>
                <w:w w:val="100"/>
                <w:kern w:val="0"/>
                <w:sz w:val="24"/>
                <w:szCs w:val="24"/>
                <w:lang w:eastAsia="zh-CN"/>
              </w:rPr>
              <w:t>、</w:t>
            </w:r>
            <w:r>
              <w:rPr>
                <w:rFonts w:hint="eastAsia" w:ascii="方正仿宋_GBK" w:hAnsi="方正仿宋_GBK" w:eastAsia="方正仿宋_GBK" w:cs="方正仿宋_GBK"/>
                <w:b w:val="0"/>
                <w:bCs w:val="0"/>
                <w:color w:val="000000" w:themeColor="text1"/>
                <w:spacing w:val="0"/>
                <w:w w:val="100"/>
                <w:kern w:val="0"/>
                <w:sz w:val="24"/>
                <w:szCs w:val="24"/>
              </w:rPr>
              <w:t>荣昌区万灵镇玉鼎村三社建筑用砂岩矿、重庆市荣昌区畅吉建材有限公司岚峰石厂、重庆市荣昌区营凯建材有限公司玖华石厂、重庆市荣昌区吉鹏建材有限公司</w:t>
            </w:r>
            <w:r>
              <w:rPr>
                <w:rFonts w:hint="eastAsia" w:ascii="方正仿宋_GBK" w:hAnsi="方正仿宋_GBK" w:eastAsia="方正仿宋_GBK" w:cs="方正仿宋_GBK"/>
                <w:b w:val="0"/>
                <w:bCs w:val="0"/>
                <w:color w:val="000000" w:themeColor="text1"/>
                <w:spacing w:val="0"/>
                <w:w w:val="100"/>
                <w:kern w:val="0"/>
                <w:sz w:val="24"/>
                <w:szCs w:val="24"/>
                <w:lang w:eastAsia="zh-CN"/>
              </w:rPr>
              <w:t>开展清洁生产审核工作。</w:t>
            </w:r>
          </w:p>
        </w:tc>
        <w:tc>
          <w:tcPr>
            <w:tcW w:w="361"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4000</w:t>
            </w:r>
          </w:p>
        </w:tc>
        <w:tc>
          <w:tcPr>
            <w:tcW w:w="318"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2021</w:t>
            </w:r>
            <w:r>
              <w:rPr>
                <w:rFonts w:hint="eastAsia" w:ascii="方正仿宋_GBK" w:hAnsi="方正仿宋_GBK" w:cs="方正仿宋_GBK"/>
                <w:b w:val="0"/>
                <w:bCs w:val="0"/>
                <w:color w:val="000000" w:themeColor="text1"/>
                <w:spacing w:val="0"/>
                <w:w w:val="100"/>
                <w:kern w:val="0"/>
                <w:sz w:val="24"/>
                <w:szCs w:val="24"/>
                <w:lang w:eastAsia="zh-CN"/>
              </w:rPr>
              <w:t>—</w:t>
            </w:r>
            <w:r>
              <w:rPr>
                <w:rFonts w:hint="eastAsia" w:ascii="方正仿宋_GBK" w:hAnsi="方正仿宋_GBK" w:eastAsia="方正仿宋_GBK" w:cs="方正仿宋_GBK"/>
                <w:b w:val="0"/>
                <w:bCs w:val="0"/>
                <w:color w:val="000000" w:themeColor="text1"/>
                <w:spacing w:val="0"/>
                <w:w w:val="100"/>
                <w:kern w:val="0"/>
                <w:sz w:val="24"/>
                <w:szCs w:val="24"/>
              </w:rPr>
              <w:t>2025</w:t>
            </w:r>
          </w:p>
        </w:tc>
        <w:tc>
          <w:tcPr>
            <w:tcW w:w="400"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区规划和自然资源局规资局</w:t>
            </w:r>
          </w:p>
        </w:tc>
        <w:tc>
          <w:tcPr>
            <w:tcW w:w="690"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区生态环境局、区应急局、区水利局、区林业局</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auto"/>
                <w:spacing w:val="0"/>
                <w:w w:val="100"/>
                <w:kern w:val="0"/>
                <w:sz w:val="24"/>
                <w:szCs w:val="24"/>
              </w:rPr>
              <w:t>区规划和自然资源局</w:t>
            </w:r>
            <w:r>
              <w:rPr>
                <w:rFonts w:hint="eastAsia" w:ascii="方正仿宋_GBK" w:hAnsi="方正仿宋_GBK" w:eastAsia="方正仿宋_GBK" w:cs="方正仿宋_GBK"/>
                <w:b w:val="0"/>
                <w:bCs w:val="0"/>
                <w:color w:val="auto"/>
                <w:spacing w:val="0"/>
                <w:w w:val="100"/>
                <w:kern w:val="0"/>
                <w:sz w:val="24"/>
                <w:szCs w:val="24"/>
                <w:lang w:val="en-US" w:eastAsia="zh-CN"/>
              </w:rPr>
              <w:t>规划项目</w:t>
            </w:r>
          </w:p>
        </w:tc>
        <w:tc>
          <w:tcPr>
            <w:tcW w:w="536"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平台出资，集中处理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90" w:hRule="atLeast"/>
        </w:trPr>
        <w:tc>
          <w:tcPr>
            <w:tcW w:w="5000" w:type="pct"/>
            <w:gridSpan w:val="9"/>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auto"/>
                <w:spacing w:val="0"/>
                <w:w w:val="100"/>
                <w:kern w:val="0"/>
                <w:sz w:val="24"/>
                <w:szCs w:val="24"/>
              </w:rPr>
              <w:t>三</w:t>
            </w:r>
            <w:r>
              <w:rPr>
                <w:rFonts w:hint="eastAsia" w:ascii="方正仿宋_GBK" w:hAnsi="方正仿宋_GBK" w:eastAsia="方正仿宋_GBK" w:cs="方正仿宋_GBK"/>
                <w:b w:val="0"/>
                <w:bCs w:val="0"/>
                <w:color w:val="auto"/>
                <w:spacing w:val="0"/>
                <w:w w:val="100"/>
                <w:kern w:val="0"/>
                <w:sz w:val="24"/>
                <w:szCs w:val="24"/>
                <w:lang w:eastAsia="zh-CN"/>
              </w:rPr>
              <w:t>、</w:t>
            </w:r>
            <w:r>
              <w:rPr>
                <w:rFonts w:hint="eastAsia" w:ascii="方正仿宋_GBK" w:hAnsi="方正仿宋_GBK" w:eastAsia="方正仿宋_GBK" w:cs="方正仿宋_GBK"/>
                <w:b w:val="0"/>
                <w:bCs w:val="0"/>
                <w:color w:val="auto"/>
                <w:spacing w:val="0"/>
                <w:w w:val="100"/>
                <w:kern w:val="0"/>
                <w:sz w:val="24"/>
                <w:szCs w:val="24"/>
              </w:rPr>
              <w:t>工业固体废物收贮运体系建设</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924"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6</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危险废物集中收集贮存转运点</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开展小微源危险废物综合收集试点，</w:t>
            </w:r>
            <w:r>
              <w:rPr>
                <w:rFonts w:hint="eastAsia" w:ascii="方正仿宋_GBK" w:hAnsi="方正仿宋_GBK" w:eastAsia="方正仿宋_GBK" w:cs="方正仿宋_GBK"/>
                <w:b w:val="0"/>
                <w:bCs w:val="0"/>
                <w:color w:val="auto"/>
                <w:spacing w:val="0"/>
                <w:w w:val="100"/>
                <w:kern w:val="0"/>
                <w:sz w:val="24"/>
                <w:szCs w:val="24"/>
              </w:rPr>
              <w:t>加强</w:t>
            </w:r>
            <w:r>
              <w:rPr>
                <w:rFonts w:hint="eastAsia" w:ascii="方正仿宋_GBK" w:hAnsi="方正仿宋_GBK" w:eastAsia="方正仿宋_GBK" w:cs="方正仿宋_GBK"/>
                <w:b w:val="0"/>
                <w:bCs w:val="0"/>
                <w:color w:val="auto"/>
                <w:spacing w:val="0"/>
                <w:w w:val="100"/>
                <w:kern w:val="0"/>
                <w:sz w:val="24"/>
                <w:szCs w:val="24"/>
                <w:lang w:val="en-US" w:eastAsia="zh-CN"/>
              </w:rPr>
              <w:t>非工业源</w:t>
            </w:r>
            <w:r>
              <w:rPr>
                <w:rFonts w:hint="eastAsia" w:ascii="方正仿宋_GBK" w:hAnsi="方正仿宋_GBK" w:eastAsia="方正仿宋_GBK" w:cs="方正仿宋_GBK"/>
                <w:b w:val="0"/>
                <w:bCs w:val="0"/>
                <w:color w:val="auto"/>
                <w:spacing w:val="0"/>
                <w:w w:val="100"/>
                <w:kern w:val="0"/>
                <w:sz w:val="24"/>
                <w:szCs w:val="24"/>
              </w:rPr>
              <w:t>和年产</w:t>
            </w:r>
            <w:r>
              <w:rPr>
                <w:rFonts w:hint="eastAsia" w:ascii="方正仿宋_GBK" w:hAnsi="方正仿宋_GBK" w:eastAsia="方正仿宋_GBK" w:cs="方正仿宋_GBK"/>
                <w:b w:val="0"/>
                <w:bCs w:val="0"/>
                <w:color w:val="auto"/>
                <w:spacing w:val="0"/>
                <w:w w:val="100"/>
                <w:kern w:val="0"/>
                <w:sz w:val="24"/>
                <w:szCs w:val="24"/>
                <w:lang w:val="en-US" w:eastAsia="zh-CN"/>
              </w:rPr>
              <w:t>10</w:t>
            </w:r>
            <w:r>
              <w:rPr>
                <w:rFonts w:hint="eastAsia" w:ascii="方正仿宋_GBK" w:hAnsi="方正仿宋_GBK" w:eastAsia="方正仿宋_GBK" w:cs="方正仿宋_GBK"/>
                <w:b w:val="0"/>
                <w:bCs w:val="0"/>
                <w:color w:val="auto"/>
                <w:spacing w:val="0"/>
                <w:w w:val="100"/>
                <w:kern w:val="0"/>
                <w:sz w:val="24"/>
                <w:szCs w:val="24"/>
              </w:rPr>
              <w:t>吨及</w:t>
            </w:r>
            <w:r>
              <w:rPr>
                <w:rFonts w:hint="eastAsia" w:ascii="方正仿宋_GBK" w:hAnsi="方正仿宋_GBK" w:eastAsia="方正仿宋_GBK" w:cs="方正仿宋_GBK"/>
                <w:b w:val="0"/>
                <w:bCs w:val="0"/>
                <w:color w:val="000000" w:themeColor="text1"/>
                <w:spacing w:val="0"/>
                <w:w w:val="100"/>
                <w:kern w:val="0"/>
                <w:sz w:val="24"/>
                <w:szCs w:val="24"/>
              </w:rPr>
              <w:t>以下小微企业危险废物收集力度，完善危险废物收集体系，规划建设危险废物集中收集贮存转运点1个。</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3000</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2021</w:t>
            </w:r>
            <w:r>
              <w:rPr>
                <w:rFonts w:hint="eastAsia" w:ascii="方正仿宋_GBK" w:hAnsi="方正仿宋_GBK" w:cs="方正仿宋_GBK"/>
                <w:b w:val="0"/>
                <w:bCs w:val="0"/>
                <w:color w:val="000000" w:themeColor="text1"/>
                <w:spacing w:val="0"/>
                <w:w w:val="100"/>
                <w:kern w:val="0"/>
                <w:sz w:val="24"/>
                <w:szCs w:val="24"/>
                <w:lang w:eastAsia="zh-CN"/>
              </w:rPr>
              <w:t>—</w:t>
            </w:r>
            <w:r>
              <w:rPr>
                <w:rFonts w:hint="eastAsia" w:ascii="方正仿宋_GBK" w:hAnsi="方正仿宋_GBK" w:eastAsia="方正仿宋_GBK" w:cs="方正仿宋_GBK"/>
                <w:b w:val="0"/>
                <w:bCs w:val="0"/>
                <w:color w:val="000000" w:themeColor="text1"/>
                <w:spacing w:val="0"/>
                <w:w w:val="100"/>
                <w:kern w:val="0"/>
                <w:sz w:val="24"/>
                <w:szCs w:val="24"/>
              </w:rPr>
              <w:t>2025</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区生态环境局</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高新区管委会、相关部门</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区</w:t>
            </w:r>
            <w:r>
              <w:rPr>
                <w:rFonts w:hint="eastAsia" w:ascii="方正仿宋_GBK" w:hAnsi="方正仿宋_GBK" w:eastAsia="方正仿宋_GBK" w:cs="方正仿宋_GBK"/>
                <w:b w:val="0"/>
                <w:bCs w:val="0"/>
                <w:color w:val="000000" w:themeColor="text1"/>
                <w:spacing w:val="0"/>
                <w:w w:val="100"/>
                <w:kern w:val="0"/>
                <w:sz w:val="24"/>
                <w:szCs w:val="24"/>
                <w:lang w:eastAsia="zh-CN"/>
              </w:rPr>
              <w:t>生态环境保护</w:t>
            </w:r>
            <w:r>
              <w:rPr>
                <w:rFonts w:hint="eastAsia" w:ascii="方正仿宋_GBK" w:hAnsi="方正仿宋_GBK" w:eastAsia="方正仿宋_GBK" w:cs="方正仿宋_GBK"/>
                <w:b w:val="0"/>
                <w:bCs w:val="0"/>
                <w:color w:val="000000" w:themeColor="text1"/>
                <w:spacing w:val="0"/>
                <w:w w:val="100"/>
                <w:kern w:val="0"/>
                <w:sz w:val="24"/>
                <w:szCs w:val="24"/>
              </w:rPr>
              <w:t>“十四五”</w:t>
            </w:r>
            <w:r>
              <w:rPr>
                <w:rFonts w:hint="eastAsia" w:ascii="方正仿宋_GBK" w:hAnsi="方正仿宋_GBK" w:eastAsia="方正仿宋_GBK" w:cs="方正仿宋_GBK"/>
                <w:b w:val="0"/>
                <w:bCs w:val="0"/>
                <w:color w:val="000000" w:themeColor="text1"/>
                <w:spacing w:val="0"/>
                <w:w w:val="100"/>
                <w:kern w:val="0"/>
                <w:sz w:val="24"/>
                <w:szCs w:val="24"/>
                <w:lang w:eastAsia="zh-CN"/>
              </w:rPr>
              <w:t>规划</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平台出资，集中处理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368" w:hRule="atLeast"/>
        </w:trPr>
        <w:tc>
          <w:tcPr>
            <w:tcW w:w="5000" w:type="pct"/>
            <w:gridSpan w:val="9"/>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rPr>
            </w:pPr>
            <w:r>
              <w:rPr>
                <w:rFonts w:hint="eastAsia" w:ascii="方正仿宋_GBK" w:hAnsi="方正仿宋_GBK" w:eastAsia="方正仿宋_GBK" w:cs="方正仿宋_GBK"/>
                <w:b w:val="0"/>
                <w:bCs w:val="0"/>
                <w:color w:val="auto"/>
                <w:spacing w:val="0"/>
                <w:w w:val="100"/>
                <w:kern w:val="0"/>
                <w:sz w:val="24"/>
                <w:szCs w:val="24"/>
              </w:rPr>
              <w:t>四</w:t>
            </w:r>
            <w:r>
              <w:rPr>
                <w:rFonts w:hint="eastAsia" w:ascii="方正仿宋_GBK" w:hAnsi="方正仿宋_GBK" w:eastAsia="方正仿宋_GBK" w:cs="方正仿宋_GBK"/>
                <w:b w:val="0"/>
                <w:bCs w:val="0"/>
                <w:color w:val="auto"/>
                <w:spacing w:val="0"/>
                <w:w w:val="100"/>
                <w:kern w:val="0"/>
                <w:sz w:val="24"/>
                <w:szCs w:val="24"/>
                <w:lang w:eastAsia="zh-CN"/>
              </w:rPr>
              <w:t>、</w:t>
            </w:r>
            <w:r>
              <w:rPr>
                <w:rFonts w:hint="eastAsia" w:ascii="方正仿宋_GBK" w:hAnsi="方正仿宋_GBK" w:eastAsia="方正仿宋_GBK" w:cs="方正仿宋_GBK"/>
                <w:b w:val="0"/>
                <w:bCs w:val="0"/>
                <w:color w:val="auto"/>
                <w:spacing w:val="0"/>
                <w:w w:val="100"/>
                <w:kern w:val="0"/>
                <w:sz w:val="24"/>
                <w:szCs w:val="24"/>
              </w:rPr>
              <w:t>工业固体废物处置设施建设</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924"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7</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一般工业固体废物处置场建设工程</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推动重庆荣昌高新区一般工业固废处置场建设。</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28742</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2021</w:t>
            </w:r>
            <w:r>
              <w:rPr>
                <w:rFonts w:hint="eastAsia" w:ascii="方正仿宋_GBK" w:hAnsi="方正仿宋_GBK" w:cs="方正仿宋_GBK"/>
                <w:b w:val="0"/>
                <w:bCs w:val="0"/>
                <w:color w:val="000000" w:themeColor="text1"/>
                <w:spacing w:val="0"/>
                <w:w w:val="100"/>
                <w:kern w:val="0"/>
                <w:sz w:val="24"/>
                <w:szCs w:val="24"/>
                <w:lang w:eastAsia="zh-CN"/>
              </w:rPr>
              <w:t>—</w:t>
            </w:r>
            <w:r>
              <w:rPr>
                <w:rFonts w:hint="eastAsia" w:ascii="方正仿宋_GBK" w:hAnsi="方正仿宋_GBK" w:eastAsia="方正仿宋_GBK" w:cs="方正仿宋_GBK"/>
                <w:b w:val="0"/>
                <w:bCs w:val="0"/>
                <w:color w:val="000000" w:themeColor="text1"/>
                <w:spacing w:val="0"/>
                <w:w w:val="100"/>
                <w:kern w:val="0"/>
                <w:sz w:val="24"/>
                <w:szCs w:val="24"/>
              </w:rPr>
              <w:t>2025</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高新区管委会</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区经济信息委、区生态环境局</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生态环境局《荣昌区一般工业固废、危废处置设施建设情况》</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计划由国有投资平台出资</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23" w:type="dxa"/>
            <w:bottom w:w="0" w:type="dxa"/>
            <w:right w:w="23" w:type="dxa"/>
          </w:tblCellMar>
        </w:tblPrEx>
        <w:trPr>
          <w:trHeight w:val="526"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rPr>
              <w:t>合计</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r>
              <w:rPr>
                <w:rFonts w:hint="eastAsia" w:ascii="方正仿宋_GBK" w:hAnsi="方正仿宋_GBK" w:eastAsia="方正仿宋_GBK" w:cs="方正仿宋_GBK"/>
                <w:b w:val="0"/>
                <w:bCs w:val="0"/>
                <w:color w:val="000000" w:themeColor="text1"/>
                <w:spacing w:val="0"/>
                <w:w w:val="100"/>
                <w:kern w:val="0"/>
                <w:sz w:val="24"/>
                <w:szCs w:val="24"/>
                <w:lang w:val="en-US" w:eastAsia="zh-CN"/>
              </w:rPr>
              <w:t>40942</w:t>
            </w: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p>
        </w:tc>
        <w:tc>
          <w:tcPr>
            <w:tcW w:w="0" w:type="auto"/>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p>
        </w:tc>
        <w:tc>
          <w:tcPr>
            <w:tcW w:w="0" w:type="auto"/>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仿宋_GBK" w:hAnsi="方正仿宋_GBK" w:eastAsia="方正仿宋_GBK" w:cs="方正仿宋_GBK"/>
                <w:b w:val="0"/>
                <w:bCs w:val="0"/>
                <w:color w:val="000000" w:themeColor="text1"/>
                <w:spacing w:val="0"/>
                <w:w w:val="100"/>
                <w:kern w:val="0"/>
                <w:sz w:val="24"/>
                <w:szCs w:val="24"/>
                <w:lang w:val="en-US" w:eastAsia="zh-CN" w:bidi="ar-SA"/>
              </w:rPr>
            </w:pPr>
          </w:p>
        </w:tc>
      </w:tr>
    </w:tbl>
    <w:p>
      <w:pPr>
        <w:pStyle w:val="2"/>
        <w:keepNext w:val="0"/>
        <w:keepLines w:val="0"/>
        <w:pageBreakBefore w:val="0"/>
        <w:widowControl w:val="0"/>
        <w:kinsoku/>
        <w:wordWrap/>
        <w:overflowPunct/>
        <w:topLinePunct w:val="0"/>
        <w:autoSpaceDE/>
        <w:autoSpaceDN/>
        <w:bidi w:val="0"/>
        <w:adjustRightInd/>
        <w:snapToGrid w:val="0"/>
        <w:spacing w:line="20" w:lineRule="exact"/>
        <w:jc w:val="left"/>
        <w:textAlignment w:val="auto"/>
        <w:rPr>
          <w:rStyle w:val="21"/>
          <w:rFonts w:hint="default"/>
          <w:sz w:val="32"/>
          <w:szCs w:val="32"/>
        </w:rPr>
      </w:pPr>
      <w:bookmarkStart w:id="63" w:name="_Toc23092"/>
    </w:p>
    <w:p>
      <w:pPr>
        <w:pStyle w:val="2"/>
        <w:keepNext w:val="0"/>
        <w:keepLines w:val="0"/>
        <w:pageBreakBefore w:val="0"/>
        <w:widowControl w:val="0"/>
        <w:kinsoku/>
        <w:wordWrap/>
        <w:overflowPunct/>
        <w:topLinePunct w:val="0"/>
        <w:autoSpaceDE/>
        <w:autoSpaceDN/>
        <w:bidi w:val="0"/>
        <w:adjustRightInd/>
        <w:snapToGrid w:val="0"/>
        <w:spacing w:line="20" w:lineRule="exact"/>
        <w:jc w:val="left"/>
        <w:textAlignment w:val="auto"/>
        <w:rPr>
          <w:rStyle w:val="21"/>
          <w:rFonts w:hint="default"/>
          <w:sz w:val="32"/>
          <w:szCs w:val="32"/>
        </w:rPr>
      </w:pPr>
    </w:p>
    <w:p>
      <w:pPr>
        <w:pStyle w:val="2"/>
        <w:keepNext w:val="0"/>
        <w:keepLines w:val="0"/>
        <w:pageBreakBefore w:val="0"/>
        <w:widowControl w:val="0"/>
        <w:kinsoku/>
        <w:wordWrap/>
        <w:overflowPunct/>
        <w:topLinePunct w:val="0"/>
        <w:autoSpaceDE/>
        <w:autoSpaceDN/>
        <w:bidi w:val="0"/>
        <w:adjustRightInd/>
        <w:snapToGrid w:val="0"/>
        <w:spacing w:line="20" w:lineRule="exact"/>
        <w:jc w:val="left"/>
        <w:textAlignment w:val="auto"/>
        <w:rPr>
          <w:rStyle w:val="21"/>
          <w:rFonts w:hint="default"/>
          <w:sz w:val="32"/>
          <w:szCs w:val="32"/>
        </w:rPr>
      </w:pPr>
    </w:p>
    <w:p>
      <w:pPr>
        <w:pStyle w:val="2"/>
        <w:keepNext w:val="0"/>
        <w:keepLines w:val="0"/>
        <w:pageBreakBefore w:val="0"/>
        <w:widowControl w:val="0"/>
        <w:kinsoku/>
        <w:wordWrap/>
        <w:overflowPunct/>
        <w:topLinePunct w:val="0"/>
        <w:autoSpaceDE/>
        <w:autoSpaceDN/>
        <w:bidi w:val="0"/>
        <w:adjustRightInd/>
        <w:snapToGrid w:val="0"/>
        <w:spacing w:line="20" w:lineRule="exact"/>
        <w:jc w:val="left"/>
        <w:textAlignment w:val="auto"/>
        <w:rPr>
          <w:rStyle w:val="21"/>
          <w:rFonts w:hint="default"/>
          <w:sz w:val="32"/>
          <w:szCs w:val="32"/>
        </w:rPr>
      </w:pPr>
    </w:p>
    <w:p>
      <w:pPr>
        <w:pStyle w:val="2"/>
        <w:keepNext w:val="0"/>
        <w:keepLines w:val="0"/>
        <w:pageBreakBefore w:val="0"/>
        <w:widowControl w:val="0"/>
        <w:kinsoku/>
        <w:wordWrap/>
        <w:overflowPunct/>
        <w:topLinePunct w:val="0"/>
        <w:autoSpaceDE/>
        <w:autoSpaceDN/>
        <w:bidi w:val="0"/>
        <w:adjustRightInd/>
        <w:snapToGrid w:val="0"/>
        <w:spacing w:line="20" w:lineRule="exact"/>
        <w:jc w:val="left"/>
        <w:textAlignment w:val="auto"/>
        <w:rPr>
          <w:rStyle w:val="21"/>
          <w:rFonts w:hint="default"/>
          <w:sz w:val="32"/>
          <w:szCs w:val="32"/>
        </w:rPr>
      </w:pPr>
    </w:p>
    <w:p>
      <w:pPr>
        <w:pStyle w:val="2"/>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bCs w:val="0"/>
          <w:spacing w:val="0"/>
          <w:w w:val="100"/>
          <w:sz w:val="32"/>
          <w:szCs w:val="32"/>
        </w:rPr>
      </w:pPr>
      <w:r>
        <w:rPr>
          <w:rStyle w:val="21"/>
          <w:rFonts w:hint="default"/>
          <w:sz w:val="32"/>
          <w:szCs w:val="32"/>
        </w:rPr>
        <w:t>附图</w:t>
      </w:r>
      <w:bookmarkEnd w:id="63"/>
    </w:p>
    <w:p>
      <w:pPr>
        <w:pStyle w:val="3"/>
        <w:bidi w:val="0"/>
        <w:ind w:left="0" w:leftChars="0" w:right="0" w:rightChars="0" w:firstLine="0" w:firstLineChars="0"/>
        <w:jc w:val="center"/>
        <w:rPr>
          <w:rFonts w:hint="default"/>
        </w:rPr>
      </w:pPr>
      <w:bookmarkStart w:id="64" w:name="_Toc25295"/>
      <w:r>
        <w:rPr>
          <w:rFonts w:hint="default"/>
        </w:rPr>
        <w:t xml:space="preserve">附图1 </w:t>
      </w:r>
      <w:r>
        <w:rPr>
          <w:rFonts w:hint="eastAsia"/>
          <w:lang w:val="en-US" w:eastAsia="zh-CN"/>
        </w:rPr>
        <w:t xml:space="preserve"> </w:t>
      </w:r>
      <w:r>
        <w:rPr>
          <w:rFonts w:hint="default"/>
        </w:rPr>
        <w:t>荣昌区区位图</w:t>
      </w:r>
      <w:bookmarkEnd w:id="64"/>
    </w:p>
    <w:p>
      <w:pPr>
        <w:pStyle w:val="3"/>
        <w:keepNext w:val="0"/>
        <w:keepLines w:val="0"/>
        <w:pageBreakBefore w:val="0"/>
        <w:widowControl w:val="0"/>
        <w:kinsoku/>
        <w:wordWrap/>
        <w:overflowPunct/>
        <w:topLinePunct w:val="0"/>
        <w:autoSpaceDE/>
        <w:autoSpaceDN/>
        <w:bidi w:val="0"/>
        <w:ind w:left="0" w:leftChars="0" w:right="0" w:rightChars="0" w:firstLine="0" w:firstLineChars="0"/>
        <w:jc w:val="center"/>
        <w:rPr>
          <w:rFonts w:hint="default" w:ascii="Times New Roman" w:hAnsi="Times New Roman" w:cs="Times New Roman"/>
          <w:spacing w:val="0"/>
          <w:w w:val="100"/>
        </w:rPr>
      </w:pPr>
      <w:r>
        <w:rPr>
          <w:sz w:val="32"/>
        </w:rPr>
        <mc:AlternateContent>
          <mc:Choice Requires="wps">
            <w:drawing>
              <wp:anchor distT="0" distB="0" distL="114300" distR="114300" simplePos="0" relativeHeight="251664384" behindDoc="0" locked="0" layoutInCell="1" allowOverlap="1">
                <wp:simplePos x="0" y="0"/>
                <wp:positionH relativeFrom="column">
                  <wp:posOffset>-388620</wp:posOffset>
                </wp:positionH>
                <wp:positionV relativeFrom="paragraph">
                  <wp:posOffset>3717290</wp:posOffset>
                </wp:positionV>
                <wp:extent cx="282575" cy="1332230"/>
                <wp:effectExtent l="5080" t="4445" r="17145" b="15875"/>
                <wp:wrapNone/>
                <wp:docPr id="5" name="文本框 162"/>
                <wp:cNvGraphicFramePr/>
                <a:graphic xmlns:a="http://schemas.openxmlformats.org/drawingml/2006/main">
                  <a:graphicData uri="http://schemas.microsoft.com/office/word/2010/wordprocessingShape">
                    <wps:wsp>
                      <wps:cNvSpPr txBox="1"/>
                      <wps:spPr>
                        <a:xfrm>
                          <a:off x="0" y="0"/>
                          <a:ext cx="282575" cy="13322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35 </w:t>
                            </w:r>
                            <w:r>
                              <w:rPr>
                                <w:rFonts w:hint="eastAsia" w:ascii="宋体" w:hAnsi="宋体" w:eastAsia="宋体" w:cs="宋体"/>
                                <w:sz w:val="28"/>
                                <w:szCs w:val="28"/>
                                <w:lang w:eastAsia="zh-CN"/>
                              </w:rPr>
                              <w:t>—</w:t>
                            </w:r>
                          </w:p>
                        </w:txbxContent>
                      </wps:txbx>
                      <wps:bodyPr vert="eaVert" lIns="0" tIns="0" rIns="0" bIns="0" upright="1"/>
                    </wps:wsp>
                  </a:graphicData>
                </a:graphic>
              </wp:anchor>
            </w:drawing>
          </mc:Choice>
          <mc:Fallback>
            <w:pict>
              <v:shape id="文本框 162" o:spid="_x0000_s1026" o:spt="202" type="#_x0000_t202" style="position:absolute;left:0pt;margin-left:-30.6pt;margin-top:292.7pt;height:104.9pt;width:22.25pt;z-index:251664384;mso-width-relative:page;mso-height-relative:page;" fillcolor="#FFFFFF" filled="t" stroked="t" coordsize="21600,21600" o:gfxdata="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sw6SNwAAAALAQAADwAAAAAAAAABACAAAAAiAAAAZHJzL2Rvd25yZXYueG1sUEsBAhQAFAAAAAgA&#10;h07iQMCfr9whAgAAagQAAA4AAAAAAAAAAQAgAAAAKwEAAGRycy9lMm9Eb2MueG1sUEsFBgAAAAAG&#10;AAYAWQEAAL4FAAAAAA==&#10;">
                <v:fill on="t" focussize="0,0"/>
                <v:stroke color="#FFFFFF" joinstyle="miter"/>
                <v:imagedata o:title=""/>
                <o:lock v:ext="edit" aspectratio="f"/>
                <v:textbox inset="0mm,0mm,0mm,0mm" style="layout-flow:vertical-ideographic;">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35 </w:t>
                      </w:r>
                      <w:r>
                        <w:rPr>
                          <w:rFonts w:hint="eastAsia" w:ascii="宋体" w:hAnsi="宋体" w:eastAsia="宋体" w:cs="宋体"/>
                          <w:sz w:val="28"/>
                          <w:szCs w:val="28"/>
                          <w:lang w:eastAsia="zh-CN"/>
                        </w:rPr>
                        <w:t>—</w:t>
                      </w:r>
                    </w:p>
                  </w:txbxContent>
                </v:textbox>
              </v:shape>
            </w:pict>
          </mc:Fallback>
        </mc:AlternateContent>
      </w:r>
      <w:r>
        <w:rPr>
          <w:rFonts w:hint="default" w:ascii="Times New Roman" w:hAnsi="Times New Roman" w:cs="Times New Roman"/>
          <w:spacing w:val="0"/>
          <w:w w:val="100"/>
        </w:rPr>
        <w:drawing>
          <wp:inline distT="0" distB="0" distL="114300" distR="114300">
            <wp:extent cx="6557645" cy="4637405"/>
            <wp:effectExtent l="0" t="0" r="14605" b="1079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31"/>
                    <a:stretch>
                      <a:fillRect/>
                    </a:stretch>
                  </pic:blipFill>
                  <pic:spPr>
                    <a:xfrm>
                      <a:off x="0" y="0"/>
                      <a:ext cx="6557645" cy="46374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579" w:lineRule="exact"/>
        <w:ind w:left="0" w:leftChars="0" w:right="0" w:rightChars="0" w:firstLine="0" w:firstLineChars="0"/>
        <w:jc w:val="center"/>
        <w:outlineLvl w:val="1"/>
        <w:rPr>
          <w:rFonts w:hint="default" w:ascii="宋体" w:hAnsi="宋体" w:eastAsia="方正黑体_GBK" w:cs="Times New Roman"/>
          <w:kern w:val="2"/>
          <w:sz w:val="32"/>
          <w:szCs w:val="33"/>
          <w:lang w:val="en-US" w:eastAsia="zh-CN" w:bidi="ar-SA"/>
        </w:rPr>
        <w:sectPr>
          <w:headerReference r:id="rId8" w:type="default"/>
          <w:footerReference r:id="rId10" w:type="default"/>
          <w:headerReference r:id="rId9" w:type="even"/>
          <w:footerReference r:id="rId11" w:type="even"/>
          <w:pgSz w:w="16838" w:h="11906" w:orient="landscape"/>
          <w:pgMar w:top="1531" w:right="1701" w:bottom="1531" w:left="1701" w:header="851" w:footer="1134" w:gutter="0"/>
          <w:pgBorders>
            <w:top w:val="none" w:sz="0" w:space="0"/>
            <w:left w:val="none" w:sz="0" w:space="0"/>
            <w:bottom w:val="none" w:sz="0" w:space="0"/>
            <w:right w:val="none" w:sz="0" w:space="0"/>
          </w:pgBorders>
          <w:pgNumType w:fmt="decimal"/>
          <w:cols w:space="720" w:num="1"/>
          <w:rtlGutter w:val="0"/>
          <w:docGrid w:type="lines" w:linePitch="579" w:charSpace="0"/>
        </w:sectPr>
      </w:pPr>
      <w:bookmarkStart w:id="65" w:name="_Toc15636"/>
    </w:p>
    <w:p>
      <w:pPr>
        <w:keepNext w:val="0"/>
        <w:keepLines w:val="0"/>
        <w:pageBreakBefore w:val="0"/>
        <w:widowControl w:val="0"/>
        <w:kinsoku/>
        <w:wordWrap/>
        <w:overflowPunct/>
        <w:topLinePunct w:val="0"/>
        <w:autoSpaceDE/>
        <w:autoSpaceDN/>
        <w:bidi w:val="0"/>
        <w:spacing w:line="579" w:lineRule="exact"/>
        <w:ind w:left="0" w:leftChars="0" w:right="0" w:rightChars="0" w:firstLine="0" w:firstLineChars="0"/>
        <w:jc w:val="center"/>
        <w:outlineLvl w:val="1"/>
        <w:rPr>
          <w:rFonts w:hint="default" w:ascii="宋体" w:hAnsi="宋体" w:eastAsia="方正黑体_GBK" w:cs="Times New Roman"/>
          <w:kern w:val="2"/>
          <w:sz w:val="32"/>
          <w:szCs w:val="33"/>
          <w:lang w:val="en-US" w:eastAsia="zh-CN" w:bidi="ar-SA"/>
        </w:rPr>
      </w:pPr>
      <w:r>
        <w:rPr>
          <w:sz w:val="32"/>
        </w:rPr>
        <mc:AlternateContent>
          <mc:Choice Requires="wps">
            <w:drawing>
              <wp:anchor distT="0" distB="0" distL="114300" distR="114300" simplePos="0" relativeHeight="251667456" behindDoc="0" locked="0" layoutInCell="1" allowOverlap="1">
                <wp:simplePos x="0" y="0"/>
                <wp:positionH relativeFrom="column">
                  <wp:posOffset>-407035</wp:posOffset>
                </wp:positionH>
                <wp:positionV relativeFrom="paragraph">
                  <wp:posOffset>-171450</wp:posOffset>
                </wp:positionV>
                <wp:extent cx="282575" cy="1332230"/>
                <wp:effectExtent l="5080" t="4445" r="17145" b="15875"/>
                <wp:wrapNone/>
                <wp:docPr id="8" name="文本框 165"/>
                <wp:cNvGraphicFramePr/>
                <a:graphic xmlns:a="http://schemas.openxmlformats.org/drawingml/2006/main">
                  <a:graphicData uri="http://schemas.microsoft.com/office/word/2010/wordprocessingShape">
                    <wps:wsp>
                      <wps:cNvSpPr txBox="1"/>
                      <wps:spPr>
                        <a:xfrm>
                          <a:off x="0" y="0"/>
                          <a:ext cx="282575" cy="13322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36 </w:t>
                            </w:r>
                            <w:r>
                              <w:rPr>
                                <w:rFonts w:hint="eastAsia" w:ascii="宋体" w:hAnsi="宋体" w:eastAsia="宋体" w:cs="宋体"/>
                                <w:sz w:val="28"/>
                                <w:szCs w:val="28"/>
                                <w:lang w:eastAsia="zh-CN"/>
                              </w:rPr>
                              <w:t>—</w:t>
                            </w:r>
                          </w:p>
                        </w:txbxContent>
                      </wps:txbx>
                      <wps:bodyPr vert="eaVert" lIns="0" tIns="0" rIns="0" bIns="0" upright="1"/>
                    </wps:wsp>
                  </a:graphicData>
                </a:graphic>
              </wp:anchor>
            </w:drawing>
          </mc:Choice>
          <mc:Fallback>
            <w:pict>
              <v:shape id="文本框 165" o:spid="_x0000_s1026" o:spt="202" type="#_x0000_t202" style="position:absolute;left:0pt;margin-left:-32.05pt;margin-top:-13.5pt;height:104.9pt;width:22.25pt;z-index:251667456;mso-width-relative:page;mso-height-relative:page;" fillcolor="#FFFFFF" filled="t" stroked="t" coordsize="21600,21600" o:gfxdata="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fJdX2wAAAAsBAAAPAAAAAAAAAAEAIAAAACIAAABkcnMvZG93bnJldi54bWxQSwECFAAUAAAACACH&#10;TuJApQsvFiECAABqBAAADgAAAAAAAAABACAAAAAqAQAAZHJzL2Uyb0RvYy54bWxQSwUGAAAAAAYA&#10;BgBZAQAAvQUAAAAA&#10;">
                <v:fill on="t" focussize="0,0"/>
                <v:stroke color="#FFFFFF" joinstyle="miter"/>
                <v:imagedata o:title=""/>
                <o:lock v:ext="edit" aspectratio="f"/>
                <v:textbox inset="0mm,0mm,0mm,0mm" style="layout-flow:vertical-ideographic;">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36 </w:t>
                      </w:r>
                      <w:r>
                        <w:rPr>
                          <w:rFonts w:hint="eastAsia" w:ascii="宋体" w:hAnsi="宋体" w:eastAsia="宋体" w:cs="宋体"/>
                          <w:sz w:val="28"/>
                          <w:szCs w:val="28"/>
                          <w:lang w:eastAsia="zh-CN"/>
                        </w:rPr>
                        <w:t>—</w:t>
                      </w:r>
                    </w:p>
                  </w:txbxContent>
                </v:textbox>
              </v:shape>
            </w:pict>
          </mc:Fallback>
        </mc:AlternateContent>
      </w:r>
      <w:r>
        <w:rPr>
          <w:rFonts w:hint="default" w:ascii="宋体" w:hAnsi="宋体" w:eastAsia="方正黑体_GBK" w:cs="Times New Roman"/>
          <w:kern w:val="2"/>
          <w:sz w:val="32"/>
          <w:szCs w:val="33"/>
          <w:lang w:val="en-US" w:eastAsia="zh-CN" w:bidi="ar-SA"/>
        </w:rPr>
        <w:t>附图2 荣昌区行政区划图</w:t>
      </w:r>
      <w:bookmarkEnd w:id="65"/>
    </w:p>
    <w:p>
      <w:pPr>
        <w:keepNext w:val="0"/>
        <w:keepLines w:val="0"/>
        <w:pageBreakBefore w:val="0"/>
        <w:widowControl w:val="0"/>
        <w:kinsoku/>
        <w:wordWrap/>
        <w:overflowPunct/>
        <w:topLinePunct w:val="0"/>
        <w:autoSpaceDE/>
        <w:autoSpaceDN/>
        <w:bidi w:val="0"/>
        <w:ind w:firstLine="0" w:firstLineChars="0"/>
        <w:jc w:val="center"/>
        <w:rPr>
          <w:rFonts w:hint="default" w:ascii="Times New Roman" w:hAnsi="Times New Roman" w:cs="Times New Roman"/>
          <w:spacing w:val="0"/>
          <w:w w:val="100"/>
        </w:rPr>
      </w:pPr>
      <w:r>
        <w:rPr>
          <w:rFonts w:hint="default" w:ascii="Times New Roman" w:hAnsi="Times New Roman" w:cs="Times New Roman"/>
          <w:spacing w:val="0"/>
          <w:w w:val="100"/>
        </w:rPr>
        <w:drawing>
          <wp:inline distT="0" distB="0" distL="114300" distR="114300">
            <wp:extent cx="6986905" cy="4939665"/>
            <wp:effectExtent l="0" t="0" r="4445" b="1333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32"/>
                    <a:stretch>
                      <a:fillRect/>
                    </a:stretch>
                  </pic:blipFill>
                  <pic:spPr>
                    <a:xfrm>
                      <a:off x="0" y="0"/>
                      <a:ext cx="6986905" cy="4939665"/>
                    </a:xfrm>
                    <a:prstGeom prst="rect">
                      <a:avLst/>
                    </a:prstGeom>
                    <a:noFill/>
                    <a:ln>
                      <a:noFill/>
                    </a:ln>
                  </pic:spPr>
                </pic:pic>
              </a:graphicData>
            </a:graphic>
          </wp:inline>
        </w:drawing>
      </w:r>
      <w:bookmarkStart w:id="66" w:name="_Toc20788"/>
    </w:p>
    <w:p>
      <w:pPr>
        <w:keepNext w:val="0"/>
        <w:keepLines w:val="0"/>
        <w:pageBreakBefore w:val="0"/>
        <w:widowControl w:val="0"/>
        <w:kinsoku/>
        <w:wordWrap/>
        <w:overflowPunct/>
        <w:topLinePunct w:val="0"/>
        <w:autoSpaceDE/>
        <w:autoSpaceDN/>
        <w:bidi w:val="0"/>
        <w:ind w:firstLine="0" w:firstLineChars="0"/>
        <w:jc w:val="center"/>
        <w:rPr>
          <w:rFonts w:hint="default" w:ascii="宋体" w:hAnsi="宋体" w:eastAsia="方正黑体_GBK" w:cs="Times New Roman"/>
          <w:kern w:val="2"/>
          <w:sz w:val="32"/>
          <w:szCs w:val="33"/>
          <w:lang w:val="en-US" w:eastAsia="zh-CN" w:bidi="ar-SA"/>
        </w:rPr>
        <w:sectPr>
          <w:headerReference r:id="rId12" w:type="default"/>
          <w:footerReference r:id="rId14" w:type="default"/>
          <w:headerReference r:id="rId13" w:type="even"/>
          <w:footerReference r:id="rId15" w:type="even"/>
          <w:pgSz w:w="16838" w:h="11906" w:orient="landscape"/>
          <w:pgMar w:top="1531" w:right="1701" w:bottom="1531" w:left="1701" w:header="851" w:footer="113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keepNext w:val="0"/>
        <w:keepLines w:val="0"/>
        <w:pageBreakBefore w:val="0"/>
        <w:widowControl w:val="0"/>
        <w:kinsoku/>
        <w:wordWrap/>
        <w:overflowPunct/>
        <w:topLinePunct w:val="0"/>
        <w:autoSpaceDE/>
        <w:autoSpaceDN/>
        <w:bidi w:val="0"/>
        <w:ind w:firstLine="0" w:firstLineChars="0"/>
        <w:jc w:val="center"/>
        <w:rPr>
          <w:rFonts w:hint="default" w:ascii="宋体" w:hAnsi="宋体" w:eastAsia="方正黑体_GBK" w:cs="Times New Roman"/>
          <w:kern w:val="2"/>
          <w:sz w:val="32"/>
          <w:szCs w:val="33"/>
          <w:lang w:val="en-US" w:eastAsia="zh-CN" w:bidi="ar-SA"/>
        </w:rPr>
      </w:pPr>
      <w:r>
        <w:rPr>
          <w:rFonts w:hint="default" w:ascii="宋体" w:hAnsi="宋体" w:eastAsia="方正黑体_GBK" w:cs="Times New Roman"/>
          <w:kern w:val="2"/>
          <w:sz w:val="32"/>
          <w:szCs w:val="33"/>
          <w:lang w:val="en-US" w:eastAsia="zh-CN" w:bidi="ar-SA"/>
        </w:rPr>
        <w:t>附图3 一般工业固体废物产生量分布图</w:t>
      </w:r>
      <w:bookmarkEnd w:id="66"/>
    </w:p>
    <w:p>
      <w:pPr>
        <w:pStyle w:val="3"/>
        <w:keepNext w:val="0"/>
        <w:keepLines w:val="0"/>
        <w:pageBreakBefore w:val="0"/>
        <w:widowControl w:val="0"/>
        <w:kinsoku/>
        <w:wordWrap/>
        <w:overflowPunct/>
        <w:topLinePunct w:val="0"/>
        <w:autoSpaceDE/>
        <w:autoSpaceDN/>
        <w:bidi w:val="0"/>
        <w:ind w:left="0" w:leftChars="0" w:right="0" w:rightChars="0" w:firstLine="0" w:firstLineChars="0"/>
        <w:jc w:val="center"/>
        <w:rPr>
          <w:spacing w:val="0"/>
          <w:w w:val="100"/>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-400050</wp:posOffset>
                </wp:positionH>
                <wp:positionV relativeFrom="paragraph">
                  <wp:posOffset>4085590</wp:posOffset>
                </wp:positionV>
                <wp:extent cx="282575" cy="1332230"/>
                <wp:effectExtent l="5080" t="4445" r="17145" b="15875"/>
                <wp:wrapNone/>
                <wp:docPr id="6" name="文本框 163"/>
                <wp:cNvGraphicFramePr/>
                <a:graphic xmlns:a="http://schemas.openxmlformats.org/drawingml/2006/main">
                  <a:graphicData uri="http://schemas.microsoft.com/office/word/2010/wordprocessingShape">
                    <wps:wsp>
                      <wps:cNvSpPr txBox="1"/>
                      <wps:spPr>
                        <a:xfrm>
                          <a:off x="0" y="0"/>
                          <a:ext cx="282575" cy="13322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37 </w:t>
                            </w:r>
                            <w:r>
                              <w:rPr>
                                <w:rFonts w:hint="eastAsia" w:ascii="宋体" w:hAnsi="宋体" w:eastAsia="宋体" w:cs="宋体"/>
                                <w:sz w:val="28"/>
                                <w:szCs w:val="28"/>
                                <w:lang w:eastAsia="zh-CN"/>
                              </w:rPr>
                              <w:t>—</w:t>
                            </w:r>
                          </w:p>
                        </w:txbxContent>
                      </wps:txbx>
                      <wps:bodyPr vert="eaVert" lIns="0" tIns="0" rIns="0" bIns="0" upright="1"/>
                    </wps:wsp>
                  </a:graphicData>
                </a:graphic>
              </wp:anchor>
            </w:drawing>
          </mc:Choice>
          <mc:Fallback>
            <w:pict>
              <v:shape id="文本框 163" o:spid="_x0000_s1026" o:spt="202" type="#_x0000_t202" style="position:absolute;left:0pt;margin-left:-31.5pt;margin-top:321.7pt;height:104.9pt;width:22.25pt;z-index:251665408;mso-width-relative:page;mso-height-relative:page;" fillcolor="#FFFFFF" filled="t" stroked="t" coordsize="21600,21600" o:gfxdata="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0Xdf9wAAAALAQAADwAAAAAAAAABACAAAAAiAAAAZHJzL2Rvd25yZXYueG1sUEsBAhQAFAAAAAgA&#10;h07iQLm2ddMhAgAAagQAAA4AAAAAAAAAAQAgAAAAKwEAAGRycy9lMm9Eb2MueG1sUEsFBgAAAAAG&#10;AAYAWQEAAL4FAAAAAA==&#10;">
                <v:fill on="t" focussize="0,0"/>
                <v:stroke color="#FFFFFF" joinstyle="miter"/>
                <v:imagedata o:title=""/>
                <o:lock v:ext="edit" aspectratio="f"/>
                <v:textbox inset="0mm,0mm,0mm,0mm" style="layout-flow:vertical-ideographic;">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37 </w:t>
                      </w:r>
                      <w:r>
                        <w:rPr>
                          <w:rFonts w:hint="eastAsia" w:ascii="宋体" w:hAnsi="宋体" w:eastAsia="宋体" w:cs="宋体"/>
                          <w:sz w:val="28"/>
                          <w:szCs w:val="28"/>
                          <w:lang w:eastAsia="zh-CN"/>
                        </w:rPr>
                        <w:t>—</w:t>
                      </w:r>
                    </w:p>
                  </w:txbxContent>
                </v:textbox>
              </v:shape>
            </w:pict>
          </mc:Fallback>
        </mc:AlternateContent>
      </w:r>
      <w:r>
        <w:rPr>
          <w:rFonts w:hint="default" w:ascii="Times New Roman" w:hAnsi="Times New Roman" w:cs="Times New Roman"/>
          <w:spacing w:val="0"/>
          <w:w w:val="100"/>
        </w:rPr>
        <w:drawing>
          <wp:inline distT="0" distB="0" distL="114300" distR="114300">
            <wp:extent cx="6956425" cy="4918710"/>
            <wp:effectExtent l="0" t="0" r="15875" b="1524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33"/>
                    <a:stretch>
                      <a:fillRect/>
                    </a:stretch>
                  </pic:blipFill>
                  <pic:spPr>
                    <a:xfrm>
                      <a:off x="0" y="0"/>
                      <a:ext cx="6956425" cy="4918710"/>
                    </a:xfrm>
                    <a:prstGeom prst="rect">
                      <a:avLst/>
                    </a:prstGeom>
                    <a:noFill/>
                    <a:ln>
                      <a:noFill/>
                    </a:ln>
                  </pic:spPr>
                </pic:pic>
              </a:graphicData>
            </a:graphic>
          </wp:inline>
        </w:drawing>
      </w:r>
    </w:p>
    <w:p>
      <w:pPr>
        <w:keepNext w:val="0"/>
        <w:keepLines w:val="0"/>
        <w:pageBreakBefore w:val="0"/>
        <w:widowControl w:val="0"/>
        <w:tabs>
          <w:tab w:val="left" w:pos="11123"/>
        </w:tabs>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baseline"/>
        <w:rPr>
          <w:rFonts w:hint="default" w:ascii="宋体" w:hAnsi="宋体" w:eastAsia="方正黑体_GBK" w:cs="Times New Roman"/>
          <w:kern w:val="2"/>
          <w:sz w:val="32"/>
          <w:szCs w:val="33"/>
          <w:lang w:val="en-US" w:eastAsia="zh-CN" w:bidi="ar-SA"/>
        </w:rPr>
        <w:sectPr>
          <w:headerReference r:id="rId16" w:type="default"/>
          <w:footerReference r:id="rId18" w:type="default"/>
          <w:headerReference r:id="rId17" w:type="even"/>
          <w:footerReference r:id="rId19" w:type="even"/>
          <w:pgSz w:w="16838" w:h="11906" w:orient="landscape"/>
          <w:pgMar w:top="1531" w:right="1701" w:bottom="1531" w:left="1701" w:header="851" w:footer="113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keepNext w:val="0"/>
        <w:keepLines w:val="0"/>
        <w:pageBreakBefore w:val="0"/>
        <w:widowControl w:val="0"/>
        <w:tabs>
          <w:tab w:val="left" w:pos="11123"/>
        </w:tabs>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baseline"/>
        <w:rPr>
          <w:rFonts w:hint="default" w:ascii="宋体" w:hAnsi="宋体" w:eastAsia="方正黑体_GBK" w:cs="Times New Roman"/>
          <w:kern w:val="2"/>
          <w:sz w:val="32"/>
          <w:szCs w:val="33"/>
          <w:lang w:val="en-US" w:eastAsia="zh-CN" w:bidi="ar-SA"/>
        </w:rPr>
      </w:pPr>
      <w:r>
        <w:rPr>
          <w:sz w:val="32"/>
        </w:rPr>
        <mc:AlternateContent>
          <mc:Choice Requires="wps">
            <w:drawing>
              <wp:anchor distT="0" distB="0" distL="114300" distR="114300" simplePos="0" relativeHeight="251666432" behindDoc="0" locked="0" layoutInCell="1" allowOverlap="1">
                <wp:simplePos x="0" y="0"/>
                <wp:positionH relativeFrom="column">
                  <wp:posOffset>-407035</wp:posOffset>
                </wp:positionH>
                <wp:positionV relativeFrom="paragraph">
                  <wp:posOffset>-171450</wp:posOffset>
                </wp:positionV>
                <wp:extent cx="282575" cy="1332230"/>
                <wp:effectExtent l="5080" t="4445" r="17145" b="15875"/>
                <wp:wrapNone/>
                <wp:docPr id="7" name="文本框 164"/>
                <wp:cNvGraphicFramePr/>
                <a:graphic xmlns:a="http://schemas.openxmlformats.org/drawingml/2006/main">
                  <a:graphicData uri="http://schemas.microsoft.com/office/word/2010/wordprocessingShape">
                    <wps:wsp>
                      <wps:cNvSpPr txBox="1"/>
                      <wps:spPr>
                        <a:xfrm>
                          <a:off x="0" y="0"/>
                          <a:ext cx="282575" cy="13322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38 </w:t>
                            </w:r>
                            <w:r>
                              <w:rPr>
                                <w:rFonts w:hint="eastAsia" w:ascii="宋体" w:hAnsi="宋体" w:eastAsia="宋体" w:cs="宋体"/>
                                <w:sz w:val="28"/>
                                <w:szCs w:val="28"/>
                                <w:lang w:eastAsia="zh-CN"/>
                              </w:rPr>
                              <w:t>—</w:t>
                            </w:r>
                          </w:p>
                        </w:txbxContent>
                      </wps:txbx>
                      <wps:bodyPr vert="eaVert" lIns="0" tIns="0" rIns="0" bIns="0" upright="1"/>
                    </wps:wsp>
                  </a:graphicData>
                </a:graphic>
              </wp:anchor>
            </w:drawing>
          </mc:Choice>
          <mc:Fallback>
            <w:pict>
              <v:shape id="文本框 164" o:spid="_x0000_s1026" o:spt="202" type="#_x0000_t202" style="position:absolute;left:0pt;margin-left:-32.05pt;margin-top:-13.5pt;height:104.9pt;width:22.25pt;z-index:251666432;mso-width-relative:page;mso-height-relative:page;" fillcolor="#FFFFFF" filled="t" stroked="t" coordsize="21600,21600" o:gfxdata="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nyXV9sAAAALAQAADwAAAAAAAAABACAAAAAiAAAAZHJzL2Rvd25yZXYueG1sUEsBAhQAFAAAAAgA&#10;h07iQIP6DuwiAgAAagQAAA4AAAAAAAAAAQAgAAAAKgEAAGRycy9lMm9Eb2MueG1sUEsFBgAAAAAG&#10;AAYAWQEAAL4FAAAAAA==&#10;">
                <v:fill on="t" focussize="0,0"/>
                <v:stroke color="#FFFFFF" joinstyle="miter"/>
                <v:imagedata o:title=""/>
                <o:lock v:ext="edit" aspectratio="f"/>
                <v:textbox inset="0mm,0mm,0mm,0mm" style="layout-flow:vertical-ideographic;">
                  <w:txbxContent>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38 </w:t>
                      </w:r>
                      <w:r>
                        <w:rPr>
                          <w:rFonts w:hint="eastAsia" w:ascii="宋体" w:hAnsi="宋体" w:eastAsia="宋体" w:cs="宋体"/>
                          <w:sz w:val="28"/>
                          <w:szCs w:val="28"/>
                          <w:lang w:eastAsia="zh-CN"/>
                        </w:rPr>
                        <w:t>—</w:t>
                      </w:r>
                    </w:p>
                  </w:txbxContent>
                </v:textbox>
              </v:shape>
            </w:pict>
          </mc:Fallback>
        </mc:AlternateContent>
      </w:r>
      <w:r>
        <w:rPr>
          <w:rStyle w:val="23"/>
          <w:rFonts w:ascii="Calibri" w:hAnsi="Calibri" w:eastAsia="宋体"/>
          <w:b w:val="0"/>
          <w:i w:val="0"/>
          <w:caps w:val="0"/>
          <w:spacing w:val="0"/>
          <w:w w:val="100"/>
          <w:kern w:val="2"/>
          <w:sz w:val="4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5988050</wp:posOffset>
                </wp:positionH>
                <wp:positionV relativeFrom="paragraph">
                  <wp:posOffset>7785100</wp:posOffset>
                </wp:positionV>
                <wp:extent cx="46990" cy="485140"/>
                <wp:effectExtent l="40640" t="635" r="26670" b="9525"/>
                <wp:wrapNone/>
                <wp:docPr id="2" name="自选图形 91"/>
                <wp:cNvGraphicFramePr/>
                <a:graphic xmlns:a="http://schemas.openxmlformats.org/drawingml/2006/main">
                  <a:graphicData uri="http://schemas.microsoft.com/office/word/2010/wordprocessingShape">
                    <wps:wsp>
                      <wps:cNvCnPr/>
                      <wps:spPr>
                        <a:xfrm flipH="1">
                          <a:off x="0" y="0"/>
                          <a:ext cx="46990" cy="485140"/>
                        </a:xfrm>
                        <a:prstGeom prst="straightConnector1">
                          <a:avLst/>
                        </a:prstGeom>
                        <a:ln w="9525" cap="flat" cmpd="sng">
                          <a:solidFill>
                            <a:srgbClr val="4A7EBB"/>
                          </a:solidFill>
                          <a:prstDash val="solid"/>
                          <a:headEnd type="none" w="med" len="med"/>
                          <a:tailEnd type="arrow" w="med" len="med"/>
                        </a:ln>
                      </wps:spPr>
                      <wps:bodyPr/>
                    </wps:wsp>
                  </a:graphicData>
                </a:graphic>
              </wp:anchor>
            </w:drawing>
          </mc:Choice>
          <mc:Fallback>
            <w:pict>
              <v:shape id="自选图形 91" o:spid="_x0000_s1026" o:spt="32" type="#_x0000_t32" style="position:absolute;left:0pt;flip:x;margin-left:471.5pt;margin-top:613pt;height:38.2pt;width:3.7pt;z-index:251660288;mso-width-relative:page;mso-height-relative:page;" filled="f" stroked="t" coordsize="21600,21600" o:gfxdata="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tFTntwAAAANAQAADwAAAAAAAAAB&#10;ACAAAAAiAAAAZHJzL2Rvd25yZXYueG1sUEsBAhQAFAAAAAgAh07iQLFtgMEMAgAA8gMAAA4AAAAA&#10;AAAAAQAgAAAAKwEAAGRycy9lMm9Eb2MueG1sUEsFBgAAAAAGAAYAWQEAAKkFAAAAAA==&#10;">
                <v:fill on="f" focussize="0,0"/>
                <v:stroke color="#4A7EBB" joinstyle="round" endarrow="open"/>
                <v:imagedata o:title=""/>
                <o:lock v:ext="edit" aspectratio="f"/>
              </v:shape>
            </w:pict>
          </mc:Fallback>
        </mc:AlternateContent>
      </w:r>
      <w:r>
        <w:rPr>
          <w:rStyle w:val="23"/>
          <w:rFonts w:ascii="Calibri" w:hAnsi="Calibri" w:eastAsia="宋体"/>
          <w:b w:val="0"/>
          <w:i w:val="0"/>
          <w:caps w:val="0"/>
          <w:spacing w:val="0"/>
          <w:w w:val="100"/>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2759075</wp:posOffset>
                </wp:positionH>
                <wp:positionV relativeFrom="paragraph">
                  <wp:posOffset>6595110</wp:posOffset>
                </wp:positionV>
                <wp:extent cx="885825" cy="1781810"/>
                <wp:effectExtent l="4445" t="5080" r="5080" b="22860"/>
                <wp:wrapNone/>
                <wp:docPr id="1" name="文本框 100"/>
                <wp:cNvGraphicFramePr/>
                <a:graphic xmlns:a="http://schemas.openxmlformats.org/drawingml/2006/main">
                  <a:graphicData uri="http://schemas.microsoft.com/office/word/2010/wordprocessingShape">
                    <wps:wsp>
                      <wps:cNvSpPr txBox="1"/>
                      <wps:spPr>
                        <a:xfrm>
                          <a:off x="0" y="0"/>
                          <a:ext cx="885825" cy="178181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both"/>
                              <w:textAlignment w:val="baseline"/>
                              <w:rPr>
                                <w:rStyle w:val="23"/>
                                <w:rFonts w:ascii="Calibri" w:hAnsi="Calibri" w:eastAsia="宋体"/>
                                <w:kern w:val="2"/>
                                <w:sz w:val="21"/>
                                <w:szCs w:val="24"/>
                                <w:lang w:val="en-US" w:eastAsia="zh-CN" w:bidi="ar-SA"/>
                              </w:rPr>
                            </w:pPr>
                            <w:r>
                              <w:rPr>
                                <w:rStyle w:val="23"/>
                                <w:rFonts w:ascii="Calibri" w:hAnsi="Calibri" w:eastAsia="宋体"/>
                                <w:kern w:val="2"/>
                                <w:sz w:val="21"/>
                                <w:szCs w:val="24"/>
                                <w:lang w:val="en-US" w:eastAsia="zh-CN" w:bidi="ar-SA"/>
                              </w:rPr>
                              <w:t>后勤保障组：做好采样物资管理与发放，采样点的生活保障，所需资金保障及监督。</w:t>
                            </w:r>
                          </w:p>
                          <w:p>
                            <w:pPr>
                              <w:widowControl/>
                              <w:textAlignment w:val="baseline"/>
                              <w:rPr>
                                <w:rStyle w:val="23"/>
                              </w:rPr>
                            </w:pPr>
                          </w:p>
                        </w:txbxContent>
                      </wps:txbx>
                      <wps:bodyPr upright="1"/>
                    </wps:wsp>
                  </a:graphicData>
                </a:graphic>
              </wp:anchor>
            </w:drawing>
          </mc:Choice>
          <mc:Fallback>
            <w:pict>
              <v:shape id="文本框 100" o:spid="_x0000_s1026" o:spt="202" type="#_x0000_t202" style="position:absolute;left:0pt;margin-left:217.25pt;margin-top:519.3pt;height:140.3pt;width:69.75pt;z-index:251659264;mso-width-relative:page;mso-height-relative:page;" fillcolor="#FFFFFF" filled="t" stroked="t" coordsize="21600,21600" o:gfxdata="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pYUMdkAAAANAQAADwAAAAAAAAABACAA&#10;AAAiAAAAZHJzL2Rvd25yZXYueG1sUEsBAhQAFAAAAAgAh07iQDLTXD4MAgAAOAQAAA4AAAAAAAAA&#10;AQAgAAAAKAEAAGRycy9lMm9Eb2MueG1sUEsFBgAAAAAGAAYAWQEAAKYFAAAAAA==&#10;">
                <v:fill on="t" focussize="0,0"/>
                <v:stroke weight="0.5pt" color="#000000" joinstyle="miter"/>
                <v:imagedata o:title=""/>
                <o:lock v:ext="edit" aspectratio="f"/>
                <v:textbox>
                  <w:txbxContent>
                    <w:p>
                      <w:pPr>
                        <w:jc w:val="both"/>
                        <w:textAlignment w:val="baseline"/>
                        <w:rPr>
                          <w:rStyle w:val="23"/>
                          <w:rFonts w:ascii="Calibri" w:hAnsi="Calibri" w:eastAsia="宋体"/>
                          <w:kern w:val="2"/>
                          <w:sz w:val="21"/>
                          <w:szCs w:val="24"/>
                          <w:lang w:val="en-US" w:eastAsia="zh-CN" w:bidi="ar-SA"/>
                        </w:rPr>
                      </w:pPr>
                      <w:r>
                        <w:rPr>
                          <w:rStyle w:val="23"/>
                          <w:rFonts w:ascii="Calibri" w:hAnsi="Calibri" w:eastAsia="宋体"/>
                          <w:kern w:val="2"/>
                          <w:sz w:val="21"/>
                          <w:szCs w:val="24"/>
                          <w:lang w:val="en-US" w:eastAsia="zh-CN" w:bidi="ar-SA"/>
                        </w:rPr>
                        <w:t>后勤保障组：做好采样物资管理与发放，采样点的生活保障，所需资金保障及监督。</w:t>
                      </w:r>
                    </w:p>
                    <w:p>
                      <w:pPr>
                        <w:widowControl/>
                        <w:textAlignment w:val="baseline"/>
                        <w:rPr>
                          <w:rStyle w:val="23"/>
                        </w:rPr>
                      </w:pPr>
                    </w:p>
                  </w:txbxContent>
                </v:textbox>
              </v:shape>
            </w:pict>
          </mc:Fallback>
        </mc:AlternateContent>
      </w:r>
      <w:bookmarkStart w:id="67" w:name="_Toc28284"/>
      <w:r>
        <w:rPr>
          <w:rFonts w:hint="default" w:ascii="宋体" w:hAnsi="宋体" w:eastAsia="方正黑体_GBK" w:cs="Times New Roman"/>
          <w:kern w:val="2"/>
          <w:sz w:val="32"/>
          <w:szCs w:val="33"/>
          <w:lang w:val="en-US" w:eastAsia="zh-CN" w:bidi="ar-SA"/>
        </w:rPr>
        <w:t>附图4 危险工业固体废物产生量分布图</w:t>
      </w:r>
      <w:bookmarkEnd w:id="67"/>
    </w:p>
    <w:p>
      <w:pPr>
        <w:keepNext w:val="0"/>
        <w:keepLines w:val="0"/>
        <w:pageBreakBefore w:val="0"/>
        <w:widowControl w:val="0"/>
        <w:kinsoku/>
        <w:wordWrap/>
        <w:overflowPunct/>
        <w:topLinePunct w:val="0"/>
        <w:autoSpaceDE/>
        <w:autoSpaceDN/>
        <w:bidi w:val="0"/>
        <w:snapToGrid/>
        <w:spacing w:before="0" w:beforeAutospacing="0" w:after="0" w:afterAutospacing="0" w:line="240" w:lineRule="auto"/>
        <w:ind w:left="0" w:leftChars="0" w:right="0" w:rightChars="0" w:firstLine="0" w:firstLineChars="0"/>
        <w:jc w:val="center"/>
        <w:textAlignment w:val="baseline"/>
        <w:rPr>
          <w:spacing w:val="0"/>
          <w:w w:val="100"/>
        </w:rPr>
      </w:pPr>
      <w:r>
        <w:rPr>
          <w:rFonts w:hint="default" w:ascii="Times New Roman" w:hAnsi="Times New Roman" w:cs="Times New Roman"/>
          <w:spacing w:val="0"/>
          <w:w w:val="100"/>
        </w:rPr>
        <w:drawing>
          <wp:inline distT="0" distB="0" distL="114300" distR="114300">
            <wp:extent cx="6905625" cy="4882515"/>
            <wp:effectExtent l="0" t="0" r="9525" b="1333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34"/>
                    <a:stretch>
                      <a:fillRect/>
                    </a:stretch>
                  </pic:blipFill>
                  <pic:spPr>
                    <a:xfrm>
                      <a:off x="0" y="0"/>
                      <a:ext cx="6905625" cy="4882515"/>
                    </a:xfrm>
                    <a:prstGeom prst="rect">
                      <a:avLst/>
                    </a:prstGeom>
                    <a:noFill/>
                    <a:ln>
                      <a:noFill/>
                    </a:ln>
                  </pic:spPr>
                </pic:pic>
              </a:graphicData>
            </a:graphic>
          </wp:inline>
        </w:drawing>
      </w:r>
    </w:p>
    <w:p>
      <w:pPr>
        <w:pStyle w:val="10"/>
        <w:keepNext w:val="0"/>
        <w:keepLines w:val="0"/>
        <w:pageBreakBefore w:val="0"/>
        <w:widowControl w:val="0"/>
        <w:kinsoku/>
        <w:wordWrap/>
        <w:overflowPunct/>
        <w:topLinePunct w:val="0"/>
        <w:autoSpaceDE/>
        <w:autoSpaceDN/>
        <w:bidi w:val="0"/>
        <w:rPr>
          <w:spacing w:val="0"/>
          <w:w w:val="100"/>
        </w:rPr>
        <w:sectPr>
          <w:headerReference r:id="rId20" w:type="default"/>
          <w:footerReference r:id="rId22" w:type="default"/>
          <w:headerReference r:id="rId21" w:type="even"/>
          <w:footerReference r:id="rId23" w:type="even"/>
          <w:pgSz w:w="16838" w:h="11906" w:orient="landscape"/>
          <w:pgMar w:top="1531" w:right="1701" w:bottom="1531" w:left="1701" w:header="851" w:footer="113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keepNext w:val="0"/>
        <w:keepLines w:val="0"/>
        <w:pageBreakBefore w:val="0"/>
        <w:widowControl w:val="0"/>
        <w:kinsoku/>
        <w:wordWrap/>
        <w:overflowPunct/>
        <w:topLinePunct w:val="0"/>
        <w:autoSpaceDE/>
        <w:autoSpaceDN/>
        <w:bidi w:val="0"/>
        <w:snapToGrid/>
        <w:spacing w:before="0" w:beforeAutospacing="0" w:after="0" w:afterAutospacing="0" w:line="240" w:lineRule="auto"/>
        <w:jc w:val="both"/>
        <w:textAlignment w:val="baseline"/>
        <w:rPr>
          <w:rStyle w:val="23"/>
          <w:rFonts w:ascii="方正黑体_GBK" w:hAnsi="方正黑体_GBK" w:eastAsia="方正黑体_GBK"/>
          <w:b w:val="0"/>
          <w:i w:val="0"/>
          <w:caps w:val="0"/>
          <w:color w:val="000000"/>
          <w:spacing w:val="0"/>
          <w:w w:val="100"/>
          <w:kern w:val="2"/>
          <w:sz w:val="21"/>
          <w:szCs w:val="24"/>
          <w:lang w:val="en-US" w:eastAsia="zh-CN" w:bidi="ar-SA"/>
        </w:rPr>
        <w:sectPr>
          <w:headerReference r:id="rId24" w:type="default"/>
          <w:footerReference r:id="rId26" w:type="default"/>
          <w:headerReference r:id="rId25" w:type="even"/>
          <w:footerReference r:id="rId27"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docGrid w:type="lines" w:linePitch="579" w:charSpace="0"/>
        </w:sectPr>
      </w:pPr>
    </w:p>
    <w:p>
      <w:pPr>
        <w:keepNext w:val="0"/>
        <w:keepLines w:val="0"/>
        <w:pageBreakBefore w:val="0"/>
        <w:widowControl w:val="0"/>
        <w:kinsoku/>
        <w:wordWrap/>
        <w:overflowPunct/>
        <w:topLinePunct w:val="0"/>
        <w:autoSpaceDE/>
        <w:autoSpaceDN/>
        <w:bidi w:val="0"/>
        <w:snapToGrid/>
        <w:spacing w:before="0" w:beforeAutospacing="0" w:after="0" w:afterAutospacing="0" w:line="240" w:lineRule="auto"/>
        <w:jc w:val="both"/>
        <w:textAlignment w:val="baseline"/>
        <w:rPr>
          <w:rStyle w:val="23"/>
          <w:rFonts w:ascii="方正黑体_GBK" w:hAnsi="方正黑体_GBK" w:eastAsia="方正黑体_GBK"/>
          <w:b w:val="0"/>
          <w:i w:val="0"/>
          <w:caps w:val="0"/>
          <w:color w:val="000000"/>
          <w:spacing w:val="0"/>
          <w:w w:val="100"/>
          <w:kern w:val="2"/>
          <w:sz w:val="21"/>
          <w:szCs w:val="24"/>
          <w:lang w:val="en-US" w:eastAsia="zh-CN" w:bidi="ar-SA"/>
        </w:rPr>
      </w:pPr>
    </w:p>
    <w:p>
      <w:pPr>
        <w:keepNext w:val="0"/>
        <w:keepLines w:val="0"/>
        <w:pageBreakBefore w:val="0"/>
        <w:widowControl w:val="0"/>
        <w:kinsoku/>
        <w:wordWrap/>
        <w:overflowPunct/>
        <w:topLinePunct w:val="0"/>
        <w:autoSpaceDE/>
        <w:autoSpaceDN/>
        <w:bidi w:val="0"/>
        <w:snapToGrid/>
        <w:spacing w:before="0" w:beforeAutospacing="0" w:after="0" w:afterAutospacing="0" w:line="240" w:lineRule="auto"/>
        <w:jc w:val="both"/>
        <w:textAlignment w:val="baseline"/>
        <w:rPr>
          <w:rStyle w:val="23"/>
          <w:rFonts w:ascii="方正黑体_GBK" w:hAnsi="方正黑体_GBK" w:eastAsia="方正黑体_GBK"/>
          <w:b w:val="0"/>
          <w:i w:val="0"/>
          <w:caps w:val="0"/>
          <w:color w:val="000000"/>
          <w:spacing w:val="0"/>
          <w:w w:val="100"/>
          <w:kern w:val="2"/>
          <w:sz w:val="21"/>
          <w:szCs w:val="24"/>
          <w:lang w:val="en-US" w:eastAsia="zh-CN" w:bidi="ar-SA"/>
        </w:rPr>
      </w:pPr>
    </w:p>
    <w:p>
      <w:pPr>
        <w:pStyle w:val="7"/>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pStyle w:val="10"/>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pStyle w:val="11"/>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pStyle w:val="10"/>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pStyle w:val="11"/>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pStyle w:val="10"/>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pStyle w:val="11"/>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pStyle w:val="10"/>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rPr>
          <w:rFonts w:hint="eastAsia"/>
        </w:rPr>
      </w:pPr>
    </w:p>
    <w:p>
      <w:pPr>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keepNext w:val="0"/>
        <w:keepLines w:val="0"/>
        <w:pageBreakBefore w:val="0"/>
        <w:widowControl w:val="0"/>
        <w:kinsoku/>
        <w:wordWrap/>
        <w:overflowPunct/>
        <w:topLinePunct w:val="0"/>
        <w:autoSpaceDE/>
        <w:autoSpaceDN/>
        <w:bidi w:val="0"/>
        <w:rPr>
          <w:rFonts w:hint="eastAsia" w:ascii="宋体" w:hAnsi="宋体" w:eastAsia="方正小标宋_GBK"/>
          <w:spacing w:val="0"/>
          <w:w w:val="100"/>
          <w:szCs w:val="32"/>
        </w:rPr>
      </w:pPr>
    </w:p>
    <w:p>
      <w:pPr>
        <w:pStyle w:val="9"/>
        <w:keepNext w:val="0"/>
        <w:keepLines w:val="0"/>
        <w:pageBreakBefore w:val="0"/>
        <w:widowControl w:val="0"/>
        <w:kinsoku/>
        <w:wordWrap/>
        <w:overflowPunct/>
        <w:topLinePunct w:val="0"/>
        <w:autoSpaceDE/>
        <w:autoSpaceDN/>
        <w:bidi w:val="0"/>
        <w:rPr>
          <w:rFonts w:hint="eastAsia" w:ascii="宋体" w:hAnsi="宋体" w:eastAsia="方正黑体_GBK"/>
          <w:spacing w:val="0"/>
          <w:w w:val="100"/>
          <w:sz w:val="21"/>
          <w:szCs w:val="21"/>
        </w:rPr>
      </w:pPr>
    </w:p>
    <w:p>
      <w:pPr>
        <w:keepNext w:val="0"/>
        <w:keepLines w:val="0"/>
        <w:pageBreakBefore w:val="0"/>
        <w:widowControl w:val="0"/>
        <w:pBdr>
          <w:top w:val="single" w:color="auto" w:sz="8" w:space="1"/>
        </w:pBdr>
        <w:kinsoku/>
        <w:wordWrap/>
        <w:overflowPunct/>
        <w:topLinePunct w:val="0"/>
        <w:autoSpaceDE/>
        <w:autoSpaceDN/>
        <w:bidi w:val="0"/>
        <w:adjustRightInd w:val="0"/>
        <w:ind w:left="140" w:hanging="140" w:hangingChars="50"/>
        <w:rPr>
          <w:rFonts w:hint="eastAsia" w:ascii="宋体" w:hAnsi="宋体" w:eastAsia="方正仿宋_GBK"/>
          <w:spacing w:val="0"/>
          <w:w w:val="100"/>
          <w:sz w:val="28"/>
          <w:szCs w:val="28"/>
        </w:rPr>
      </w:pPr>
      <w:r>
        <w:rPr>
          <w:rFonts w:hint="eastAsia" w:ascii="宋体" w:hAnsi="宋体" w:eastAsia="方正仿宋_GBK"/>
          <w:spacing w:val="0"/>
          <w:w w:val="100"/>
          <w:sz w:val="28"/>
          <w:szCs w:val="28"/>
        </w:rPr>
        <w:t>　抄送：区纪委监委机关，区法院，区检察院，区人武部，区委办公室，</w:t>
      </w:r>
    </w:p>
    <w:p>
      <w:pPr>
        <w:keepNext w:val="0"/>
        <w:keepLines w:val="0"/>
        <w:pageBreakBefore w:val="0"/>
        <w:widowControl w:val="0"/>
        <w:kinsoku/>
        <w:wordWrap/>
        <w:overflowPunct/>
        <w:topLinePunct w:val="0"/>
        <w:autoSpaceDE/>
        <w:autoSpaceDN/>
        <w:bidi w:val="0"/>
        <w:adjustRightInd w:val="0"/>
        <w:ind w:left="141" w:leftChars="44" w:firstLine="980" w:firstLineChars="350"/>
        <w:rPr>
          <w:rFonts w:hint="eastAsia" w:ascii="宋体" w:hAnsi="宋体" w:eastAsia="方正仿宋_GBK"/>
          <w:spacing w:val="0"/>
          <w:w w:val="100"/>
          <w:sz w:val="28"/>
          <w:szCs w:val="28"/>
        </w:rPr>
      </w:pPr>
      <w:r>
        <w:rPr>
          <w:rFonts w:hint="eastAsia" w:ascii="宋体" w:hAnsi="宋体" w:eastAsia="方正仿宋_GBK"/>
          <w:spacing w:val="0"/>
          <w:w w:val="100"/>
          <w:sz w:val="28"/>
          <w:szCs w:val="28"/>
        </w:rPr>
        <w:t>区人大办公室，区政协办公室。</w:t>
      </w:r>
    </w:p>
    <w:p>
      <w:pPr>
        <w:keepNext w:val="0"/>
        <w:keepLines w:val="0"/>
        <w:pageBreakBefore w:val="0"/>
        <w:widowControl w:val="0"/>
        <w:pBdr>
          <w:top w:val="single" w:color="auto" w:sz="6" w:space="1"/>
          <w:bottom w:val="single" w:color="auto" w:sz="8" w:space="1"/>
        </w:pBdr>
        <w:tabs>
          <w:tab w:val="right" w:pos="8844"/>
        </w:tabs>
        <w:kinsoku/>
        <w:wordWrap/>
        <w:overflowPunct/>
        <w:topLinePunct w:val="0"/>
        <w:autoSpaceDE/>
        <w:autoSpaceDN/>
        <w:bidi w:val="0"/>
        <w:adjustRightInd w:val="0"/>
        <w:ind w:firstLine="280" w:firstLineChars="100"/>
        <w:rPr>
          <w:rFonts w:hint="eastAsia"/>
          <w:spacing w:val="0"/>
          <w:w w:val="100"/>
          <w:lang w:val="en-US" w:eastAsia="zh-CN"/>
        </w:rPr>
      </w:pPr>
      <w:r>
        <w:rPr>
          <w:rFonts w:hint="eastAsia" w:ascii="宋体" w:hAnsi="宋体" w:eastAsia="方正仿宋_GBK"/>
          <w:spacing w:val="0"/>
          <w:w w:val="100"/>
          <w:sz w:val="28"/>
          <w:szCs w:val="28"/>
        </w:rPr>
        <w:t>重庆市荣昌区人民政府办公室　　　　 　　</w:t>
      </w:r>
      <w:r>
        <w:rPr>
          <w:rFonts w:hint="eastAsia" w:ascii="宋体" w:hAnsi="宋体" w:eastAsia="方正仿宋_GBK"/>
          <w:spacing w:val="0"/>
          <w:w w:val="100"/>
          <w:sz w:val="28"/>
          <w:szCs w:val="28"/>
          <w:lang w:eastAsia="zh-CN"/>
        </w:rPr>
        <w:t>2022</w:t>
      </w:r>
      <w:r>
        <w:rPr>
          <w:rFonts w:hint="eastAsia" w:ascii="宋体" w:hAnsi="宋体" w:eastAsia="方正仿宋_GBK"/>
          <w:spacing w:val="0"/>
          <w:w w:val="100"/>
          <w:sz w:val="28"/>
          <w:szCs w:val="28"/>
        </w:rPr>
        <w:t>年</w:t>
      </w:r>
      <w:r>
        <w:rPr>
          <w:rFonts w:hint="eastAsia" w:ascii="宋体" w:hAnsi="宋体"/>
          <w:spacing w:val="0"/>
          <w:w w:val="100"/>
          <w:sz w:val="28"/>
          <w:szCs w:val="28"/>
          <w:lang w:val="en-US" w:eastAsia="zh-CN"/>
        </w:rPr>
        <w:t>12</w:t>
      </w:r>
      <w:r>
        <w:rPr>
          <w:rFonts w:hint="eastAsia" w:ascii="宋体" w:hAnsi="宋体" w:eastAsia="方正仿宋_GBK"/>
          <w:spacing w:val="0"/>
          <w:w w:val="100"/>
          <w:sz w:val="28"/>
          <w:szCs w:val="28"/>
        </w:rPr>
        <w:t>月</w:t>
      </w:r>
      <w:r>
        <w:rPr>
          <w:rFonts w:hint="eastAsia" w:ascii="宋体" w:hAnsi="宋体"/>
          <w:spacing w:val="0"/>
          <w:w w:val="100"/>
          <w:sz w:val="28"/>
          <w:szCs w:val="28"/>
          <w:lang w:val="en-US" w:eastAsia="zh-CN"/>
        </w:rPr>
        <w:t>30</w:t>
      </w:r>
      <w:r>
        <w:rPr>
          <w:rFonts w:hint="eastAsia" w:ascii="宋体" w:hAnsi="宋体" w:eastAsia="方正仿宋_GBK"/>
          <w:spacing w:val="0"/>
          <w:w w:val="100"/>
          <w:sz w:val="28"/>
          <w:szCs w:val="28"/>
        </w:rPr>
        <w:t>日印发</w:t>
      </w:r>
      <w:r>
        <w:rPr>
          <w:rFonts w:ascii="宋体" w:hAnsi="宋体" w:eastAsia="方正仿宋_GBK"/>
          <w:spacing w:val="0"/>
          <w:w w:val="100"/>
          <w:sz w:val="28"/>
          <w:szCs w:val="28"/>
        </w:rPr>
        <w:tab/>
      </w:r>
    </w:p>
    <w:sectPr>
      <w:footerReference r:id="rId28" w:type="default"/>
      <w:footerReference r:id="rId29"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docGrid w:type="lines" w:linePitch="579" w:charSpace="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gDudlVfMQA=" wne:acdName="acd4" wne:fciIndexBasedOn="0065"/>
    <wne:acd wne:argValue="AgDudlVfMgA=" wne:acdName="acd5" wne:fciIndexBasedOn="0065"/>
    <wne:acd wne:argValue="AgDudlVfMw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wordWrap w:val="0"/>
                            <w:jc w:val="right"/>
                            <w:rPr>
                              <w:rFonts w:hint="default" w:eastAsia="方正仿宋_GBK"/>
                              <w:sz w:val="28"/>
                              <w:szCs w:val="28"/>
                              <w:lang w:val="en-US" w:eastAsia="zh-CN"/>
                            </w:rPr>
                          </w:pPr>
                          <w:r>
                            <w:rPr>
                              <w:rFonts w:hint="default"/>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1</w:t>
                          </w:r>
                          <w:r>
                            <w:rPr>
                              <w:rFonts w:hint="default"/>
                              <w:sz w:val="28"/>
                              <w:szCs w:val="28"/>
                              <w:lang w:val="en-US" w:eastAsia="zh-CN"/>
                            </w:rPr>
                            <w:fldChar w:fldCharType="end"/>
                          </w:r>
                          <w:r>
                            <w:rPr>
                              <w:rFonts w:hint="default"/>
                              <w:sz w:val="28"/>
                              <w:szCs w:val="28"/>
                              <w:lang w:val="en-US" w:eastAsia="zh-CN"/>
                            </w:rPr>
                            <w:t xml:space="preserve"> —</w:t>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YMDPvIAQAAmwMAAA4AAAAAAAAAAQAgAAAAHgEAAGRycy9lMm9Eb2Mu&#10;eG1sUEsFBgAAAAAGAAYAWQEAAFgFAAAAAA==&#10;">
              <v:fill on="f" focussize="0,0"/>
              <v:stroke on="f"/>
              <v:imagedata o:title=""/>
              <o:lock v:ext="edit" aspectratio="f"/>
              <v:textbox inset="0mm,0mm,0mm,0mm" style="mso-fit-shape-to-text:t;">
                <w:txbxContent>
                  <w:p>
                    <w:pPr>
                      <w:pStyle w:val="10"/>
                      <w:wordWrap w:val="0"/>
                      <w:jc w:val="right"/>
                      <w:rPr>
                        <w:rFonts w:hint="default" w:eastAsia="方正仿宋_GBK"/>
                        <w:sz w:val="28"/>
                        <w:szCs w:val="28"/>
                        <w:lang w:val="en-US" w:eastAsia="zh-CN"/>
                      </w:rPr>
                    </w:pPr>
                    <w:r>
                      <w:rPr>
                        <w:rFonts w:hint="default"/>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1</w:t>
                    </w:r>
                    <w:r>
                      <w:rPr>
                        <w:rFonts w:hint="default"/>
                        <w:sz w:val="28"/>
                        <w:szCs w:val="28"/>
                        <w:lang w:val="en-US" w:eastAsia="zh-CN"/>
                      </w:rPr>
                      <w:fldChar w:fldCharType="end"/>
                    </w:r>
                    <w:r>
                      <w:rPr>
                        <w:rFonts w:hint="default"/>
                        <w:sz w:val="28"/>
                        <w:szCs w:val="28"/>
                        <w:lang w:val="en-US" w:eastAsia="zh-CN"/>
                      </w:rPr>
                      <w:t xml:space="preserve"> —</w:t>
                    </w:r>
                    <w:r>
                      <w:rPr>
                        <w:rFonts w:hint="eastAsia"/>
                        <w:sz w:val="28"/>
                        <w:szCs w:val="28"/>
                        <w:lang w:val="en-US" w:eastAsia="zh-CN"/>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left="0" w:leftChars="0"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37"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2Im8sBAACdAwAADgAAAGRycy9lMm9Eb2MueG1srVNNrtMwEN4jcQfL&#10;e+q0IKi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BY34QUljluc+OX7t8uPX5efX8my&#10;ev4qS9QHqDHzLmBuGt74AdNnP6AzMx9UtPmLnAjGUeDzVWA5JCLyo/Vqva4wJDA2XxCf3T8PEdJb&#10;6S3JRkMjTrAIy0/vIY2pc0qu5vytNqZM0bi/HIiZPSz3PvaYrTTsh4nQ3rdn5NPj8BvqcNcpMe8c&#10;apv3ZDbibOxn4xiiPnRlkXI9CK+PCZsoveUKI+xUGKdW2E0bltfiz3vJuv+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m9iJvLAQAAnQMAAA4AAAAAAAAAAQAgAAAAHgEAAGRycy9lMm9E&#10;b2MueG1sUEsFBgAAAAAGAAYAWQEAAFsFAAAAAA==&#10;">
              <v:fill on="f" focussize="0,0"/>
              <v:stroke on="f"/>
              <v:imagedata o:title=""/>
              <o:lock v:ext="edit" aspectratio="f"/>
              <v:textbox inset="0mm,0mm,0mm,0mm" style="mso-fit-shape-to-text:t;">
                <w:txbxContent>
                  <w:p>
                    <w:pPr>
                      <w:pStyle w:val="10"/>
                      <w:ind w:left="0" w:leftChars="0"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71552" behindDoc="0" locked="0" layoutInCell="1" allowOverlap="1">
              <wp:simplePos x="0" y="0"/>
              <wp:positionH relativeFrom="margin">
                <wp:posOffset>-833755</wp:posOffset>
              </wp:positionH>
              <wp:positionV relativeFrom="paragraph">
                <wp:posOffset>543560</wp:posOffset>
              </wp:positionV>
              <wp:extent cx="984250" cy="442595"/>
              <wp:effectExtent l="271145" t="0" r="0" b="0"/>
              <wp:wrapSquare wrapText="bothSides"/>
              <wp:docPr id="17" name="文本框 77"/>
              <wp:cNvGraphicFramePr/>
              <a:graphic xmlns:a="http://schemas.openxmlformats.org/drawingml/2006/main">
                <a:graphicData uri="http://schemas.microsoft.com/office/word/2010/wordprocessingShape">
                  <wps:wsp>
                    <wps:cNvSpPr txBox="1"/>
                    <wps:spPr>
                      <a:xfrm rot="5400000">
                        <a:off x="0" y="0"/>
                        <a:ext cx="984250" cy="442595"/>
                      </a:xfrm>
                      <a:prstGeom prst="rect">
                        <a:avLst/>
                      </a:prstGeom>
                      <a:noFill/>
                      <a:ln>
                        <a:noFill/>
                      </a:ln>
                    </wps:spPr>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40</w:t>
                          </w:r>
                          <w:r>
                            <w:rPr>
                              <w:sz w:val="28"/>
                              <w:szCs w:val="28"/>
                            </w:rPr>
                            <w:fldChar w:fldCharType="end"/>
                          </w:r>
                          <w:r>
                            <w:rPr>
                              <w:sz w:val="28"/>
                              <w:szCs w:val="28"/>
                            </w:rPr>
                            <w:t xml:space="preserve"> —</w:t>
                          </w:r>
                        </w:p>
                      </w:txbxContent>
                    </wps:txbx>
                    <wps:bodyPr lIns="0" tIns="0" rIns="0" bIns="0" upright="0"/>
                  </wps:wsp>
                </a:graphicData>
              </a:graphic>
            </wp:anchor>
          </w:drawing>
        </mc:Choice>
        <mc:Fallback>
          <w:pict>
            <v:shape id="文本框 77" o:spid="_x0000_s1026" o:spt="202" type="#_x0000_t202" style="position:absolute;left:0pt;margin-left:-65.65pt;margin-top:42.8pt;height:34.85pt;width:77.5pt;mso-position-horizontal-relative:margin;mso-wrap-distance-bottom:0pt;mso-wrap-distance-left:9pt;mso-wrap-distance-right:9pt;mso-wrap-distance-top:0pt;rotation:5898240f;z-index:251671552;mso-width-relative:page;mso-height-relative:page;" filled="f" stroked="f" coordsize="21600,21600" o:gfxdata="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9/7oo1gAAAAoBAAAPAAAAAAAAAAEAIAAAACIAAABkcnMvZG93bnJldi54&#10;bWxQSwECFAAUAAAACACHTuJApiaEQMMBAACBAwAADgAAAAAAAAABACAAAAAlAQAAZHJzL2Uyb0Rv&#10;Yy54bWxQSwUGAAAAAAYABgBZAQAAWgUAAAAA&#10;">
              <v:fill on="f" focussize="0,0"/>
              <v:stroke on="f"/>
              <v:imagedata o:title=""/>
              <o:lock v:ext="edit" aspectratio="f"/>
              <v:textbox inset="0mm,0mm,0mm,0mm">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40</w:t>
                    </w:r>
                    <w:r>
                      <w:rPr>
                        <w:sz w:val="28"/>
                        <w:szCs w:val="28"/>
                      </w:rPr>
                      <w:fldChar w:fldCharType="end"/>
                    </w:r>
                    <w:r>
                      <w:rPr>
                        <w:sz w:val="28"/>
                        <w:szCs w:val="28"/>
                      </w:rPr>
                      <w:t xml:space="preserve"> —</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70528" behindDoc="0" locked="0" layoutInCell="1" allowOverlap="1">
              <wp:simplePos x="0" y="0"/>
              <wp:positionH relativeFrom="margin">
                <wp:posOffset>-833755</wp:posOffset>
              </wp:positionH>
              <wp:positionV relativeFrom="paragraph">
                <wp:posOffset>543560</wp:posOffset>
              </wp:positionV>
              <wp:extent cx="984250" cy="442595"/>
              <wp:effectExtent l="271145" t="0" r="0" b="0"/>
              <wp:wrapSquare wrapText="bothSides"/>
              <wp:docPr id="16" name="文本框 75"/>
              <wp:cNvGraphicFramePr/>
              <a:graphic xmlns:a="http://schemas.openxmlformats.org/drawingml/2006/main">
                <a:graphicData uri="http://schemas.microsoft.com/office/word/2010/wordprocessingShape">
                  <wps:wsp>
                    <wps:cNvSpPr txBox="1"/>
                    <wps:spPr>
                      <a:xfrm rot="5400000">
                        <a:off x="0" y="0"/>
                        <a:ext cx="984250" cy="442595"/>
                      </a:xfrm>
                      <a:prstGeom prst="rect">
                        <a:avLst/>
                      </a:prstGeom>
                      <a:noFill/>
                      <a:ln>
                        <a:noFill/>
                      </a:ln>
                    </wps:spPr>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40</w:t>
                          </w:r>
                          <w:r>
                            <w:rPr>
                              <w:sz w:val="28"/>
                              <w:szCs w:val="28"/>
                            </w:rPr>
                            <w:fldChar w:fldCharType="end"/>
                          </w:r>
                          <w:r>
                            <w:rPr>
                              <w:sz w:val="28"/>
                              <w:szCs w:val="28"/>
                            </w:rPr>
                            <w:t xml:space="preserve"> —</w:t>
                          </w:r>
                        </w:p>
                      </w:txbxContent>
                    </wps:txbx>
                    <wps:bodyPr lIns="0" tIns="0" rIns="0" bIns="0" upright="0"/>
                  </wps:wsp>
                </a:graphicData>
              </a:graphic>
            </wp:anchor>
          </w:drawing>
        </mc:Choice>
        <mc:Fallback>
          <w:pict>
            <v:shape id="文本框 75" o:spid="_x0000_s1026" o:spt="202" type="#_x0000_t202" style="position:absolute;left:0pt;margin-left:-65.65pt;margin-top:42.8pt;height:34.85pt;width:77.5pt;mso-position-horizontal-relative:margin;mso-wrap-distance-bottom:0pt;mso-wrap-distance-left:9pt;mso-wrap-distance-right:9pt;mso-wrap-distance-top:0pt;rotation:5898240f;z-index:251670528;mso-width-relative:page;mso-height-relative:page;" filled="f" stroked="f" coordsize="21600,21600" o:gfxdata="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9/7oo1gAAAAoBAAAPAAAAAAAAAAEAIAAAACIAAABkcnMvZG93bnJldi54&#10;bWxQSwECFAAUAAAACACHTuJAbT6Yx8MBAACBAwAADgAAAAAAAAABACAAAAAlAQAAZHJzL2Uyb0Rv&#10;Yy54bWxQSwUGAAAAAAYABgBZAQAAWgUAAAAA&#10;">
              <v:fill on="f" focussize="0,0"/>
              <v:stroke on="f"/>
              <v:imagedata o:title=""/>
              <o:lock v:ext="edit" aspectratio="f"/>
              <v:textbox inset="0mm,0mm,0mm,0mm">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40</w:t>
                    </w:r>
                    <w:r>
                      <w:rPr>
                        <w:sz w:val="28"/>
                        <w:szCs w:val="28"/>
                      </w:rPr>
                      <w:fldChar w:fldCharType="end"/>
                    </w:r>
                    <w:r>
                      <w:rPr>
                        <w:sz w:val="28"/>
                        <w:szCs w:val="28"/>
                      </w:rPr>
                      <w:t xml:space="preserve"> —</w:t>
                    </w:r>
                  </w:p>
                </w:txbxContent>
              </v:textbox>
              <w10:wrap type="squar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hyphenationZone w:val="360"/>
  <w:evenAndOddHeaders w:val="1"/>
  <w:drawingGridHorizontalSpacing w:val="320"/>
  <w:drawingGridVerticalSpacing w:val="290"/>
  <w:displayHorizontalDrawingGridEvery w:val="1"/>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NGZhZjViODVlMzA0MmVlM2NlNzAxZTc2ZWI0ZjMifQ=="/>
  </w:docVars>
  <w:rsids>
    <w:rsidRoot w:val="6B345DC5"/>
    <w:rsid w:val="05363DAA"/>
    <w:rsid w:val="05BA5B76"/>
    <w:rsid w:val="07404FA4"/>
    <w:rsid w:val="08452494"/>
    <w:rsid w:val="0A261F09"/>
    <w:rsid w:val="0B487DDF"/>
    <w:rsid w:val="0D356A69"/>
    <w:rsid w:val="0DE31854"/>
    <w:rsid w:val="18A07E2C"/>
    <w:rsid w:val="1AEA5B9B"/>
    <w:rsid w:val="1B6947BA"/>
    <w:rsid w:val="1CAD1FED"/>
    <w:rsid w:val="1F817620"/>
    <w:rsid w:val="2AA9208E"/>
    <w:rsid w:val="2E91331D"/>
    <w:rsid w:val="2FDF0016"/>
    <w:rsid w:val="30894B9A"/>
    <w:rsid w:val="350E6F0D"/>
    <w:rsid w:val="3B9C5939"/>
    <w:rsid w:val="3D491BBB"/>
    <w:rsid w:val="3DD558CE"/>
    <w:rsid w:val="42893021"/>
    <w:rsid w:val="42E74CE5"/>
    <w:rsid w:val="45DFC076"/>
    <w:rsid w:val="48AE355E"/>
    <w:rsid w:val="4AEB74FA"/>
    <w:rsid w:val="4B141B26"/>
    <w:rsid w:val="4FC122EF"/>
    <w:rsid w:val="516E6543"/>
    <w:rsid w:val="57F27F56"/>
    <w:rsid w:val="57FF1126"/>
    <w:rsid w:val="58BF1585"/>
    <w:rsid w:val="59A415DE"/>
    <w:rsid w:val="5F1360A3"/>
    <w:rsid w:val="65FE7137"/>
    <w:rsid w:val="66631B4E"/>
    <w:rsid w:val="69050FB0"/>
    <w:rsid w:val="6B345DC5"/>
    <w:rsid w:val="6C3F7EA7"/>
    <w:rsid w:val="6DAF4D93"/>
    <w:rsid w:val="700F78BD"/>
    <w:rsid w:val="707A2425"/>
    <w:rsid w:val="70BB5DFD"/>
    <w:rsid w:val="76745DC8"/>
    <w:rsid w:val="7EF973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宋体" w:hAnsi="宋体" w:eastAsia="方正仿宋_GBK" w:cs="Times New Roman"/>
      <w:kern w:val="2"/>
      <w:sz w:val="32"/>
      <w:szCs w:val="33"/>
      <w:lang w:val="en-US" w:eastAsia="zh-CN" w:bidi="ar-SA"/>
    </w:rPr>
  </w:style>
  <w:style w:type="paragraph" w:styleId="2">
    <w:name w:val="heading 1"/>
    <w:basedOn w:val="1"/>
    <w:next w:val="1"/>
    <w:link w:val="20"/>
    <w:qFormat/>
    <w:uiPriority w:val="0"/>
    <w:pPr>
      <w:keepNext w:val="0"/>
      <w:keepLines/>
      <w:snapToGrid w:val="0"/>
      <w:spacing w:beforeLines="0" w:beforeAutospacing="0" w:afterLines="0" w:afterAutospacing="0" w:line="720" w:lineRule="atLeast"/>
      <w:ind w:firstLine="0" w:firstLineChars="0"/>
      <w:jc w:val="center"/>
      <w:outlineLvl w:val="0"/>
    </w:pPr>
    <w:rPr>
      <w:rFonts w:eastAsia="方正小标宋_GBK"/>
      <w:kern w:val="44"/>
      <w:sz w:val="44"/>
    </w:rPr>
  </w:style>
  <w:style w:type="paragraph" w:styleId="3">
    <w:name w:val="heading 2"/>
    <w:basedOn w:val="1"/>
    <w:next w:val="1"/>
    <w:link w:val="21"/>
    <w:unhideWhenUsed/>
    <w:qFormat/>
    <w:uiPriority w:val="0"/>
    <w:pPr>
      <w:keepNext w:val="0"/>
      <w:keepLines w:val="0"/>
      <w:spacing w:beforeLines="0" w:beforeAutospacing="0" w:afterLines="0" w:afterAutospacing="0" w:line="240" w:lineRule="auto"/>
      <w:outlineLvl w:val="1"/>
    </w:pPr>
    <w:rPr>
      <w:rFonts w:eastAsia="方正黑体_GBK"/>
    </w:rPr>
  </w:style>
  <w:style w:type="paragraph" w:styleId="4">
    <w:name w:val="heading 3"/>
    <w:basedOn w:val="1"/>
    <w:next w:val="1"/>
    <w:link w:val="22"/>
    <w:unhideWhenUsed/>
    <w:qFormat/>
    <w:uiPriority w:val="0"/>
    <w:pPr>
      <w:keepNext w:val="0"/>
      <w:keepLines w:val="0"/>
      <w:spacing w:beforeLines="0" w:beforeAutospacing="0" w:afterLines="0" w:afterAutospacing="0" w:line="240" w:lineRule="auto"/>
      <w:outlineLvl w:val="2"/>
    </w:pPr>
    <w:rPr>
      <w:rFonts w:eastAsia="方正楷体_GBK"/>
    </w:rPr>
  </w:style>
  <w:style w:type="paragraph" w:styleId="5">
    <w:name w:val="heading 4"/>
    <w:basedOn w:val="6"/>
    <w:next w:val="1"/>
    <w:unhideWhenUsed/>
    <w:qFormat/>
    <w:uiPriority w:val="0"/>
    <w:pPr>
      <w:keepNext/>
      <w:keepLines/>
      <w:spacing w:beforeLines="0" w:beforeAutospacing="0" w:afterLines="0" w:afterAutospacing="0" w:line="240" w:lineRule="auto"/>
      <w:ind w:left="1600" w:leftChars="200" w:hanging="960" w:hangingChars="300"/>
      <w:outlineLvl w:val="3"/>
    </w:pPr>
    <w:rPr>
      <w:rFonts w:ascii="宋体" w:hAnsi="宋体"/>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6">
    <w:name w:val="Body Text First Indent"/>
    <w:basedOn w:val="7"/>
    <w:qFormat/>
    <w:uiPriority w:val="0"/>
    <w:pPr>
      <w:ind w:firstLine="420" w:firstLineChars="100"/>
    </w:pPr>
  </w:style>
  <w:style w:type="paragraph" w:styleId="7">
    <w:name w:val="Body Text"/>
    <w:basedOn w:val="1"/>
    <w:next w:val="8"/>
    <w:qFormat/>
    <w:uiPriority w:val="0"/>
    <w:rPr>
      <w:rFonts w:ascii="Calibri" w:hAnsi="Calibri"/>
      <w:kern w:val="0"/>
    </w:rPr>
  </w:style>
  <w:style w:type="paragraph" w:styleId="8">
    <w:name w:val="toc 5"/>
    <w:basedOn w:val="1"/>
    <w:next w:val="1"/>
    <w:unhideWhenUsed/>
    <w:qFormat/>
    <w:uiPriority w:val="0"/>
    <w:pPr>
      <w:spacing w:beforeLines="0" w:afterLines="0"/>
      <w:ind w:left="1680" w:leftChars="800"/>
    </w:pPr>
    <w:rPr>
      <w:rFonts w:hint="default" w:ascii="Times New Roman" w:hAnsi="Times New Roman" w:cs="Times New Roman"/>
      <w:sz w:val="22"/>
      <w:szCs w:val="22"/>
    </w:rPr>
  </w:style>
  <w:style w:type="paragraph" w:styleId="9">
    <w:name w:val="Normal Indent"/>
    <w:basedOn w:val="1"/>
    <w:next w:val="1"/>
    <w:qFormat/>
    <w:uiPriority w:val="0"/>
    <w:pPr>
      <w:ind w:firstLine="567"/>
    </w:pPr>
  </w:style>
  <w:style w:type="paragraph" w:styleId="10">
    <w:name w:val="footer"/>
    <w:basedOn w:val="1"/>
    <w:next w:val="11"/>
    <w:qFormat/>
    <w:uiPriority w:val="99"/>
    <w:pPr>
      <w:tabs>
        <w:tab w:val="center" w:pos="4153"/>
        <w:tab w:val="right" w:pos="8306"/>
      </w:tabs>
      <w:snapToGrid w:val="0"/>
      <w:jc w:val="left"/>
    </w:pPr>
    <w:rPr>
      <w:sz w:val="18"/>
    </w:rPr>
  </w:style>
  <w:style w:type="paragraph" w:customStyle="1" w:styleId="11">
    <w:name w:val="UserStyle_0"/>
    <w:basedOn w:val="1"/>
    <w:next w:val="1"/>
    <w:qFormat/>
    <w:uiPriority w:val="0"/>
    <w:pPr>
      <w:spacing w:before="100" w:beforeAutospacing="1" w:after="100" w:afterAutospacing="1"/>
      <w:ind w:left="1680"/>
      <w:jc w:val="both"/>
      <w:textAlignment w:val="baseline"/>
    </w:pPr>
    <w:rPr>
      <w:rFonts w:ascii="Calibri" w:hAnsi="Calibri" w:eastAsia="宋体"/>
      <w:kern w:val="2"/>
      <w:sz w:val="21"/>
      <w:szCs w:val="21"/>
      <w:lang w:val="en-US" w:eastAsia="zh-CN" w:bidi="ar-SA"/>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7">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20">
    <w:name w:val="标题 1 Char"/>
    <w:link w:val="2"/>
    <w:qFormat/>
    <w:uiPriority w:val="0"/>
    <w:rPr>
      <w:rFonts w:eastAsia="方正小标宋_GBK"/>
      <w:kern w:val="44"/>
      <w:sz w:val="44"/>
    </w:rPr>
  </w:style>
  <w:style w:type="character" w:customStyle="1" w:styleId="21">
    <w:name w:val="标题 2 Char"/>
    <w:link w:val="3"/>
    <w:qFormat/>
    <w:uiPriority w:val="0"/>
    <w:rPr>
      <w:rFonts w:ascii="宋体" w:hAnsi="宋体" w:eastAsia="方正黑体_GBK"/>
    </w:rPr>
  </w:style>
  <w:style w:type="character" w:customStyle="1" w:styleId="22">
    <w:name w:val="标题 3 Char"/>
    <w:link w:val="4"/>
    <w:qFormat/>
    <w:uiPriority w:val="0"/>
    <w:rPr>
      <w:rFonts w:eastAsia="方正楷体_GBK"/>
    </w:rPr>
  </w:style>
  <w:style w:type="character" w:customStyle="1" w:styleId="23">
    <w:name w:val="NormalCharacter"/>
    <w:semiHidden/>
    <w:qFormat/>
    <w:uiPriority w:val="0"/>
    <w:rPr>
      <w:rFonts w:ascii="宋体" w:hAnsi="宋体" w:eastAsia="方正仿宋_GBK" w:cs="Times New Roman"/>
      <w:kern w:val="2"/>
      <w:sz w:val="32"/>
      <w:szCs w:val="33"/>
      <w:lang w:val="en-US" w:eastAsia="zh-CN" w:bidi="ar-SA"/>
    </w:rPr>
  </w:style>
  <w:style w:type="paragraph" w:customStyle="1" w:styleId="24">
    <w:name w:val="索引 51"/>
    <w:basedOn w:val="1"/>
    <w:next w:val="1"/>
    <w:qFormat/>
    <w:uiPriority w:val="0"/>
    <w:pPr>
      <w:ind w:left="1680"/>
    </w:pPr>
  </w:style>
  <w:style w:type="paragraph" w:customStyle="1" w:styleId="25">
    <w:name w:val="目录1"/>
    <w:basedOn w:val="17"/>
    <w:next w:val="1"/>
    <w:qFormat/>
    <w:uiPriority w:val="0"/>
    <w:pPr>
      <w:snapToGrid w:val="0"/>
      <w:spacing w:line="240" w:lineRule="auto"/>
      <w:ind w:firstLine="0" w:firstLineChars="0"/>
    </w:pPr>
    <w:rPr>
      <w:rFonts w:hint="eastAsia" w:ascii="宋体" w:hAnsi="宋体" w:eastAsia="方正小标宋_GBK"/>
      <w:b w:val="0"/>
      <w:sz w:val="44"/>
    </w:rPr>
  </w:style>
  <w:style w:type="paragraph" w:customStyle="1" w:styleId="26">
    <w:name w:val="目录2"/>
    <w:basedOn w:val="2"/>
    <w:next w:val="1"/>
    <w:qFormat/>
    <w:uiPriority w:val="0"/>
    <w:pPr>
      <w:keepLines w:val="0"/>
      <w:snapToGrid/>
      <w:spacing w:before="50" w:beforeLines="50" w:after="50" w:afterLines="50" w:line="240" w:lineRule="auto"/>
      <w:ind w:firstLine="0" w:firstLineChars="0"/>
      <w:jc w:val="center"/>
    </w:pPr>
    <w:rPr>
      <w:rFonts w:eastAsia="方正黑体_GBK"/>
      <w:sz w:val="32"/>
    </w:rPr>
  </w:style>
  <w:style w:type="paragraph" w:customStyle="1" w:styleId="27">
    <w:name w:val="目录3"/>
    <w:basedOn w:val="3"/>
    <w:next w:val="1"/>
    <w:link w:val="28"/>
    <w:qFormat/>
    <w:uiPriority w:val="0"/>
    <w:rPr>
      <w:rFonts w:hint="eastAsia" w:eastAsia="方正楷体_GBK"/>
    </w:rPr>
  </w:style>
  <w:style w:type="character" w:customStyle="1" w:styleId="28">
    <w:name w:val="目录3 Char"/>
    <w:link w:val="27"/>
    <w:qFormat/>
    <w:uiPriority w:val="0"/>
    <w:rPr>
      <w:rFonts w:hint="eastAsia" w:eastAsia="方正楷体_GBK"/>
    </w:rPr>
  </w:style>
  <w:style w:type="paragraph" w:customStyle="1" w:styleId="29">
    <w:name w:val="TableOfAuthoring"/>
    <w:basedOn w:val="1"/>
    <w:next w:val="1"/>
    <w:qFormat/>
    <w:uiPriority w:val="0"/>
    <w:pPr>
      <w:spacing w:line="560" w:lineRule="exact"/>
      <w:ind w:left="420" w:leftChars="200" w:firstLine="200" w:firstLineChars="200"/>
    </w:pPr>
    <w:rPr>
      <w:rFonts w:ascii="宋体" w:hAnsi="宋体" w:eastAsia="方正仿宋_GBK"/>
    </w:rPr>
  </w:style>
  <w:style w:type="character" w:customStyle="1" w:styleId="30">
    <w:name w:val="UserStyle_1"/>
    <w:basedOn w:val="23"/>
    <w:qFormat/>
    <w:uiPriority w:val="0"/>
    <w:rPr>
      <w:rFonts w:ascii="方正仿宋_GBK" w:hAnsi="方正仿宋_GBK" w:eastAsia="方正仿宋_GBK"/>
      <w:color w:val="000000"/>
      <w:sz w:val="24"/>
      <w:szCs w:val="24"/>
    </w:rPr>
  </w:style>
  <w:style w:type="paragraph" w:customStyle="1" w:styleId="31">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color w:val="366091" w:themeColor="accent1" w:themeShade="BF"/>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fontTable" Target="fontTable.xml"/><Relationship Id="rId36" Type="http://schemas.microsoft.com/office/2006/relationships/keyMapCustomizations" Target="customizations.xml"/><Relationship Id="rId35" Type="http://schemas.openxmlformats.org/officeDocument/2006/relationships/customXml" Target="../customXml/item1.xml"/><Relationship Id="rId34" Type="http://schemas.openxmlformats.org/officeDocument/2006/relationships/image" Target="media/image4.jpeg"/><Relationship Id="rId33" Type="http://schemas.openxmlformats.org/officeDocument/2006/relationships/image" Target="media/image3.jpeg"/><Relationship Id="rId32" Type="http://schemas.openxmlformats.org/officeDocument/2006/relationships/image" Target="media/image2.jpeg"/><Relationship Id="rId31" Type="http://schemas.openxmlformats.org/officeDocument/2006/relationships/image" Target="media/image1.jpeg"/><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uest\C:\Users\Administrator\AppData\Roaming\kingsoft\office6\templates\wps\zh_CN\&#22522;&#30784;&#27169;&#26495;&#21452;&#27178;&#3144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基础模板双横竖.wpt</Template>
  <Pages>40</Pages>
  <Words>15262</Words>
  <Characters>15611</Characters>
  <Lines>0</Lines>
  <Paragraphs>0</Paragraphs>
  <TotalTime>4</TotalTime>
  <ScaleCrop>false</ScaleCrop>
  <LinksUpToDate>false</LinksUpToDate>
  <CharactersWithSpaces>20287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2023-01-04T16:29:00Z</dcterms:created>
  <dc:creator>雪的城</dc:creator>
  <cp:lastModifiedBy>Administrator</cp:lastModifiedBy>
  <dcterms:modified xsi:type="dcterms:W3CDTF">2023-08-04T02:26:45Z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1AD5802FE87644F7BE3966226F31DCC7_13</vt:lpwstr>
  </property>
</Properties>
</file>