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6A02">
      <w:pPr>
        <w:rPr>
          <w:rFonts w:ascii="宋体" w:hAnsi="宋体" w:eastAsia="方正黑体_GBK" w:cs="Times New Roman"/>
        </w:rPr>
      </w:pPr>
      <w:bookmarkStart w:id="0" w:name="_GoBack"/>
      <w:bookmarkEnd w:id="0"/>
    </w:p>
    <w:p w14:paraId="7F41C5E5">
      <w:pPr>
        <w:rPr>
          <w:rFonts w:ascii="宋体" w:hAnsi="宋体" w:eastAsia="方正黑体_GBK" w:cs="Times New Roman"/>
        </w:rPr>
      </w:pPr>
    </w:p>
    <w:p w14:paraId="62B27E58">
      <w:pPr>
        <w:rPr>
          <w:rFonts w:ascii="宋体" w:hAnsi="宋体" w:eastAsia="方正黑体_GBK" w:cs="Times New Roman"/>
        </w:rPr>
      </w:pPr>
    </w:p>
    <w:p w14:paraId="60A48915">
      <w:pPr>
        <w:snapToGrid w:val="0"/>
        <w:spacing w:beforeLines="20" w:line="1320" w:lineRule="exact"/>
        <w:ind w:right="36" w:rightChars="17" w:firstLine="222" w:firstLineChars="40"/>
        <w:jc w:val="distribute"/>
        <w:rPr>
          <w:rFonts w:ascii="宋体" w:hAnsi="宋体" w:eastAsia="方正小标宋_GBK" w:cs="Times New Roman"/>
          <w:b/>
          <w:bCs/>
          <w:color w:val="FF0000"/>
          <w:w w:val="53"/>
          <w:sz w:val="110"/>
          <w:szCs w:val="110"/>
        </w:rPr>
      </w:pPr>
      <w:r>
        <w:rPr>
          <w:rFonts w:hint="eastAsia" w:ascii="宋体" w:hAnsi="宋体" w:eastAsia="方正小标宋_GBK" w:cs="方正小标宋_GBK"/>
          <w:b/>
          <w:bCs/>
          <w:color w:val="FF0000"/>
          <w:w w:val="51"/>
          <w:sz w:val="108"/>
          <w:szCs w:val="108"/>
        </w:rPr>
        <w:t>重庆市荣昌区人民政府办公室文件</w:t>
      </w:r>
    </w:p>
    <w:p w14:paraId="44DBB918">
      <w:pPr>
        <w:snapToGrid w:val="0"/>
        <w:spacing w:beforeLines="5"/>
        <w:rPr>
          <w:rFonts w:ascii="宋体" w:hAnsi="宋体" w:eastAsia="方正仿宋简体" w:cs="Times New Roman"/>
        </w:rPr>
      </w:pPr>
    </w:p>
    <w:p w14:paraId="0D545E02">
      <w:pPr>
        <w:rPr>
          <w:rFonts w:ascii="宋体" w:hAnsi="宋体" w:eastAsia="方正仿宋简体" w:cs="Times New Roman"/>
        </w:rPr>
      </w:pPr>
    </w:p>
    <w:p w14:paraId="759BA4A7">
      <w:pPr>
        <w:ind w:left="210" w:leftChars="100" w:right="210" w:rightChars="100"/>
        <w:jc w:val="center"/>
        <w:rPr>
          <w:rFonts w:ascii="宋体" w:hAnsi="宋体" w:eastAsia="方正仿宋_GBK" w:cs="Times New Roman"/>
          <w:sz w:val="32"/>
          <w:szCs w:val="32"/>
        </w:rPr>
      </w:pPr>
      <w:r>
        <w:rPr>
          <w:rFonts w:hint="eastAsia" w:ascii="宋体" w:hAnsi="宋体" w:eastAsia="方正仿宋_GBK" w:cs="方正仿宋_GBK"/>
          <w:sz w:val="32"/>
          <w:szCs w:val="32"/>
        </w:rPr>
        <w:t>荣昌府办发〔</w:t>
      </w:r>
      <w:r>
        <w:rPr>
          <w:rFonts w:ascii="宋体" w:hAnsi="宋体" w:eastAsia="方正仿宋_GBK" w:cs="宋体"/>
          <w:sz w:val="32"/>
          <w:szCs w:val="32"/>
        </w:rPr>
        <w:t>2021</w:t>
      </w:r>
      <w:r>
        <w:rPr>
          <w:rFonts w:hint="eastAsia" w:ascii="宋体" w:hAnsi="宋体" w:eastAsia="方正仿宋_GBK" w:cs="方正仿宋_GBK"/>
          <w:sz w:val="32"/>
          <w:szCs w:val="32"/>
        </w:rPr>
        <w:t>〕</w:t>
      </w:r>
      <w:r>
        <w:rPr>
          <w:rFonts w:ascii="宋体" w:hAnsi="宋体" w:eastAsia="方正仿宋_GBK" w:cs="宋体"/>
          <w:sz w:val="32"/>
          <w:szCs w:val="32"/>
        </w:rPr>
        <w:t>61</w:t>
      </w:r>
      <w:r>
        <w:rPr>
          <w:rFonts w:hint="eastAsia" w:ascii="宋体" w:hAnsi="宋体" w:eastAsia="方正仿宋_GBK" w:cs="方正仿宋_GBK"/>
          <w:sz w:val="32"/>
          <w:szCs w:val="32"/>
        </w:rPr>
        <w:t>号</w:t>
      </w:r>
    </w:p>
    <w:p w14:paraId="5CA412BC">
      <w:pPr>
        <w:ind w:left="210" w:leftChars="100" w:right="210" w:rightChars="100"/>
        <w:jc w:val="center"/>
        <w:rPr>
          <w:rFonts w:ascii="宋体" w:hAnsi="宋体" w:eastAsia="方正仿宋_GBK" w:cs="Times New Roman"/>
          <w:sz w:val="32"/>
          <w:szCs w:val="32"/>
        </w:rPr>
      </w:pPr>
    </w:p>
    <w:p w14:paraId="6CFCFD60">
      <w:pPr>
        <w:ind w:left="210" w:leftChars="100" w:right="210" w:rightChars="100"/>
        <w:jc w:val="center"/>
        <w:rPr>
          <w:rFonts w:ascii="宋体" w:hAnsi="宋体" w:eastAsia="方正仿宋_GBK" w:cs="Times New Roman"/>
          <w:sz w:val="32"/>
          <w:szCs w:val="32"/>
        </w:rPr>
      </w:pPr>
    </w:p>
    <w:p w14:paraId="5D0EE407">
      <w:pPr>
        <w:snapToGrid w:val="0"/>
        <w:spacing w:line="720" w:lineRule="atLeast"/>
        <w:ind w:left="210" w:leftChars="100" w:right="210" w:rightChars="100"/>
        <w:jc w:val="center"/>
        <w:rPr>
          <w:rFonts w:ascii="Times New Roman" w:hAnsi="方正小标宋_GBK" w:eastAsia="方正小标宋_GBK" w:cs="Times New Roman"/>
          <w:sz w:val="44"/>
          <w:szCs w:val="44"/>
        </w:rPr>
      </w:pPr>
      <w: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3044190</wp:posOffset>
                </wp:positionV>
                <wp:extent cx="5615940" cy="0"/>
                <wp:effectExtent l="0" t="10795" r="10160" b="14605"/>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6.55pt;margin-top:239.7pt;height:0pt;width:442.2pt;mso-position-horizontal-relative:page;mso-position-vertical-relative:margin;z-index:251659264;mso-width-relative:page;mso-height-relative:page;" filled="f" stroked="t" coordsize="21600,21600" o:gfxdata="UEsDBAoAAAAAAIdO4kAAAAAAAAAAAAAAAAAEAAAAZHJzL1BLAwQUAAAACACHTuJACydJD9kAAAAM&#10;AQAADwAAAGRycy9kb3ducmV2LnhtbE2Py07DMBBF90j8gzVI7Kgd+giEOF0ggcRTSuEDnHhIosbj&#10;ELtp4euZSkiwvDNXZ87k64PrxYRj6DxpSGYKBFLtbUeNhve3u4srECEasqb3hBq+MMC6OD3JTWb9&#10;nkqcNrERDKGQGQ1tjEMmZahbdCbM/IDEuw8/OhM5jo20o9kz3PXyUqmVdKYjvtCaAW9brLebnWPK&#10;lG6fn16+y8/Hzj+U96vXqulR6/OzRN2AiHiIf2U46rM6FOxU+R3ZIHrOy3nCVQ2L9HoB4thQ83QJ&#10;ovodySKX/58ofgBQSwMEFAAAAAgAh07iQLcuLtToAQAA3AMAAA4AAABkcnMvZTJvRG9jLnhtbK1T&#10;S44TMRDdI3EHy3vSnYiMoJXOLAhhg2CkYQ5Q8afbkn9yOenkLFyDFRuOM9eg3J3JwLDJgl64y67y&#10;q3qvyqvbo7PsoBKa4Fs+n9WcKS+CNL5r+cO37Zt3nGEGL8EGr1p+Ushv169frYbYqEXog5UqMQLx&#10;2Ayx5X3OsakqFL1ygLMQlSenDslBpm3qKplgIHRnq0Vd31RDSDKmIBQinW4mJz8jpmsAg9ZGqE0Q&#10;e6d8nlCTspCJEvYmIl+P1WqtRP6qNarMbMuJaR5XSkL2rqzVegVNlyD2RpxLgGtKeMHJgfGU9AK1&#10;gQxsn8w/UM6IFDDoPBPBVRORURFiMa9faHPfQ1QjF5Ia40V0/H+w4svhLjEjaRI48+Co4Y/ffzz+&#10;/MUWRZshYkMh9/EunXdIZiF61MmVP1Fgx1HP00VPdcxM0OHyZr58/5akFk++6vliTJg/qeBYMVpu&#10;jS9UoYHDZ8yUjEKfQsqx9Wxo+YK+JeEBDZ6mhpPpIhWPvhsvY7BGbo215QqmbvfBJnYAav52W9NX&#10;OBHwX2Elywawn+JG1zQWvQL50UuWT5Fk8fQaeKnBKcmZVfR4ikWA0GQw9ppISm09VVBknYQs1i7I&#10;EzVhH5PpepJiPlZZPNT0sd7zgJap+nM/Ij0/y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ydJ&#10;D9kAAAAMAQAADwAAAAAAAAABACAAAAAiAAAAZHJzL2Rvd25yZXYueG1sUEsBAhQAFAAAAAgAh07i&#10;QLcuLtToAQAA3AMAAA4AAAAAAAAAAQAgAAAAKAEAAGRycy9lMm9Eb2MueG1sUEsFBgAAAAAGAAYA&#10;WQEAAIIFAAAAAA==&#10;">
                <v:fill on="f" focussize="0,0"/>
                <v:stroke weight="1.75pt" color="#FF0000" joinstyle="round"/>
                <v:imagedata o:title=""/>
                <o:lock v:ext="edit" aspectratio="f"/>
              </v:line>
            </w:pict>
          </mc:Fallback>
        </mc:AlternateContent>
      </w:r>
      <w:r>
        <w:rPr>
          <w:rFonts w:hint="eastAsia" w:ascii="Times New Roman" w:hAnsi="方正小标宋_GBK" w:eastAsia="方正小标宋_GBK" w:cs="方正小标宋_GBK"/>
          <w:sz w:val="44"/>
          <w:szCs w:val="44"/>
        </w:rPr>
        <w:t>重庆市荣昌区人民政府办公室</w:t>
      </w:r>
    </w:p>
    <w:p w14:paraId="061EC7AF">
      <w:pPr>
        <w:snapToGrid w:val="0"/>
        <w:spacing w:line="720" w:lineRule="atLeast"/>
        <w:ind w:left="210" w:leftChars="100" w:right="210" w:rightChars="100"/>
        <w:jc w:val="center"/>
        <w:rPr>
          <w:rFonts w:ascii="Times New Roman" w:hAnsi="方正小标宋_GBK" w:eastAsia="方正小标宋_GBK" w:cs="Times New Roman"/>
          <w:sz w:val="44"/>
          <w:szCs w:val="44"/>
        </w:rPr>
      </w:pPr>
      <w:r>
        <w:rPr>
          <w:rFonts w:hint="eastAsia" w:ascii="Times New Roman" w:hAnsi="方正小标宋_GBK" w:eastAsia="方正小标宋_GBK" w:cs="方正小标宋_GBK"/>
          <w:sz w:val="44"/>
          <w:szCs w:val="44"/>
        </w:rPr>
        <w:t>关于印发荣昌区贯彻落实国务院办公厅</w:t>
      </w:r>
    </w:p>
    <w:p w14:paraId="030474A2">
      <w:pPr>
        <w:snapToGrid w:val="0"/>
        <w:spacing w:line="720" w:lineRule="atLeast"/>
        <w:ind w:left="210" w:leftChars="100" w:right="210" w:rightChars="100"/>
        <w:jc w:val="center"/>
        <w:rPr>
          <w:rFonts w:eastAsia="方正小标宋_GBK" w:cs="Times New Roman"/>
          <w:sz w:val="44"/>
          <w:szCs w:val="44"/>
        </w:rPr>
      </w:pPr>
      <w:r>
        <w:rPr>
          <w:rFonts w:ascii="Times New Roman" w:hAnsi="Times New Roman" w:eastAsia="方正小标宋_GBK" w:cs="Times New Roman"/>
          <w:sz w:val="44"/>
          <w:szCs w:val="44"/>
        </w:rPr>
        <w:t>2021</w:t>
      </w:r>
      <w:r>
        <w:rPr>
          <w:rFonts w:hint="eastAsia" w:ascii="Times New Roman" w:hAnsi="方正小标宋_GBK" w:eastAsia="方正小标宋_GBK" w:cs="方正小标宋_GBK"/>
          <w:sz w:val="44"/>
          <w:szCs w:val="44"/>
        </w:rPr>
        <w:t>年政务公开工作要点任务分工的通知</w:t>
      </w:r>
    </w:p>
    <w:p w14:paraId="60D8A757">
      <w:pPr>
        <w:rPr>
          <w:rFonts w:ascii="方正仿宋_GBK" w:hAnsi="方正仿宋_GBK" w:eastAsia="方正仿宋_GBK" w:cs="Times New Roman"/>
          <w:sz w:val="32"/>
          <w:szCs w:val="32"/>
        </w:rPr>
      </w:pPr>
    </w:p>
    <w:p w14:paraId="1EA28FF8">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各镇人民政府、各街道办事处，区政府各部门，有关单位：</w:t>
      </w:r>
    </w:p>
    <w:p w14:paraId="5C958F9A">
      <w:pPr>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为贯彻落实《国务院办公厅关于印发</w:t>
      </w:r>
      <w:r>
        <w:rPr>
          <w:rFonts w:ascii="方正仿宋_GBK" w:hAnsi="方正仿宋_GBK" w:eastAsia="方正仿宋_GBK" w:cs="方正仿宋_GBK"/>
          <w:sz w:val="32"/>
          <w:szCs w:val="32"/>
        </w:rPr>
        <w:t xml:space="preserve">2021 </w:t>
      </w:r>
      <w:r>
        <w:rPr>
          <w:rFonts w:hint="eastAsia" w:ascii="方正仿宋_GBK" w:hAnsi="方正仿宋_GBK" w:eastAsia="方正仿宋_GBK" w:cs="方正仿宋_GBK"/>
          <w:sz w:val="32"/>
          <w:szCs w:val="32"/>
        </w:rPr>
        <w:t>年政务公开工作要点的通知》（国办发〔</w:t>
      </w:r>
      <w:r>
        <w:rPr>
          <w:rFonts w:ascii="方正仿宋_GBK" w:hAnsi="方正仿宋_GBK" w:eastAsia="方正仿宋_GBK" w:cs="方正仿宋_GBK"/>
          <w:sz w:val="32"/>
          <w:szCs w:val="32"/>
        </w:rPr>
        <w:t>2021</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号，已在中国政府网公开发布）精神，按照全市政务公开工作要求，经区政府同意，现将《荣昌区贯彻落实国务院办公厅</w:t>
      </w:r>
      <w:r>
        <w:rPr>
          <w:rFonts w:ascii="方正仿宋_GBK" w:hAnsi="方正仿宋_GBK" w:eastAsia="方正仿宋_GBK" w:cs="方正仿宋_GBK"/>
          <w:sz w:val="32"/>
          <w:szCs w:val="32"/>
        </w:rPr>
        <w:t>2021</w:t>
      </w:r>
      <w:r>
        <w:rPr>
          <w:rFonts w:hint="eastAsia" w:ascii="方正仿宋_GBK" w:hAnsi="方正仿宋_GBK" w:eastAsia="方正仿宋_GBK" w:cs="方正仿宋_GBK"/>
          <w:sz w:val="32"/>
          <w:szCs w:val="32"/>
        </w:rPr>
        <w:t>年政务公开工作要点任务分工》（以下简称《任务分工》）印发给你们，并提出如下工作要求，请抓好贯彻落实。</w:t>
      </w:r>
    </w:p>
    <w:p w14:paraId="2071EA45">
      <w:pPr>
        <w:ind w:firstLine="640" w:firstLineChars="200"/>
        <w:rPr>
          <w:rFonts w:ascii="方正仿宋_GBK" w:hAnsi="方正仿宋_GBK" w:eastAsia="方正仿宋_GBK" w:cs="Times New Roman"/>
          <w:sz w:val="32"/>
          <w:szCs w:val="32"/>
        </w:rPr>
      </w:pPr>
      <w:r>
        <w:rPr>
          <w:rFonts w:hint="eastAsia" w:ascii="方正黑体_GBK" w:hAnsi="方正仿宋_GBK" w:eastAsia="方正黑体_GBK" w:cs="方正黑体_GBK"/>
          <w:sz w:val="32"/>
          <w:szCs w:val="32"/>
        </w:rPr>
        <w:t>一、提高政治站位。</w:t>
      </w:r>
      <w:r>
        <w:rPr>
          <w:rFonts w:hint="eastAsia" w:ascii="方正仿宋_GBK" w:hAnsi="方正仿宋_GBK" w:eastAsia="方正仿宋_GBK" w:cs="方正仿宋_GBK"/>
          <w:sz w:val="32"/>
          <w:szCs w:val="32"/>
        </w:rPr>
        <w:t>政务公开是保障人民主体地位、强化权力运行监督、推进政府治理体系和治理能力现代化的重要制度安排，是深化“放管服”改革、优化营商环境、建设法治政府和服务型政府的重要举措。各镇街和区政府各部门要进一步强化思想认识，切实加强组织领导，持续深化政务公开，为推动我区“十四五”时期经济社会高质量发展开好局、起好步提供有力支撑和保障。</w:t>
      </w:r>
    </w:p>
    <w:p w14:paraId="6519F4E7">
      <w:pPr>
        <w:ind w:firstLine="640" w:firstLineChars="200"/>
        <w:rPr>
          <w:rFonts w:ascii="方正仿宋_GBK" w:hAnsi="方正仿宋_GBK" w:eastAsia="方正仿宋_GBK" w:cs="Times New Roman"/>
          <w:sz w:val="32"/>
          <w:szCs w:val="32"/>
        </w:rPr>
      </w:pPr>
      <w:r>
        <w:rPr>
          <w:rFonts w:hint="eastAsia" w:ascii="方正黑体_GBK" w:hAnsi="方正仿宋_GBK" w:eastAsia="方正黑体_GBK" w:cs="方正黑体_GBK"/>
          <w:sz w:val="32"/>
          <w:szCs w:val="32"/>
        </w:rPr>
        <w:t>二、强化工作落实</w:t>
      </w:r>
      <w:r>
        <w:rPr>
          <w:rFonts w:hint="eastAsia" w:ascii="方正仿宋_GBK" w:hAnsi="方正仿宋_GBK" w:eastAsia="方正仿宋_GBK" w:cs="方正仿宋_GBK"/>
          <w:sz w:val="32"/>
          <w:szCs w:val="32"/>
        </w:rPr>
        <w:t>。各镇街、区政府各部门要牢固树立“一分部署，九分落实”理念，知责于心、担责于身、履责于行，对照《任务分工》制定条目式、可操作、可量化的任务清单，锁定公开内容，明确公开路径，压实公开责任，逐项抓好落实。任务清单、完成情况要按规定时限报送区政府办公室。</w:t>
      </w:r>
    </w:p>
    <w:p w14:paraId="1EAAFDF3">
      <w:pPr>
        <w:ind w:firstLine="640" w:firstLineChars="200"/>
        <w:rPr>
          <w:rFonts w:ascii="方正仿宋_GBK" w:hAnsi="方正仿宋_GBK" w:eastAsia="方正仿宋_GBK" w:cs="Times New Roman"/>
          <w:sz w:val="32"/>
          <w:szCs w:val="32"/>
        </w:rPr>
      </w:pPr>
      <w:r>
        <w:rPr>
          <w:rFonts w:hint="eastAsia" w:ascii="方正黑体_GBK" w:hAnsi="方正仿宋_GBK" w:eastAsia="方正黑体_GBK" w:cs="方正黑体_GBK"/>
          <w:sz w:val="32"/>
          <w:szCs w:val="32"/>
        </w:rPr>
        <w:t>三、强化审核把关。</w:t>
      </w:r>
      <w:r>
        <w:rPr>
          <w:rFonts w:hint="eastAsia" w:ascii="方正仿宋_GBK" w:hAnsi="方正仿宋_GBK" w:eastAsia="方正仿宋_GBK" w:cs="方正仿宋_GBK"/>
          <w:sz w:val="32"/>
          <w:szCs w:val="32"/>
        </w:rPr>
        <w:t>各镇街、区政府各部门要进一步完善政府信息公开审查流程、明确审查责任，严格落实“三审三校”制度，严把政治关、法律关、政策关、保密关、文字关，确保拟公开的政府信息内容表述准确、公开时机得当。要依法保护个人隐私，除惩戒公示、强制性信息披露外，对于其他涉及个人隐私的政府信息，公开时要去标识化处理，选择恰当的方式和范围，避免发生信息发布失信、影响社会稳定等问题。</w:t>
      </w:r>
    </w:p>
    <w:p w14:paraId="4B7DDC36">
      <w:pPr>
        <w:ind w:firstLine="640" w:firstLineChars="200"/>
        <w:rPr>
          <w:rFonts w:ascii="方正仿宋_GBK" w:hAnsi="方正仿宋_GBK" w:eastAsia="方正仿宋_GBK" w:cs="Times New Roman"/>
          <w:sz w:val="32"/>
          <w:szCs w:val="32"/>
        </w:rPr>
      </w:pPr>
      <w:r>
        <w:rPr>
          <w:rFonts w:hint="eastAsia" w:ascii="方正黑体_GBK" w:hAnsi="方正仿宋_GBK" w:eastAsia="方正黑体_GBK" w:cs="方正黑体_GBK"/>
          <w:sz w:val="32"/>
          <w:szCs w:val="32"/>
        </w:rPr>
        <w:t>四、强化督促指导。</w:t>
      </w:r>
      <w:r>
        <w:rPr>
          <w:rFonts w:hint="eastAsia" w:ascii="方正仿宋_GBK" w:hAnsi="方正仿宋_GBK" w:eastAsia="方正仿宋_GBK" w:cs="方正仿宋_GBK"/>
          <w:sz w:val="32"/>
          <w:szCs w:val="32"/>
        </w:rPr>
        <w:t>各镇街、区政府各部门要持续加强对行政机关工作人员特别是领导干部的培训，不断提升公开意识和公开能力。要针对任务清单落实情况，定期开展跟踪检查，对工作开展不积极、推诿扯皮等问题突出的单位予以通报批评和督促整改，同时将跟踪检查结果纳入政务公开年度考核范围，确保各项工作任务落地落实。各牵头单位要按要求维护政府网站等公开平台相关数据，区政府办公室将对牵头单位、内容保障单位《任务分工》完成情况进行检查，检查结果将报送区政府。</w:t>
      </w:r>
    </w:p>
    <w:p w14:paraId="1A61DBD4">
      <w:pPr>
        <w:ind w:firstLine="640" w:firstLineChars="200"/>
        <w:rPr>
          <w:rFonts w:ascii="方正仿宋_GBK" w:hAnsi="方正仿宋_GBK" w:eastAsia="方正仿宋_GBK" w:cs="Times New Roman"/>
          <w:sz w:val="32"/>
          <w:szCs w:val="32"/>
        </w:rPr>
      </w:pPr>
    </w:p>
    <w:p w14:paraId="0221EEB2">
      <w:pPr>
        <w:ind w:left="1638" w:leftChars="323" w:hanging="960" w:hangingChars="3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附件：荣昌区贯彻落实国务院办公厅</w:t>
      </w:r>
      <w:r>
        <w:rPr>
          <w:rFonts w:ascii="方正仿宋_GBK" w:hAnsi="方正仿宋_GBK" w:eastAsia="方正仿宋_GBK" w:cs="方正仿宋_GBK"/>
          <w:sz w:val="32"/>
          <w:szCs w:val="32"/>
        </w:rPr>
        <w:t>2021</w:t>
      </w:r>
      <w:r>
        <w:rPr>
          <w:rFonts w:hint="eastAsia" w:ascii="方正仿宋_GBK" w:hAnsi="方正仿宋_GBK" w:eastAsia="方正仿宋_GBK" w:cs="方正仿宋_GBK"/>
          <w:sz w:val="32"/>
          <w:szCs w:val="32"/>
        </w:rPr>
        <w:t>年政务公开工作要点任务分工</w:t>
      </w:r>
    </w:p>
    <w:p w14:paraId="6035C247">
      <w:pPr>
        <w:ind w:left="1638" w:leftChars="323" w:hanging="960" w:hangingChars="300"/>
        <w:rPr>
          <w:rFonts w:ascii="方正仿宋_GBK" w:hAnsi="方正仿宋_GBK" w:eastAsia="方正仿宋_GBK" w:cs="Times New Roman"/>
          <w:sz w:val="32"/>
          <w:szCs w:val="32"/>
        </w:rPr>
      </w:pPr>
    </w:p>
    <w:p w14:paraId="4845E664">
      <w:pPr>
        <w:ind w:left="1638" w:leftChars="323" w:hanging="960" w:hangingChars="300"/>
        <w:rPr>
          <w:rFonts w:ascii="方正仿宋_GBK" w:hAnsi="方正仿宋_GBK" w:eastAsia="方正仿宋_GBK" w:cs="Times New Roman"/>
          <w:sz w:val="32"/>
          <w:szCs w:val="32"/>
        </w:rPr>
      </w:pPr>
    </w:p>
    <w:p w14:paraId="1B8DA220">
      <w:pPr>
        <w:wordWrap w:val="0"/>
        <w:snapToGrid w:val="0"/>
        <w:spacing w:line="540" w:lineRule="exact"/>
        <w:ind w:firstLine="640" w:firstLineChars="200"/>
        <w:jc w:val="righ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重庆市荣昌区人民政府办公室</w:t>
      </w:r>
    </w:p>
    <w:p w14:paraId="004124B5">
      <w:pPr>
        <w:wordWrap w:val="0"/>
        <w:snapToGrid w:val="0"/>
        <w:spacing w:line="540" w:lineRule="exact"/>
        <w:jc w:val="right"/>
        <w:rPr>
          <w:rFonts w:ascii="方正仿宋_GBK" w:hAnsi="方正仿宋_GBK" w:eastAsia="方正仿宋_GBK" w:cs="Times New Roman"/>
          <w:sz w:val="32"/>
          <w:szCs w:val="32"/>
        </w:rPr>
      </w:pPr>
      <w:r>
        <w:rPr>
          <w:rFonts w:ascii="方正仿宋_GBK" w:hAnsi="方正仿宋_GBK" w:eastAsia="方正仿宋_GBK" w:cs="方正仿宋_GBK"/>
          <w:sz w:val="32"/>
          <w:szCs w:val="32"/>
        </w:rPr>
        <w:t>2021</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日</w:t>
      </w:r>
    </w:p>
    <w:p w14:paraId="54EFFFCE">
      <w:pPr>
        <w:widowControl/>
        <w:snapToGrid w:val="0"/>
        <w:ind w:firstLine="640" w:firstLineChars="200"/>
        <w:jc w:val="left"/>
        <w:rPr>
          <w:rFonts w:ascii="宋体" w:hAnsi="宋体" w:eastAsia="方正小标宋_GBK" w:cs="Times New Roman"/>
          <w:sz w:val="44"/>
          <w:szCs w:val="44"/>
        </w:rPr>
      </w:pPr>
      <w:r>
        <w:rPr>
          <w:rFonts w:hint="eastAsia" w:ascii="宋体" w:hAnsi="宋体" w:eastAsia="方正仿宋_GBK" w:cs="方正仿宋_GBK"/>
          <w:color w:val="000000"/>
          <w:kern w:val="0"/>
          <w:sz w:val="32"/>
          <w:szCs w:val="32"/>
          <w:shd w:val="clear" w:color="auto" w:fill="FFFFFF"/>
        </w:rPr>
        <w:t>（此件公开发布）</w:t>
      </w:r>
    </w:p>
    <w:p w14:paraId="7AE42779">
      <w:pPr>
        <w:rPr>
          <w:rFonts w:ascii="宋体" w:hAnsi="宋体" w:eastAsia="方正仿宋_GBK"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74" w:gutter="0"/>
          <w:cols w:space="720" w:num="1"/>
          <w:docGrid w:type="lines" w:linePitch="579" w:charSpace="0"/>
        </w:sectPr>
      </w:pPr>
    </w:p>
    <w:p w14:paraId="4BA6869F">
      <w:pPr>
        <w:rPr>
          <w:rFonts w:ascii="Times New Roman" w:hAnsi="方正小标宋_GBK" w:eastAsia="方正小标宋_GBK" w:cs="方正小标宋_GBK"/>
          <w:sz w:val="36"/>
          <w:szCs w:val="36"/>
        </w:rPr>
      </w:pPr>
      <w:r>
        <mc:AlternateContent>
          <mc:Choice Requires="wps">
            <w:drawing>
              <wp:anchor distT="0" distB="0" distL="114300" distR="114300" simplePos="0" relativeHeight="251661312" behindDoc="0" locked="0" layoutInCell="1" allowOverlap="1">
                <wp:simplePos x="0" y="0"/>
                <wp:positionH relativeFrom="column">
                  <wp:posOffset>-546735</wp:posOffset>
                </wp:positionH>
                <wp:positionV relativeFrom="paragraph">
                  <wp:posOffset>31115</wp:posOffset>
                </wp:positionV>
                <wp:extent cx="320040" cy="908685"/>
                <wp:effectExtent l="4445" t="4445" r="5715" b="13970"/>
                <wp:wrapNone/>
                <wp:docPr id="3" name="文本框 5"/>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0E187D4">
                            <w:pPr>
                              <w:snapToGrid w:val="0"/>
                              <w:ind w:firstLine="280" w:firstLineChars="100"/>
                              <w:rPr>
                                <w:rFonts w:ascii="宋体" w:cs="Times New Roman"/>
                                <w:sz w:val="28"/>
                                <w:szCs w:val="28"/>
                              </w:rPr>
                            </w:pPr>
                            <w:r>
                              <w:rPr>
                                <w:rFonts w:ascii="宋体" w:hAnsi="宋体" w:cs="宋体"/>
                                <w:sz w:val="28"/>
                                <w:szCs w:val="28"/>
                              </w:rPr>
                              <w:t>— 4 —</w:t>
                            </w:r>
                          </w:p>
                        </w:txbxContent>
                      </wps:txbx>
                      <wps:bodyPr vert="eaVert" lIns="0" tIns="0" rIns="0" bIns="0" upright="1"/>
                    </wps:wsp>
                  </a:graphicData>
                </a:graphic>
              </wp:anchor>
            </w:drawing>
          </mc:Choice>
          <mc:Fallback>
            <w:pict>
              <v:shape id="文本框 5" o:spid="_x0000_s1026" o:spt="202" type="#_x0000_t202" style="position:absolute;left:0pt;margin-left:-43.05pt;margin-top:2.45pt;height:71.55pt;width:25.2pt;z-index:251661312;mso-width-relative:page;mso-height-relative:page;" fillcolor="#FFFFFF" filled="t" stroked="t" coordsize="21600,21600" o:gfxdata="UEsDBAoAAAAAAIdO4kAAAAAAAAAAAAAAAAAEAAAAZHJzL1BLAwQUAAAACACHTuJA13VlIdoAAAAJ&#10;AQAADwAAAGRycy9kb3ducmV2LnhtbE2Py07DMBBF90j8gzVI7FI70IYQ4nRRCaldsKBUCHZOPCQR&#10;8TiK3Qf9eoZVWY7u0b1nyuXJDeKAU+g9aUhnCgRS421PrYbd23OSgwjRkDWDJ9TwgwGW1fVVaQrr&#10;j/SKh21sBZdQKIyGLsaxkDI0HToTZn5E4uzLT85EPqdW2skcudwN8k6pTDrTEy90ZsRVh833du80&#10;rNrPceE365id43u/q18+znaz1vr2JlVPICKe4gWGP31Wh4qdar8nG8SgIcmzlFEN80cQnCf3iwcQ&#10;NYPzXIGsSvn/g+oXUEsDBBQAAAAIAIdO4kANHW8xHQIAAGcEAAAOAAAAZHJzL2Uyb0RvYy54bWyt&#10;VM2O0zAQviPxDpbvNN0uXZWq6UpQipAQIC1wdx0nseQ/2W6TvgC8AScu3Pe5+hx8dtouu1x6IIdk&#10;bI+/+eabmSxue63ITvggrSnp1WhMiTDcVtI0Jf36Zf1iRkmIzFRMWSNKuheB3i6fP1t0bi4mtrWq&#10;Ep4AxIR550raxujmRRF4KzQLI+uEwWFtvWYRS98UlWcd0LUqJuPxTdFZXzlvuQgBu6vhkB4R/SWA&#10;tq4lFyvLt1qYOKB6oVhESqGVLtBlZlvXgsdPdR1EJKqkyDTmN4LA3qR3sVyweeOZayU/UmCXUHiS&#10;k2bSIOgZasUiI1sv/4HSknsbbB1H3OpiSCQrgiyuxk+0uWuZEzkXSB3cWfTw/2D5x91nT2RV0mtK&#10;DNMo+OHnj8Ov+8Pv72Sa5OlcmMPrzsEv9q9tj6Y57Qdspqz72uv0RT4E5xB3fxZX9JFwbF6j+C9x&#10;wnH0ajy7mWX04uGy8yG+E1aTZJTUo3ZZUrb7ECKIwPXkkmIFq2S1lkrlhW82b5QnO4Y6r/OTOOLK&#10;IzdlSIfo08kUPBiat0bTwNQOAgTT5HiPboTLgBOxFQvtQCAjDK2lZRQ+N1krWPXWVCTuHUQ2mC2a&#10;yGhRUaIERjFZ2TMyqS7xRHbKIMlUoaESyYr9pgdMMje22qNqGHboKdg3fBHrvUH/pFk4Gf5kbE7G&#10;1nnZtLiUK50DoP+ynsdZSQ3+9zrTePg/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3VlIdoA&#10;AAAJAQAADwAAAAAAAAABACAAAAAiAAAAZHJzL2Rvd25yZXYueG1sUEsBAhQAFAAAAAgAh07iQA0d&#10;bzEdAgAAZwQAAA4AAAAAAAAAAQAgAAAAKQEAAGRycy9lMm9Eb2MueG1sUEsFBgAAAAAGAAYAWQEA&#10;ALgFAAAAAA==&#10;">
                <v:fill on="t" focussize="0,0"/>
                <v:stroke color="#FFFFFF" joinstyle="miter"/>
                <v:imagedata o:title=""/>
                <o:lock v:ext="edit" aspectratio="f"/>
                <v:textbox inset="0mm,0mm,0mm,0mm" style="layout-flow:vertical-ideographic;">
                  <w:txbxContent>
                    <w:p w14:paraId="10E187D4">
                      <w:pPr>
                        <w:snapToGrid w:val="0"/>
                        <w:ind w:firstLine="280" w:firstLineChars="100"/>
                        <w:rPr>
                          <w:rFonts w:ascii="宋体" w:cs="Times New Roman"/>
                          <w:sz w:val="28"/>
                          <w:szCs w:val="28"/>
                        </w:rPr>
                      </w:pPr>
                      <w:r>
                        <w:rPr>
                          <w:rFonts w:ascii="宋体" w:hAnsi="宋体" w:cs="宋体"/>
                          <w:sz w:val="28"/>
                          <w:szCs w:val="28"/>
                        </w:rPr>
                        <w:t>— 4 —</w:t>
                      </w:r>
                    </w:p>
                  </w:txbxContent>
                </v:textbox>
              </v:shape>
            </w:pict>
          </mc:Fallback>
        </mc:AlternateContent>
      </w:r>
      <w:r>
        <w:rPr>
          <w:rFonts w:hint="eastAsia" w:ascii="方正黑体_GBK" w:hAnsi="方正黑体_GBK" w:eastAsia="方正黑体_GBK" w:cs="方正黑体_GBK"/>
          <w:sz w:val="32"/>
          <w:szCs w:val="32"/>
        </w:rPr>
        <w:t>附件</w:t>
      </w:r>
    </w:p>
    <w:p w14:paraId="028DBFEF">
      <w:pPr>
        <w:snapToGrid w:val="0"/>
        <w:spacing w:beforeLines="50" w:afterLines="50"/>
        <w:jc w:val="center"/>
        <w:rPr>
          <w:rFonts w:eastAsia="方正小标宋_GBK" w:cs="Times New Roman"/>
          <w:sz w:val="36"/>
          <w:szCs w:val="36"/>
        </w:rPr>
      </w:pPr>
      <w:r>
        <w:rPr>
          <w:rFonts w:hint="eastAsia" w:ascii="Times New Roman" w:hAnsi="方正小标宋_GBK" w:eastAsia="方正小标宋_GBK" w:cs="方正小标宋_GBK"/>
          <w:sz w:val="36"/>
          <w:szCs w:val="36"/>
        </w:rPr>
        <w:t>荣昌区贯彻落实国务院办公厅</w:t>
      </w:r>
      <w:r>
        <w:rPr>
          <w:rFonts w:ascii="Times New Roman" w:hAnsi="Times New Roman" w:eastAsia="方正小标宋_GBK" w:cs="Times New Roman"/>
          <w:sz w:val="36"/>
          <w:szCs w:val="36"/>
        </w:rPr>
        <w:t>2021</w:t>
      </w:r>
      <w:r>
        <w:rPr>
          <w:rFonts w:hint="eastAsia" w:ascii="Times New Roman" w:hAnsi="方正小标宋_GBK" w:eastAsia="方正小标宋_GBK" w:cs="方正小标宋_GBK"/>
          <w:sz w:val="36"/>
          <w:szCs w:val="36"/>
        </w:rPr>
        <w:t>年政务公开工作要点任务分工</w:t>
      </w:r>
    </w:p>
    <w:tbl>
      <w:tblPr>
        <w:tblStyle w:val="7"/>
        <w:tblW w:w="0" w:type="auto"/>
        <w:jc w:val="center"/>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Layout w:type="fixed"/>
        <w:tblCellMar>
          <w:top w:w="0" w:type="dxa"/>
          <w:left w:w="28" w:type="dxa"/>
          <w:bottom w:w="0" w:type="dxa"/>
          <w:right w:w="28" w:type="dxa"/>
        </w:tblCellMar>
      </w:tblPr>
      <w:tblGrid>
        <w:gridCol w:w="977"/>
        <w:gridCol w:w="1105"/>
        <w:gridCol w:w="8066"/>
        <w:gridCol w:w="1209"/>
        <w:gridCol w:w="1523"/>
        <w:gridCol w:w="890"/>
      </w:tblGrid>
      <w:tr w14:paraId="7E06C06D">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965" w:hRule="atLeast"/>
          <w:tblHeader/>
          <w:jc w:val="center"/>
        </w:trPr>
        <w:tc>
          <w:tcPr>
            <w:tcW w:w="2082" w:type="dxa"/>
            <w:gridSpan w:val="2"/>
            <w:tcBorders>
              <w:top w:val="single" w:color="auto" w:sz="6" w:space="0"/>
            </w:tcBorders>
            <w:tcMar>
              <w:top w:w="0" w:type="dxa"/>
              <w:left w:w="0" w:type="dxa"/>
              <w:bottom w:w="0" w:type="dxa"/>
              <w:right w:w="0" w:type="dxa"/>
            </w:tcMar>
            <w:vAlign w:val="center"/>
          </w:tcPr>
          <w:p w14:paraId="54F7E937">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工作任务</w:t>
            </w:r>
          </w:p>
        </w:tc>
        <w:tc>
          <w:tcPr>
            <w:tcW w:w="8066" w:type="dxa"/>
            <w:tcBorders>
              <w:top w:val="single" w:color="auto" w:sz="6" w:space="0"/>
            </w:tcBorders>
            <w:tcMar>
              <w:top w:w="0" w:type="dxa"/>
              <w:left w:w="0" w:type="dxa"/>
              <w:bottom w:w="0" w:type="dxa"/>
              <w:right w:w="0" w:type="dxa"/>
            </w:tcMar>
            <w:vAlign w:val="center"/>
          </w:tcPr>
          <w:p w14:paraId="2E0A5E40">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贯彻举措</w:t>
            </w:r>
          </w:p>
        </w:tc>
        <w:tc>
          <w:tcPr>
            <w:tcW w:w="1209" w:type="dxa"/>
            <w:tcBorders>
              <w:top w:val="single" w:color="auto" w:sz="6" w:space="0"/>
            </w:tcBorders>
            <w:tcMar>
              <w:top w:w="0" w:type="dxa"/>
              <w:left w:w="0" w:type="dxa"/>
              <w:bottom w:w="0" w:type="dxa"/>
              <w:right w:w="0" w:type="dxa"/>
            </w:tcMar>
            <w:vAlign w:val="center"/>
          </w:tcPr>
          <w:p w14:paraId="53ED4705">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牵头单位</w:t>
            </w:r>
          </w:p>
        </w:tc>
        <w:tc>
          <w:tcPr>
            <w:tcW w:w="1523" w:type="dxa"/>
            <w:tcBorders>
              <w:top w:val="single" w:color="auto" w:sz="6" w:space="0"/>
            </w:tcBorders>
            <w:tcMar>
              <w:top w:w="0" w:type="dxa"/>
              <w:left w:w="0" w:type="dxa"/>
              <w:bottom w:w="0" w:type="dxa"/>
              <w:right w:w="0" w:type="dxa"/>
            </w:tcMar>
            <w:vAlign w:val="center"/>
          </w:tcPr>
          <w:p w14:paraId="71DE628C">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内容保</w:t>
            </w:r>
          </w:p>
          <w:p w14:paraId="016DB867">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障单位</w:t>
            </w:r>
          </w:p>
        </w:tc>
        <w:tc>
          <w:tcPr>
            <w:tcW w:w="890" w:type="dxa"/>
            <w:tcBorders>
              <w:top w:val="single" w:color="auto" w:sz="6" w:space="0"/>
            </w:tcBorders>
            <w:tcMar>
              <w:top w:w="0" w:type="dxa"/>
              <w:left w:w="0" w:type="dxa"/>
              <w:bottom w:w="0" w:type="dxa"/>
              <w:right w:w="0" w:type="dxa"/>
            </w:tcMar>
            <w:vAlign w:val="center"/>
          </w:tcPr>
          <w:p w14:paraId="3E340C21">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技术保</w:t>
            </w:r>
          </w:p>
          <w:p w14:paraId="59BCC41E">
            <w:pPr>
              <w:snapToGrid w:val="0"/>
              <w:jc w:val="center"/>
              <w:rPr>
                <w:rFonts w:ascii="方正黑体_GBK" w:hAnsi="方正黑体_GBK" w:eastAsia="方正黑体_GBK" w:cs="Times New Roman"/>
                <w:sz w:val="24"/>
                <w:szCs w:val="24"/>
              </w:rPr>
            </w:pPr>
            <w:r>
              <w:rPr>
                <w:rFonts w:hint="eastAsia" w:ascii="方正黑体_GBK" w:hAnsi="方正黑体_GBK" w:eastAsia="方正黑体_GBK" w:cs="方正黑体_GBK"/>
                <w:sz w:val="24"/>
                <w:szCs w:val="24"/>
              </w:rPr>
              <w:t>障单位</w:t>
            </w:r>
          </w:p>
        </w:tc>
      </w:tr>
      <w:tr w14:paraId="5D34A5EA">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3205" w:hRule="atLeast"/>
          <w:jc w:val="center"/>
        </w:trPr>
        <w:tc>
          <w:tcPr>
            <w:tcW w:w="977" w:type="dxa"/>
            <w:vMerge w:val="restart"/>
            <w:tcMar>
              <w:top w:w="0" w:type="dxa"/>
              <w:left w:w="0" w:type="dxa"/>
              <w:bottom w:w="0" w:type="dxa"/>
              <w:right w:w="0" w:type="dxa"/>
            </w:tcMar>
            <w:vAlign w:val="center"/>
          </w:tcPr>
          <w:p w14:paraId="2B4FAC3D">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一、紧扣“十四五”开好局起好步深化政务公开</w:t>
            </w:r>
          </w:p>
        </w:tc>
        <w:tc>
          <w:tcPr>
            <w:tcW w:w="1105" w:type="dxa"/>
            <w:vMerge w:val="restart"/>
            <w:tcMar>
              <w:top w:w="0" w:type="dxa"/>
              <w:left w:w="0" w:type="dxa"/>
              <w:bottom w:w="0" w:type="dxa"/>
              <w:right w:w="0" w:type="dxa"/>
            </w:tcMar>
            <w:vAlign w:val="center"/>
          </w:tcPr>
          <w:p w14:paraId="6DE41D7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（一）做好各类规划主动公开。</w:t>
            </w:r>
          </w:p>
        </w:tc>
        <w:tc>
          <w:tcPr>
            <w:tcW w:w="8066" w:type="dxa"/>
            <w:tcMar>
              <w:top w:w="0" w:type="dxa"/>
              <w:left w:w="0" w:type="dxa"/>
              <w:bottom w:w="0" w:type="dxa"/>
              <w:right w:w="0" w:type="dxa"/>
            </w:tcMar>
            <w:vAlign w:val="center"/>
          </w:tcPr>
          <w:p w14:paraId="2FEF7107">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．公开《重庆市荣昌区国民经济和社会发展第十四个五年规划和二〇三五年远景目标纲要》，做好历史规划（计划。如“十二五”“十三五”，下同）的归集整理和主动公开工作〔公开路径：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国民经济和社会发展规划，</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．政务新媒体、宣传栏、新闻媒体等其他适合的公开渠道（以下简称其他渠道）〕。</w:t>
            </w:r>
          </w:p>
          <w:p w14:paraId="43B3BE29">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．以适当方式（指超链接、数据抓取、后台数据联通、人工录入等方式，下同）归集整理区政府有关部门公开的“十四五”区级重点专项规划，进行集中展示（公开路径：政府网站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专项规划）。</w:t>
            </w:r>
          </w:p>
        </w:tc>
        <w:tc>
          <w:tcPr>
            <w:tcW w:w="1209" w:type="dxa"/>
            <w:vMerge w:val="restart"/>
            <w:tcMar>
              <w:top w:w="0" w:type="dxa"/>
              <w:left w:w="0" w:type="dxa"/>
              <w:bottom w:w="0" w:type="dxa"/>
              <w:right w:w="0" w:type="dxa"/>
            </w:tcMar>
            <w:vAlign w:val="center"/>
          </w:tcPr>
          <w:p w14:paraId="3E804B33">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区发展改革委</w:t>
            </w:r>
          </w:p>
        </w:tc>
        <w:tc>
          <w:tcPr>
            <w:tcW w:w="1523" w:type="dxa"/>
            <w:vMerge w:val="restart"/>
            <w:tcMar>
              <w:top w:w="0" w:type="dxa"/>
              <w:left w:w="0" w:type="dxa"/>
              <w:bottom w:w="0" w:type="dxa"/>
              <w:right w:w="0" w:type="dxa"/>
            </w:tcMar>
            <w:vAlign w:val="center"/>
          </w:tcPr>
          <w:p w14:paraId="61BEC65C">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w:t>
            </w:r>
          </w:p>
          <w:p w14:paraId="3D8E4E5C">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有关部门</w:t>
            </w:r>
          </w:p>
        </w:tc>
        <w:tc>
          <w:tcPr>
            <w:tcW w:w="890" w:type="dxa"/>
            <w:vMerge w:val="restart"/>
            <w:tcMar>
              <w:top w:w="0" w:type="dxa"/>
              <w:left w:w="0" w:type="dxa"/>
              <w:bottom w:w="0" w:type="dxa"/>
              <w:right w:w="0" w:type="dxa"/>
            </w:tcMar>
            <w:vAlign w:val="center"/>
          </w:tcPr>
          <w:p w14:paraId="650B6E1D">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34D69D9A">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127" w:hRule="atLeast"/>
          <w:jc w:val="center"/>
        </w:trPr>
        <w:tc>
          <w:tcPr>
            <w:tcW w:w="977" w:type="dxa"/>
            <w:vMerge w:val="continue"/>
            <w:tcMar>
              <w:top w:w="0" w:type="dxa"/>
              <w:left w:w="0" w:type="dxa"/>
              <w:bottom w:w="0" w:type="dxa"/>
              <w:right w:w="0" w:type="dxa"/>
            </w:tcMar>
            <w:vAlign w:val="center"/>
          </w:tcPr>
          <w:p w14:paraId="74AAC3B7">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353728E7">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FB9602A">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公开本行业领域“十四五”区级重点专项规划，做好历史规划（计划）的归集整理和主动公开工作（公开路径：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．本单位网页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vMerge w:val="continue"/>
            <w:tcMar>
              <w:top w:w="0" w:type="dxa"/>
              <w:left w:w="0" w:type="dxa"/>
              <w:bottom w:w="0" w:type="dxa"/>
              <w:right w:w="0" w:type="dxa"/>
            </w:tcMar>
            <w:vAlign w:val="center"/>
          </w:tcPr>
          <w:p w14:paraId="2111B306">
            <w:pPr>
              <w:snapToGrid w:val="0"/>
              <w:rPr>
                <w:rFonts w:ascii="方正仿宋_GBK" w:hAnsi="方正仿宋_GBK" w:eastAsia="方正仿宋_GBK" w:cs="Times New Roman"/>
                <w:sz w:val="24"/>
                <w:szCs w:val="24"/>
              </w:rPr>
            </w:pPr>
          </w:p>
        </w:tc>
        <w:tc>
          <w:tcPr>
            <w:tcW w:w="1523" w:type="dxa"/>
            <w:vMerge w:val="continue"/>
            <w:tcMar>
              <w:top w:w="0" w:type="dxa"/>
              <w:left w:w="0" w:type="dxa"/>
              <w:bottom w:w="0" w:type="dxa"/>
              <w:right w:w="0" w:type="dxa"/>
            </w:tcMar>
            <w:vAlign w:val="center"/>
          </w:tcPr>
          <w:p w14:paraId="1F4E7CD0">
            <w:pPr>
              <w:snapToGrid w:val="0"/>
              <w:rPr>
                <w:rFonts w:ascii="方正仿宋_GBK" w:hAnsi="方正仿宋_GBK" w:eastAsia="方正仿宋_GBK" w:cs="Times New Roman"/>
                <w:sz w:val="24"/>
                <w:szCs w:val="24"/>
              </w:rPr>
            </w:pPr>
          </w:p>
        </w:tc>
        <w:tc>
          <w:tcPr>
            <w:tcW w:w="890" w:type="dxa"/>
            <w:vMerge w:val="continue"/>
            <w:tcMar>
              <w:top w:w="0" w:type="dxa"/>
              <w:left w:w="0" w:type="dxa"/>
              <w:bottom w:w="0" w:type="dxa"/>
              <w:right w:w="0" w:type="dxa"/>
            </w:tcMar>
            <w:vAlign w:val="center"/>
          </w:tcPr>
          <w:p w14:paraId="5774249D">
            <w:pPr>
              <w:snapToGrid w:val="0"/>
              <w:jc w:val="center"/>
              <w:rPr>
                <w:rFonts w:ascii="方正仿宋_GBK" w:hAnsi="方正仿宋_GBK" w:eastAsia="方正仿宋_GBK" w:cs="Times New Roman"/>
                <w:sz w:val="24"/>
                <w:szCs w:val="24"/>
              </w:rPr>
            </w:pPr>
          </w:p>
        </w:tc>
      </w:tr>
      <w:tr w14:paraId="4576167E">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660" w:hRule="atLeast"/>
          <w:jc w:val="center"/>
        </w:trPr>
        <w:tc>
          <w:tcPr>
            <w:tcW w:w="977" w:type="dxa"/>
            <w:vMerge w:val="continue"/>
            <w:tcMar>
              <w:top w:w="0" w:type="dxa"/>
              <w:left w:w="0" w:type="dxa"/>
              <w:bottom w:w="0" w:type="dxa"/>
              <w:right w:w="0" w:type="dxa"/>
            </w:tcMar>
            <w:vAlign w:val="center"/>
          </w:tcPr>
          <w:p w14:paraId="5D9CC13E">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0FA66635">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2C3D0A93">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公开全区法定国土空间规划或者现行法定城乡（城市）规划、土地利用规划，做好历史规划的归集整理和主动公开工作（公开路径：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国土空间规划，</w:t>
            </w:r>
            <w:r>
              <w:rPr>
                <w:rFonts w:ascii="方正仿宋_GBK" w:hAnsi="方正仿宋_GBK" w:eastAsia="方正仿宋_GBK" w:cs="方正仿宋_GBK"/>
                <w:sz w:val="24"/>
                <w:szCs w:val="24"/>
              </w:rPr>
              <w:t xml:space="preserve">2. </w:t>
            </w:r>
            <w:r>
              <w:rPr>
                <w:rFonts w:hint="eastAsia" w:ascii="方正仿宋_GBK" w:hAnsi="方正仿宋_GBK" w:eastAsia="方正仿宋_GBK" w:cs="方正仿宋_GBK"/>
                <w:sz w:val="24"/>
                <w:szCs w:val="24"/>
              </w:rPr>
              <w:t>规划自然资源局网页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3832C28D">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区规划自然资源局</w:t>
            </w:r>
          </w:p>
        </w:tc>
        <w:tc>
          <w:tcPr>
            <w:tcW w:w="1523" w:type="dxa"/>
            <w:tcMar>
              <w:top w:w="0" w:type="dxa"/>
              <w:left w:w="0" w:type="dxa"/>
              <w:bottom w:w="0" w:type="dxa"/>
              <w:right w:w="0" w:type="dxa"/>
            </w:tcMar>
            <w:vAlign w:val="center"/>
          </w:tcPr>
          <w:p w14:paraId="11C87DCE">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区规划自然资源局</w:t>
            </w:r>
          </w:p>
        </w:tc>
        <w:tc>
          <w:tcPr>
            <w:tcW w:w="890" w:type="dxa"/>
            <w:tcMar>
              <w:top w:w="0" w:type="dxa"/>
              <w:left w:w="0" w:type="dxa"/>
              <w:bottom w:w="0" w:type="dxa"/>
              <w:right w:w="0" w:type="dxa"/>
            </w:tcMar>
            <w:vAlign w:val="center"/>
          </w:tcPr>
          <w:p w14:paraId="347B4FA9">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3B57F61C">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56B0A51E">
            <w:pPr>
              <w:snapToGrid w:val="0"/>
              <w:rPr>
                <w:rFonts w:ascii="方正仿宋_GBK" w:hAnsi="方正仿宋_GBK" w:eastAsia="方正仿宋_GBK" w:cs="Times New Roman"/>
                <w:sz w:val="24"/>
                <w:szCs w:val="24"/>
              </w:rPr>
            </w:pPr>
          </w:p>
          <w:p w14:paraId="700D0412">
            <w:pPr>
              <w:snapToGrid w:val="0"/>
              <w:rPr>
                <w:rFonts w:ascii="方正仿宋_GBK" w:hAnsi="方正仿宋_GBK" w:eastAsia="方正仿宋_GBK" w:cs="Times New Roman"/>
                <w:sz w:val="24"/>
                <w:szCs w:val="24"/>
              </w:rPr>
            </w:pPr>
          </w:p>
          <w:p w14:paraId="1B2432A2">
            <w:pPr>
              <w:snapToGrid w:val="0"/>
              <w:rPr>
                <w:rFonts w:ascii="方正仿宋_GBK" w:hAnsi="方正仿宋_GBK" w:eastAsia="方正仿宋_GBK" w:cs="Times New Roman"/>
                <w:sz w:val="24"/>
                <w:szCs w:val="24"/>
              </w:rPr>
            </w:pPr>
          </w:p>
          <w:p w14:paraId="056AFADE">
            <w:pPr>
              <w:snapToGrid w:val="0"/>
              <w:rPr>
                <w:rFonts w:ascii="方正仿宋_GBK" w:hAnsi="方正仿宋_GBK" w:eastAsia="方正仿宋_GBK" w:cs="Times New Roman"/>
                <w:sz w:val="24"/>
                <w:szCs w:val="24"/>
              </w:rPr>
            </w:pPr>
          </w:p>
          <w:p w14:paraId="76875EC6">
            <w:pPr>
              <w:snapToGrid w:val="0"/>
              <w:rPr>
                <w:rFonts w:ascii="方正仿宋_GBK" w:hAnsi="方正仿宋_GBK" w:eastAsia="方正仿宋_GBK" w:cs="Times New Roman"/>
                <w:sz w:val="24"/>
                <w:szCs w:val="24"/>
              </w:rPr>
            </w:pPr>
          </w:p>
          <w:p w14:paraId="1B401CC4">
            <w:pPr>
              <w:snapToGrid w:val="0"/>
              <w:rPr>
                <w:rFonts w:ascii="方正仿宋_GBK" w:hAnsi="方正仿宋_GBK" w:eastAsia="方正仿宋_GBK" w:cs="Times New Roman"/>
                <w:sz w:val="24"/>
                <w:szCs w:val="24"/>
              </w:rPr>
            </w:pPr>
          </w:p>
          <w:p w14:paraId="2C82B0A6">
            <w:pPr>
              <w:snapToGrid w:val="0"/>
              <w:rPr>
                <w:rFonts w:ascii="方正仿宋_GBK" w:hAnsi="方正仿宋_GBK" w:eastAsia="方正仿宋_GBK" w:cs="Times New Roman"/>
                <w:sz w:val="24"/>
                <w:szCs w:val="24"/>
              </w:rPr>
            </w:pPr>
          </w:p>
          <w:p w14:paraId="206D5291">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71552" behindDoc="0" locked="0" layoutInCell="1" allowOverlap="1">
                      <wp:simplePos x="0" y="0"/>
                      <wp:positionH relativeFrom="column">
                        <wp:posOffset>-515620</wp:posOffset>
                      </wp:positionH>
                      <wp:positionV relativeFrom="paragraph">
                        <wp:posOffset>2662555</wp:posOffset>
                      </wp:positionV>
                      <wp:extent cx="320040" cy="908685"/>
                      <wp:effectExtent l="4445" t="4445" r="5715" b="13970"/>
                      <wp:wrapNone/>
                      <wp:docPr id="14" name="文本框 6"/>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386C179">
                                  <w:pPr>
                                    <w:snapToGrid w:val="0"/>
                                    <w:rPr>
                                      <w:rFonts w:ascii="宋体" w:cs="Times New Roman"/>
                                      <w:sz w:val="28"/>
                                      <w:szCs w:val="28"/>
                                    </w:rPr>
                                  </w:pPr>
                                  <w:r>
                                    <w:rPr>
                                      <w:rFonts w:ascii="宋体" w:hAnsi="宋体" w:cs="宋体"/>
                                      <w:sz w:val="28"/>
                                      <w:szCs w:val="28"/>
                                    </w:rPr>
                                    <w:t>— 5 —</w:t>
                                  </w:r>
                                </w:p>
                              </w:txbxContent>
                            </wps:txbx>
                            <wps:bodyPr vert="eaVert" lIns="0" tIns="0" rIns="0" bIns="0" upright="1"/>
                          </wps:wsp>
                        </a:graphicData>
                      </a:graphic>
                    </wp:anchor>
                  </w:drawing>
                </mc:Choice>
                <mc:Fallback>
                  <w:pict>
                    <v:shape id="文本框 6" o:spid="_x0000_s1026" o:spt="202" type="#_x0000_t202" style="position:absolute;left:0pt;margin-left:-40.6pt;margin-top:209.65pt;height:71.55pt;width:25.2pt;z-index:251671552;mso-width-relative:page;mso-height-relative:page;" fillcolor="#FFFFFF" filled="t" stroked="t" coordsize="21600,21600" o:gfxdata="UEsDBAoAAAAAAIdO4kAAAAAAAAAAAAAAAAAEAAAAZHJzL1BLAwQUAAAACACHTuJAMIBOLdwAAAAL&#10;AQAADwAAAGRycy9kb3ducmV2LnhtbE2Py07DMBBF90j8gzVI7FI7aRuVkEkXlZDaBQtKhWDnxCaJ&#10;iMdR7D7o1zOsYDmao3vPLdcXN4iTnULvCSGdKRCWGm96ahEOr0/JCkSImowePFmEbxtgXd3elLow&#10;/kwv9rSPreAQCoVG6GIcCylD01mnw8yPlvj36SenI59TK82kzxzuBpkplUune+KGTo9209nma390&#10;CJv2Y1z63Tbm1/jWH+rn96vZbRHv71L1CCLaS/yD4Vef1aFip9ofyQQxICSrNGMUYZE+zEEwkcwV&#10;j6kRlnm2AFmV8v+G6gdQSwMEFAAAAAgAh07iQK6aV24bAgAAaAQAAA4AAABkcnMvZTJvRG9jLnht&#10;bK1UzY7TMBC+I/EOlu803bKtlqjpSlCKkBAgLXB3HSex5D/Zbpu+ALwBJy7c97n6HHx22i67XHog&#10;h+SzPf5m5puZzG97rchW+CCtqejVaEyJMNzW0rQV/fpl9eKGkhCZqZmyRlR0LwK9XTx/Nt+5Ukxs&#10;Z1UtPAGJCeXOVbSL0ZVFEXgnNAsj64TBYWO9ZhFL3xa1Zzuwa1VMxuNZsbO+dt5yEQJ2l8MhPTL6&#10;Swht00gulpZvtDBxYPVCsYiUQiddoIscbdMIHj81TRCRqIoi05jfcAK8Tu9iMWdl65nrJD+GwC4J&#10;4UlOmkkDp2eqJYuMbLz8h0pL7m2wTRxxq4shkawIsrgaP9HmrmNO5FwgdXBn0cP/o+Uft589kTU6&#10;4ZoSwzQqfvj54/Dr/vD7O5klfXYulDC7czCM/Wvbw/a0H7CZ0u4br9MXCRGcQ939WV3RR8Kx+RLV&#10;v8YJx9Gr8c3sZppYiofLzof4TlhNEqioR/Gypmz7IcTB9GSSfAWrZL2SSuWFb9dvlCdbhkKv8nNk&#10;f2SmDNnB+3QyRRwM3dugawC1gwLBtNnfoxvhMuIU2JKFbgggMyT/rNQyCp9RJ1j91tQk7h1ENhgu&#10;moLRoqZECcxiQtkyMqkusYR2ykDCVKGhEgnFft2DJsG1rfeoGqYdegr2DV/4em/QQGkYTsCfwPoE&#10;Ns7LtsOlXOnsAA2Yq3UcltThf69zGA8/i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IBOLdwA&#10;AAALAQAADwAAAAAAAAABACAAAAAiAAAAZHJzL2Rvd25yZXYueG1sUEsBAhQAFAAAAAgAh07iQK6a&#10;V24bAgAAaAQAAA4AAAAAAAAAAQAgAAAAKwEAAGRycy9lMm9Eb2MueG1sUEsFBgAAAAAGAAYAWQEA&#10;ALgFAAAAAA==&#10;">
                      <v:fill on="t" focussize="0,0"/>
                      <v:stroke color="#FFFFFF" joinstyle="miter"/>
                      <v:imagedata o:title=""/>
                      <o:lock v:ext="edit" aspectratio="f"/>
                      <v:textbox inset="0mm,0mm,0mm,0mm" style="layout-flow:vertical-ideographic;">
                        <w:txbxContent>
                          <w:p w14:paraId="7386C179">
                            <w:pPr>
                              <w:snapToGrid w:val="0"/>
                              <w:rPr>
                                <w:rFonts w:ascii="宋体" w:cs="Times New Roman"/>
                                <w:sz w:val="28"/>
                                <w:szCs w:val="28"/>
                              </w:rPr>
                            </w:pPr>
                            <w:r>
                              <w:rPr>
                                <w:rFonts w:ascii="宋体" w:hAnsi="宋体" w:cs="宋体"/>
                                <w:sz w:val="28"/>
                                <w:szCs w:val="28"/>
                              </w:rPr>
                              <w:t>— 5 —</w:t>
                            </w:r>
                          </w:p>
                        </w:txbxContent>
                      </v:textbox>
                    </v:shape>
                  </w:pict>
                </mc:Fallback>
              </mc:AlternateContent>
            </w:r>
            <w:r>
              <w:rPr>
                <w:rFonts w:hint="eastAsia" w:ascii="方正仿宋_GBK" w:hAnsi="方正仿宋_GBK" w:eastAsia="方正仿宋_GBK" w:cs="方正仿宋_GBK"/>
                <w:sz w:val="24"/>
                <w:szCs w:val="24"/>
              </w:rPr>
              <w:t>一、紧扣“十四五”开好局起好步深化政务公开</w:t>
            </w:r>
          </w:p>
        </w:tc>
        <w:tc>
          <w:tcPr>
            <w:tcW w:w="1105" w:type="dxa"/>
            <w:tcMar>
              <w:top w:w="0" w:type="dxa"/>
              <w:left w:w="0" w:type="dxa"/>
              <w:bottom w:w="0" w:type="dxa"/>
              <w:right w:w="0" w:type="dxa"/>
            </w:tcMar>
            <w:vAlign w:val="center"/>
          </w:tcPr>
          <w:p w14:paraId="09A5C47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（一）做好各类规划主动公开。</w:t>
            </w:r>
          </w:p>
        </w:tc>
        <w:tc>
          <w:tcPr>
            <w:tcW w:w="8066" w:type="dxa"/>
            <w:tcMar>
              <w:top w:w="0" w:type="dxa"/>
              <w:left w:w="0" w:type="dxa"/>
              <w:bottom w:w="0" w:type="dxa"/>
              <w:right w:w="0" w:type="dxa"/>
            </w:tcMar>
            <w:vAlign w:val="center"/>
          </w:tcPr>
          <w:p w14:paraId="4FC2BFEE">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区政府部门、各镇街要公开本部门、本区域主动公开的规划信息，更好引导全社会关心支持规划实施工作（公开路径：本单位网页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p>
          <w:p w14:paraId="65C0A500">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区政府电子政务中心负责归集整理区政府部门主动公开的规划信息，全面展示本行政区域规划体系，更好引导全社会关心支持规划实施工作（公开路径：政府网站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规划信息）。</w:t>
            </w:r>
          </w:p>
        </w:tc>
        <w:tc>
          <w:tcPr>
            <w:tcW w:w="1209" w:type="dxa"/>
            <w:tcMar>
              <w:top w:w="0" w:type="dxa"/>
              <w:left w:w="0" w:type="dxa"/>
              <w:bottom w:w="0" w:type="dxa"/>
              <w:right w:w="0" w:type="dxa"/>
            </w:tcMar>
            <w:vAlign w:val="center"/>
          </w:tcPr>
          <w:p w14:paraId="0D5C899B">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49779D9D">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2C373D79">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35F99A66">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3F3B5AA2">
            <w:pPr>
              <w:snapToGrid w:val="0"/>
              <w:rPr>
                <w:rFonts w:ascii="方正仿宋_GBK" w:hAnsi="方正仿宋_GBK" w:eastAsia="方正仿宋_GBK" w:cs="Times New Roman"/>
                <w:sz w:val="24"/>
                <w:szCs w:val="24"/>
              </w:rPr>
            </w:pPr>
          </w:p>
        </w:tc>
        <w:tc>
          <w:tcPr>
            <w:tcW w:w="1105" w:type="dxa"/>
            <w:vMerge w:val="restart"/>
            <w:tcMar>
              <w:top w:w="0" w:type="dxa"/>
              <w:left w:w="0" w:type="dxa"/>
              <w:bottom w:w="0" w:type="dxa"/>
              <w:right w:w="0" w:type="dxa"/>
            </w:tcMar>
            <w:vAlign w:val="center"/>
          </w:tcPr>
          <w:p w14:paraId="2C049AB9">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（二）做好市场规则标准和监管执法信息公开。</w:t>
            </w:r>
          </w:p>
        </w:tc>
        <w:tc>
          <w:tcPr>
            <w:tcW w:w="8066" w:type="dxa"/>
            <w:tcMar>
              <w:top w:w="0" w:type="dxa"/>
              <w:left w:w="0" w:type="dxa"/>
              <w:bottom w:w="0" w:type="dxa"/>
              <w:right w:w="0" w:type="dxa"/>
            </w:tcMar>
            <w:vAlign w:val="center"/>
          </w:tcPr>
          <w:p w14:paraId="40A68578">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公开全国统一的《市场准入负面清单（</w:t>
            </w:r>
            <w:r>
              <w:rPr>
                <w:rFonts w:ascii="方正仿宋_GBK" w:hAnsi="方正仿宋_GBK" w:eastAsia="方正仿宋_GBK" w:cs="方正仿宋_GBK"/>
                <w:sz w:val="24"/>
                <w:szCs w:val="24"/>
              </w:rPr>
              <w:t>2020</w:t>
            </w:r>
            <w:r>
              <w:rPr>
                <w:rFonts w:hint="eastAsia" w:ascii="方正仿宋_GBK" w:hAnsi="方正仿宋_GBK" w:eastAsia="方正仿宋_GBK" w:cs="方正仿宋_GBK"/>
                <w:sz w:val="24"/>
                <w:szCs w:val="24"/>
              </w:rPr>
              <w:t>年版）》，并根据调整情况动态更新（公开路径：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市场准入负面清单，</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7A4D3D42">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区发展改革委</w:t>
            </w:r>
          </w:p>
        </w:tc>
        <w:tc>
          <w:tcPr>
            <w:tcW w:w="1523" w:type="dxa"/>
            <w:tcMar>
              <w:top w:w="0" w:type="dxa"/>
              <w:left w:w="0" w:type="dxa"/>
              <w:bottom w:w="0" w:type="dxa"/>
              <w:right w:w="0" w:type="dxa"/>
            </w:tcMar>
            <w:vAlign w:val="center"/>
          </w:tcPr>
          <w:p w14:paraId="10D2807E">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区发展改革委、区商务委</w:t>
            </w:r>
          </w:p>
        </w:tc>
        <w:tc>
          <w:tcPr>
            <w:tcW w:w="890" w:type="dxa"/>
            <w:tcMar>
              <w:top w:w="0" w:type="dxa"/>
              <w:left w:w="0" w:type="dxa"/>
              <w:bottom w:w="0" w:type="dxa"/>
              <w:right w:w="0" w:type="dxa"/>
            </w:tcMar>
            <w:vAlign w:val="center"/>
          </w:tcPr>
          <w:p w14:paraId="28EA44B0">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5853336E">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878" w:hRule="atLeast"/>
          <w:jc w:val="center"/>
        </w:trPr>
        <w:tc>
          <w:tcPr>
            <w:tcW w:w="977" w:type="dxa"/>
            <w:vMerge w:val="continue"/>
            <w:tcMar>
              <w:top w:w="0" w:type="dxa"/>
              <w:left w:w="0" w:type="dxa"/>
              <w:bottom w:w="0" w:type="dxa"/>
              <w:right w:w="0" w:type="dxa"/>
            </w:tcMar>
            <w:vAlign w:val="center"/>
          </w:tcPr>
          <w:p w14:paraId="7CEF97AC">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08B0A4D4">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6405E6E5">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公开市级《建设高标准市场体系行动方案》落实举措、解读信息（公开路径：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建设高标准市场体系，</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10B4E720">
            <w:pPr>
              <w:snapToGrid w:val="0"/>
              <w:jc w:val="center"/>
              <w:rPr>
                <w:rFonts w:ascii="方正仿宋_GBK" w:hAnsi="方正仿宋_GBK" w:eastAsia="方正仿宋_GBK" w:cs="Times New Roman"/>
                <w:b/>
                <w:bCs/>
                <w:sz w:val="24"/>
                <w:szCs w:val="24"/>
              </w:rPr>
            </w:pPr>
            <w:r>
              <w:rPr>
                <w:rFonts w:hint="eastAsia" w:ascii="方正仿宋_GBK" w:hAnsi="方正仿宋_GBK" w:eastAsia="方正仿宋_GBK" w:cs="方正仿宋_GBK"/>
                <w:sz w:val="24"/>
                <w:szCs w:val="24"/>
              </w:rPr>
              <w:t>区发展改革委</w:t>
            </w:r>
          </w:p>
        </w:tc>
        <w:tc>
          <w:tcPr>
            <w:tcW w:w="1523" w:type="dxa"/>
            <w:tcMar>
              <w:top w:w="0" w:type="dxa"/>
              <w:left w:w="0" w:type="dxa"/>
              <w:bottom w:w="0" w:type="dxa"/>
              <w:right w:w="0" w:type="dxa"/>
            </w:tcMar>
            <w:vAlign w:val="center"/>
          </w:tcPr>
          <w:p w14:paraId="2E1A766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区市场监管局、区商务委</w:t>
            </w:r>
          </w:p>
        </w:tc>
        <w:tc>
          <w:tcPr>
            <w:tcW w:w="890" w:type="dxa"/>
            <w:tcMar>
              <w:top w:w="0" w:type="dxa"/>
              <w:left w:w="0" w:type="dxa"/>
              <w:bottom w:w="0" w:type="dxa"/>
              <w:right w:w="0" w:type="dxa"/>
            </w:tcMar>
            <w:vAlign w:val="center"/>
          </w:tcPr>
          <w:p w14:paraId="51126C9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7F07302C">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726E8B4F">
            <w:pPr>
              <w:snapToGrid w:val="0"/>
              <w:rPr>
                <w:rFonts w:ascii="方正仿宋_GBK" w:hAnsi="方正仿宋_GBK" w:eastAsia="方正仿宋_GBK" w:cs="Times New Roman"/>
                <w:sz w:val="24"/>
                <w:szCs w:val="24"/>
              </w:rPr>
            </w:pPr>
          </w:p>
        </w:tc>
        <w:tc>
          <w:tcPr>
            <w:tcW w:w="1105" w:type="dxa"/>
            <w:tcMar>
              <w:top w:w="0" w:type="dxa"/>
              <w:left w:w="0" w:type="dxa"/>
              <w:bottom w:w="0" w:type="dxa"/>
              <w:right w:w="0" w:type="dxa"/>
            </w:tcMar>
            <w:vAlign w:val="center"/>
          </w:tcPr>
          <w:p w14:paraId="2749F8AE">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（三）做好财政信息公开。</w:t>
            </w:r>
          </w:p>
        </w:tc>
        <w:tc>
          <w:tcPr>
            <w:tcW w:w="8066" w:type="dxa"/>
            <w:tcMar>
              <w:top w:w="0" w:type="dxa"/>
              <w:left w:w="0" w:type="dxa"/>
              <w:bottom w:w="0" w:type="dxa"/>
              <w:right w:w="0" w:type="dxa"/>
            </w:tcMar>
            <w:vAlign w:val="center"/>
          </w:tcPr>
          <w:p w14:paraId="6FDE6A07">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．按照市财政局统一要求，在及时公开区政府及区政府部门财政预决算信息（公开路径：政府网站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预算</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决算）</w:t>
            </w:r>
          </w:p>
          <w:p w14:paraId="7AA0DE28">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2. </w:t>
            </w:r>
            <w:r>
              <w:rPr>
                <w:rFonts w:hint="eastAsia" w:ascii="方正仿宋_GBK" w:hAnsi="方正仿宋_GBK" w:eastAsia="方正仿宋_GBK" w:cs="方正仿宋_GBK"/>
                <w:sz w:val="24"/>
                <w:szCs w:val="24"/>
              </w:rPr>
              <w:t>按照市财政局统一要求，在区财政局网页公开区政府及区级部门财政预决算信息（公开路径：财政局网页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预算</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决算）</w:t>
            </w:r>
          </w:p>
          <w:p w14:paraId="73B18ED1">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．按照市财政局统一要求，在本部门（镇街）网页公开本部门（镇街）及本部门管理公共事业单位财政预决算信息（公开路径：本部门（镇街）网页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预算</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决算）</w:t>
            </w:r>
          </w:p>
          <w:p w14:paraId="4A806A32">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．按照市财政局统一要求，公开本区地方政府债务限额、余额、品种、期限、利率等信息（公开路径：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p>
        </w:tc>
        <w:tc>
          <w:tcPr>
            <w:tcW w:w="1209" w:type="dxa"/>
            <w:tcMar>
              <w:top w:w="0" w:type="dxa"/>
              <w:left w:w="0" w:type="dxa"/>
              <w:bottom w:w="0" w:type="dxa"/>
              <w:right w:w="0" w:type="dxa"/>
            </w:tcMar>
            <w:vAlign w:val="center"/>
          </w:tcPr>
          <w:p w14:paraId="1881DE04">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区财政局</w:t>
            </w:r>
          </w:p>
        </w:tc>
        <w:tc>
          <w:tcPr>
            <w:tcW w:w="1523" w:type="dxa"/>
            <w:tcMar>
              <w:top w:w="0" w:type="dxa"/>
              <w:left w:w="0" w:type="dxa"/>
              <w:bottom w:w="0" w:type="dxa"/>
              <w:right w:w="0" w:type="dxa"/>
            </w:tcMar>
            <w:vAlign w:val="center"/>
          </w:tcPr>
          <w:p w14:paraId="39E47530">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7A1E219E">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740416DE">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2270" w:hRule="atLeast"/>
          <w:jc w:val="center"/>
        </w:trPr>
        <w:tc>
          <w:tcPr>
            <w:tcW w:w="977" w:type="dxa"/>
            <w:vMerge w:val="restart"/>
            <w:tcMar>
              <w:top w:w="0" w:type="dxa"/>
              <w:left w:w="0" w:type="dxa"/>
              <w:bottom w:w="0" w:type="dxa"/>
              <w:right w:w="0" w:type="dxa"/>
            </w:tcMar>
            <w:vAlign w:val="center"/>
          </w:tcPr>
          <w:p w14:paraId="18DAABDF">
            <w:pPr>
              <w:snapToGrid w:val="0"/>
              <w:rPr>
                <w:rFonts w:ascii="方正仿宋_GBK" w:hAnsi="方正仿宋_GBK" w:eastAsia="方正仿宋_GBK" w:cs="Times New Roman"/>
                <w:sz w:val="24"/>
                <w:szCs w:val="24"/>
              </w:rPr>
            </w:pPr>
          </w:p>
          <w:p w14:paraId="7269E8D4">
            <w:pPr>
              <w:snapToGrid w:val="0"/>
              <w:rPr>
                <w:rFonts w:ascii="方正仿宋_GBK" w:hAnsi="方正仿宋_GBK" w:eastAsia="方正仿宋_GBK" w:cs="Times New Roman"/>
                <w:sz w:val="24"/>
                <w:szCs w:val="24"/>
              </w:rPr>
            </w:pPr>
          </w:p>
          <w:p w14:paraId="3C65848A">
            <w:pPr>
              <w:snapToGrid w:val="0"/>
              <w:rPr>
                <w:rFonts w:ascii="方正仿宋_GBK" w:hAnsi="方正仿宋_GBK" w:eastAsia="方正仿宋_GBK" w:cs="Times New Roman"/>
                <w:sz w:val="24"/>
                <w:szCs w:val="24"/>
              </w:rPr>
            </w:pPr>
          </w:p>
          <w:p w14:paraId="76F42F1F">
            <w:pPr>
              <w:snapToGrid w:val="0"/>
              <w:rPr>
                <w:rFonts w:ascii="方正仿宋_GBK" w:hAnsi="方正仿宋_GBK" w:eastAsia="方正仿宋_GBK" w:cs="Times New Roman"/>
                <w:sz w:val="24"/>
                <w:szCs w:val="24"/>
              </w:rPr>
            </w:pPr>
          </w:p>
          <w:p w14:paraId="4E9A8D4B">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72576" behindDoc="0" locked="0" layoutInCell="1" allowOverlap="1">
                      <wp:simplePos x="0" y="0"/>
                      <wp:positionH relativeFrom="column">
                        <wp:posOffset>-553085</wp:posOffset>
                      </wp:positionH>
                      <wp:positionV relativeFrom="paragraph">
                        <wp:posOffset>-1323340</wp:posOffset>
                      </wp:positionV>
                      <wp:extent cx="320040" cy="908685"/>
                      <wp:effectExtent l="4445" t="4445" r="5715" b="13970"/>
                      <wp:wrapNone/>
                      <wp:docPr id="15" name="文本框 7"/>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71FB321">
                                  <w:pPr>
                                    <w:snapToGrid w:val="0"/>
                                    <w:ind w:firstLine="280" w:firstLineChars="100"/>
                                    <w:rPr>
                                      <w:rFonts w:ascii="宋体" w:cs="Times New Roman"/>
                                      <w:sz w:val="28"/>
                                      <w:szCs w:val="28"/>
                                    </w:rPr>
                                  </w:pPr>
                                  <w:r>
                                    <w:rPr>
                                      <w:rFonts w:ascii="宋体" w:hAnsi="宋体" w:cs="宋体"/>
                                      <w:sz w:val="28"/>
                                      <w:szCs w:val="28"/>
                                    </w:rPr>
                                    <w:t>— 6 —</w:t>
                                  </w:r>
                                </w:p>
                              </w:txbxContent>
                            </wps:txbx>
                            <wps:bodyPr vert="eaVert" lIns="0" tIns="0" rIns="0" bIns="0" upright="1"/>
                          </wps:wsp>
                        </a:graphicData>
                      </a:graphic>
                    </wp:anchor>
                  </w:drawing>
                </mc:Choice>
                <mc:Fallback>
                  <w:pict>
                    <v:shape id="文本框 7" o:spid="_x0000_s1026" o:spt="202" type="#_x0000_t202" style="position:absolute;left:0pt;margin-left:-43.55pt;margin-top:-104.2pt;height:71.55pt;width:25.2pt;z-index:251672576;mso-width-relative:page;mso-height-relative:page;" fillcolor="#FFFFFF" filled="t" stroked="t" coordsize="21600,21600" o:gfxdata="UEsDBAoAAAAAAIdO4kAAAAAAAAAAAAAAAAAEAAAAZHJzL1BLAwQUAAAACACHTuJAq6wS49wAAAAM&#10;AQAADwAAAGRycy9kb3ducmV2LnhtbE2PTU/DMAyG70j8h8hI3LqkG+uq0nSHSUjbgQNjQnBLG9NW&#10;NE7VZB/s12NOcHstP3r9uFxf3CBOOIXek4Z0pkAgNd721Go4vD4lOYgQDVkzeEIN3xhgXd3elKaw&#10;/kwveNrHVnAJhcJo6GIcCylD06EzYeZHJN59+smZyOPUSjuZM5e7Qc6VyqQzPfGFzoy46bD52h+d&#10;hk37MS79bhuza3zrD/Xz+9Xutlrf36XqEUTES/yD4Vef1aFip9ofyQYxaEjyVcooh7nKH0Awkiyy&#10;FYiaQ7ZcgKxK+f+J6gdQSwMEFAAAAAgAh07iQBk30PYbAgAAaAQAAA4AAABkcnMvZTJvRG9jLnht&#10;bK1UzY7TMBC+I/EOlu803UKXEjVdCUoREgKkBe6u4ySW/CfbbdIXgDfgxGXvPFefg8/uz7LLpQdy&#10;SD7b429mvpnJ/GbQimyFD9Kail6NxpQIw20tTVvRr19Wz2aUhMhMzZQ1oqI7EejN4umTee9KMbGd&#10;VbXwBCQmlL2raBejK4si8E5oFkbWCYPDxnrNIpa+LWrPerBrVUzG4+uit7523nIRAnaXh0N6ZPSX&#10;ENqmkVwsLd9oYeKB1QvFIlIKnXSBLnK0TSN4/NQ0QUSiKopMY37DCfA6vYvFnJWtZ66T/BgCuySE&#10;RzlpJg2cnqmWLDKy8fIfKi25t8E2ccStLg6JZEWQxdX4kTa3HXMi5wKpgzuLHv4fLf+4/eyJrNEJ&#10;U0oM06j4/ueP/a/f+7vv5GXSp3ehhNmtg2EcXtsBtqf9gM2U9tB4nb5IiOAc6u7O6oohEo7N56j+&#10;C5xwHL0az65n08RS3F92PsR3wmqSQEU9ipc1ZdsPIR5MTybJV7BK1iupVF74dv1GebJlKPQqP0f2&#10;B2bKkB7epxMkyxm6t0HXAGoHBYJps78HN8JlxCmwJQvdIYDMkPyzUssofEadYPVbU5O4cxDZYLho&#10;CkaLmhIlMIsJZcvIpLrEEtopAwlThQ6VSCgO6wE0Ca5tvUPVMO3QU7Bv+MLXe4MGSsNwAv4E1iew&#10;cV62HS7lSmcHaMBcreOwpA7/e53DuP9BL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6wS49wA&#10;AAAMAQAADwAAAAAAAAABACAAAAAiAAAAZHJzL2Rvd25yZXYueG1sUEsBAhQAFAAAAAgAh07iQBk3&#10;0PYbAgAAaAQAAA4AAAAAAAAAAQAgAAAAKwEAAGRycy9lMm9Eb2MueG1sUEsFBgAAAAAGAAYAWQEA&#10;ALgFAAAAAA==&#10;">
                      <v:fill on="t" focussize="0,0"/>
                      <v:stroke color="#FFFFFF" joinstyle="miter"/>
                      <v:imagedata o:title=""/>
                      <o:lock v:ext="edit" aspectratio="f"/>
                      <v:textbox inset="0mm,0mm,0mm,0mm" style="layout-flow:vertical-ideographic;">
                        <w:txbxContent>
                          <w:p w14:paraId="471FB321">
                            <w:pPr>
                              <w:snapToGrid w:val="0"/>
                              <w:ind w:firstLine="280" w:firstLineChars="100"/>
                              <w:rPr>
                                <w:rFonts w:ascii="宋体" w:cs="Times New Roman"/>
                                <w:sz w:val="28"/>
                                <w:szCs w:val="28"/>
                              </w:rPr>
                            </w:pPr>
                            <w:r>
                              <w:rPr>
                                <w:rFonts w:ascii="宋体" w:hAnsi="宋体" w:cs="宋体"/>
                                <w:sz w:val="28"/>
                                <w:szCs w:val="28"/>
                              </w:rPr>
                              <w:t>— 6 —</w:t>
                            </w:r>
                          </w:p>
                        </w:txbxContent>
                      </v:textbox>
                    </v:shape>
                  </w:pict>
                </mc:Fallback>
              </mc:AlternateContent>
            </w:r>
          </w:p>
          <w:p w14:paraId="3E390682">
            <w:pPr>
              <w:snapToGrid w:val="0"/>
              <w:rPr>
                <w:rFonts w:ascii="方正仿宋_GBK" w:hAnsi="方正仿宋_GBK" w:eastAsia="方正仿宋_GBK" w:cs="Times New Roman"/>
                <w:sz w:val="24"/>
                <w:szCs w:val="24"/>
              </w:rPr>
            </w:pPr>
          </w:p>
          <w:p w14:paraId="33A49343">
            <w:pPr>
              <w:snapToGrid w:val="0"/>
              <w:rPr>
                <w:rFonts w:ascii="方正仿宋_GBK" w:hAnsi="方正仿宋_GBK" w:eastAsia="方正仿宋_GBK" w:cs="Times New Roman"/>
                <w:sz w:val="24"/>
                <w:szCs w:val="24"/>
              </w:rPr>
            </w:pPr>
          </w:p>
          <w:p w14:paraId="339EB2D9">
            <w:pPr>
              <w:snapToGrid w:val="0"/>
              <w:rPr>
                <w:rFonts w:ascii="方正仿宋_GBK" w:hAnsi="方正仿宋_GBK" w:eastAsia="方正仿宋_GBK" w:cs="Times New Roman"/>
                <w:sz w:val="24"/>
                <w:szCs w:val="24"/>
              </w:rPr>
            </w:pPr>
          </w:p>
          <w:p w14:paraId="0F2CC66D">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一、紧扣“十四五”开好局起好步深化政务公开</w:t>
            </w:r>
          </w:p>
        </w:tc>
        <w:tc>
          <w:tcPr>
            <w:tcW w:w="1105" w:type="dxa"/>
            <w:vMerge w:val="restart"/>
            <w:tcMar>
              <w:top w:w="0" w:type="dxa"/>
              <w:left w:w="0" w:type="dxa"/>
              <w:bottom w:w="0" w:type="dxa"/>
              <w:right w:w="0" w:type="dxa"/>
            </w:tcMar>
            <w:vAlign w:val="center"/>
          </w:tcPr>
          <w:p w14:paraId="1AABB5F7">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（三）做好财政信息公开。</w:t>
            </w:r>
          </w:p>
        </w:tc>
        <w:tc>
          <w:tcPr>
            <w:tcW w:w="8066" w:type="dxa"/>
            <w:tcMar>
              <w:top w:w="0" w:type="dxa"/>
              <w:left w:w="0" w:type="dxa"/>
              <w:bottom w:w="0" w:type="dxa"/>
              <w:right w:w="0" w:type="dxa"/>
            </w:tcMar>
            <w:vAlign w:val="center"/>
          </w:tcPr>
          <w:p w14:paraId="04CB8883">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地方政府债务，</w:t>
            </w:r>
            <w:r>
              <w:rPr>
                <w:rFonts w:ascii="方正仿宋_GBK" w:hAnsi="方正仿宋_GBK" w:eastAsia="方正仿宋_GBK" w:cs="方正仿宋_GBK"/>
                <w:sz w:val="24"/>
                <w:szCs w:val="24"/>
              </w:rPr>
              <w:t>2. /</w:t>
            </w:r>
            <w:r>
              <w:rPr>
                <w:rFonts w:hint="eastAsia" w:ascii="方正仿宋_GBK" w:hAnsi="方正仿宋_GBK" w:eastAsia="方正仿宋_GBK" w:cs="方正仿宋_GBK"/>
                <w:sz w:val="24"/>
                <w:szCs w:val="24"/>
              </w:rPr>
              <w:t>财政局网页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地方政府债务，</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p w14:paraId="2839967C">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．按照市财政局统一要求，公开本区纳入“一卡通”管理的惠民惠农财政补贴政策和补贴发放相关信息（公开路径：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惠民惠农资金，</w:t>
            </w:r>
            <w:r>
              <w:rPr>
                <w:rFonts w:ascii="方正仿宋_GBK" w:hAnsi="方正仿宋_GBK" w:eastAsia="方正仿宋_GBK" w:cs="方正仿宋_GBK"/>
                <w:sz w:val="24"/>
                <w:szCs w:val="24"/>
              </w:rPr>
              <w:t xml:space="preserve">2. </w:t>
            </w:r>
            <w:r>
              <w:rPr>
                <w:rFonts w:hint="eastAsia" w:ascii="方正仿宋_GBK" w:hAnsi="方正仿宋_GBK" w:eastAsia="方正仿宋_GBK" w:cs="方正仿宋_GBK"/>
                <w:sz w:val="24"/>
                <w:szCs w:val="24"/>
              </w:rPr>
              <w:t>财政局网页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惠民惠农资金，</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tc>
        <w:tc>
          <w:tcPr>
            <w:tcW w:w="1209" w:type="dxa"/>
            <w:vMerge w:val="restart"/>
            <w:tcMar>
              <w:top w:w="0" w:type="dxa"/>
              <w:left w:w="0" w:type="dxa"/>
              <w:bottom w:w="0" w:type="dxa"/>
              <w:right w:w="0" w:type="dxa"/>
            </w:tcMar>
            <w:vAlign w:val="center"/>
          </w:tcPr>
          <w:p w14:paraId="7610A6AC">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区财政局</w:t>
            </w:r>
          </w:p>
        </w:tc>
        <w:tc>
          <w:tcPr>
            <w:tcW w:w="1523" w:type="dxa"/>
            <w:tcMar>
              <w:top w:w="0" w:type="dxa"/>
              <w:left w:w="0" w:type="dxa"/>
              <w:bottom w:w="0" w:type="dxa"/>
              <w:right w:w="0" w:type="dxa"/>
            </w:tcMar>
            <w:vAlign w:val="center"/>
          </w:tcPr>
          <w:p w14:paraId="17119EA2">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0D8882C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2AD76420">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151" w:hRule="atLeast"/>
          <w:jc w:val="center"/>
        </w:trPr>
        <w:tc>
          <w:tcPr>
            <w:tcW w:w="977" w:type="dxa"/>
            <w:vMerge w:val="continue"/>
            <w:tcMar>
              <w:top w:w="0" w:type="dxa"/>
              <w:left w:w="0" w:type="dxa"/>
              <w:bottom w:w="0" w:type="dxa"/>
              <w:right w:w="0" w:type="dxa"/>
            </w:tcMar>
            <w:vAlign w:val="center"/>
          </w:tcPr>
          <w:p w14:paraId="3EEFF973">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31557DDA">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2ED9E353">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按照区财政局统一要求，公开本镇街（部门）纳入“一卡通”管理的惠民惠农财政补贴政策和补贴发放相关信息〔公开路径：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．本部门（镇街）网页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惠民惠农资金，</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．村（居）务公开栏〕。</w:t>
            </w:r>
          </w:p>
        </w:tc>
        <w:tc>
          <w:tcPr>
            <w:tcW w:w="1209" w:type="dxa"/>
            <w:vMerge w:val="continue"/>
            <w:tcMar>
              <w:top w:w="0" w:type="dxa"/>
              <w:left w:w="0" w:type="dxa"/>
              <w:bottom w:w="0" w:type="dxa"/>
              <w:right w:w="0" w:type="dxa"/>
            </w:tcMar>
            <w:vAlign w:val="center"/>
          </w:tcPr>
          <w:p w14:paraId="2B77BBD6">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4E7BDBD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3272627C">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30A6E811">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542" w:hRule="atLeast"/>
          <w:jc w:val="center"/>
        </w:trPr>
        <w:tc>
          <w:tcPr>
            <w:tcW w:w="977" w:type="dxa"/>
            <w:vMerge w:val="continue"/>
            <w:tcMar>
              <w:top w:w="0" w:type="dxa"/>
              <w:left w:w="0" w:type="dxa"/>
              <w:bottom w:w="0" w:type="dxa"/>
              <w:right w:w="0" w:type="dxa"/>
            </w:tcMar>
            <w:vAlign w:val="center"/>
          </w:tcPr>
          <w:p w14:paraId="4AEF3744">
            <w:pPr>
              <w:snapToGrid w:val="0"/>
              <w:rPr>
                <w:rFonts w:ascii="方正仿宋_GBK" w:hAnsi="方正仿宋_GBK" w:eastAsia="方正仿宋_GBK" w:cs="Times New Roman"/>
                <w:sz w:val="24"/>
                <w:szCs w:val="24"/>
              </w:rPr>
            </w:pPr>
          </w:p>
        </w:tc>
        <w:tc>
          <w:tcPr>
            <w:tcW w:w="1105" w:type="dxa"/>
            <w:vMerge w:val="restart"/>
            <w:tcMar>
              <w:top w:w="0" w:type="dxa"/>
              <w:left w:w="0" w:type="dxa"/>
              <w:bottom w:w="0" w:type="dxa"/>
              <w:right w:w="0" w:type="dxa"/>
            </w:tcMar>
            <w:vAlign w:val="center"/>
          </w:tcPr>
          <w:p w14:paraId="7B44A72A">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（四）做好常态化疫情防控信息公开。</w:t>
            </w:r>
          </w:p>
        </w:tc>
        <w:tc>
          <w:tcPr>
            <w:tcW w:w="8066" w:type="dxa"/>
            <w:tcMar>
              <w:top w:w="0" w:type="dxa"/>
              <w:left w:w="0" w:type="dxa"/>
              <w:bottom w:w="0" w:type="dxa"/>
              <w:right w:w="0" w:type="dxa"/>
            </w:tcMar>
            <w:vAlign w:val="center"/>
          </w:tcPr>
          <w:p w14:paraId="19F37823">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重点公开本区隔离管控、流调溯源、精准防控、冷链物流、假期人员流动等政策措施、解读信息（公开路径：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疫情防控</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重要政策</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政策解读，</w:t>
            </w:r>
            <w:r>
              <w:rPr>
                <w:rFonts w:ascii="方正仿宋_GBK" w:hAnsi="方正仿宋_GBK" w:eastAsia="方正仿宋_GBK" w:cs="方正仿宋_GBK"/>
                <w:sz w:val="24"/>
                <w:szCs w:val="24"/>
              </w:rPr>
              <w:t xml:space="preserve">2. </w:t>
            </w:r>
            <w:r>
              <w:rPr>
                <w:rFonts w:hint="eastAsia" w:ascii="方正仿宋_GBK" w:hAnsi="方正仿宋_GBK" w:eastAsia="方正仿宋_GBK" w:cs="方正仿宋_GBK"/>
                <w:sz w:val="24"/>
                <w:szCs w:val="24"/>
              </w:rPr>
              <w:t>区卫生健康委网页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疫情防控</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重要政策</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政策解读，</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tc>
        <w:tc>
          <w:tcPr>
            <w:tcW w:w="1209" w:type="dxa"/>
            <w:vMerge w:val="restart"/>
            <w:tcMar>
              <w:top w:w="0" w:type="dxa"/>
              <w:left w:w="0" w:type="dxa"/>
              <w:bottom w:w="0" w:type="dxa"/>
              <w:right w:w="0" w:type="dxa"/>
            </w:tcMar>
            <w:vAlign w:val="center"/>
          </w:tcPr>
          <w:p w14:paraId="7F8CBC3C">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区卫生健康委</w:t>
            </w:r>
          </w:p>
        </w:tc>
        <w:tc>
          <w:tcPr>
            <w:tcW w:w="1523" w:type="dxa"/>
            <w:tcMar>
              <w:top w:w="0" w:type="dxa"/>
              <w:left w:w="0" w:type="dxa"/>
              <w:bottom w:w="0" w:type="dxa"/>
              <w:right w:w="0" w:type="dxa"/>
            </w:tcMar>
            <w:vAlign w:val="center"/>
          </w:tcPr>
          <w:p w14:paraId="12913A50">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区疫情防控工作领导小组成员单位</w:t>
            </w:r>
          </w:p>
        </w:tc>
        <w:tc>
          <w:tcPr>
            <w:tcW w:w="890" w:type="dxa"/>
            <w:tcMar>
              <w:top w:w="0" w:type="dxa"/>
              <w:left w:w="0" w:type="dxa"/>
              <w:bottom w:w="0" w:type="dxa"/>
              <w:right w:w="0" w:type="dxa"/>
            </w:tcMar>
            <w:vAlign w:val="center"/>
          </w:tcPr>
          <w:p w14:paraId="0B015F72">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4E2A665E">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976" w:hRule="atLeast"/>
          <w:jc w:val="center"/>
        </w:trPr>
        <w:tc>
          <w:tcPr>
            <w:tcW w:w="977" w:type="dxa"/>
            <w:vMerge w:val="continue"/>
            <w:tcMar>
              <w:top w:w="0" w:type="dxa"/>
              <w:left w:w="0" w:type="dxa"/>
              <w:bottom w:w="0" w:type="dxa"/>
              <w:right w:w="0" w:type="dxa"/>
            </w:tcMar>
            <w:vAlign w:val="center"/>
          </w:tcPr>
          <w:p w14:paraId="0A42A5B6">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5D369932">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54E9A2D6">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公开本区核酸检测机构、发热门诊、疫苗接种点的名称、地址、联系电话、办公时间，并保持动态更新（公开路径：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疫情防控</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防疫服务</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核酸检测点</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发热门诊</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疫苗接种点，</w:t>
            </w:r>
            <w:r>
              <w:rPr>
                <w:rFonts w:ascii="方正仿宋_GBK" w:hAnsi="方正仿宋_GBK" w:eastAsia="方正仿宋_GBK" w:cs="方正仿宋_GBK"/>
                <w:sz w:val="24"/>
                <w:szCs w:val="24"/>
              </w:rPr>
              <w:t xml:space="preserve">2. </w:t>
            </w:r>
            <w:r>
              <w:rPr>
                <w:rFonts w:hint="eastAsia" w:ascii="方正仿宋_GBK" w:hAnsi="方正仿宋_GBK" w:eastAsia="方正仿宋_GBK" w:cs="方正仿宋_GBK"/>
                <w:sz w:val="24"/>
                <w:szCs w:val="24"/>
              </w:rPr>
              <w:t>区卫生健康委网页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疫情防控</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核酸检测点</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发热门诊</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疫苗接种点</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tc>
        <w:tc>
          <w:tcPr>
            <w:tcW w:w="1209" w:type="dxa"/>
            <w:vMerge w:val="continue"/>
            <w:tcMar>
              <w:top w:w="0" w:type="dxa"/>
              <w:left w:w="0" w:type="dxa"/>
              <w:bottom w:w="0" w:type="dxa"/>
              <w:right w:w="0" w:type="dxa"/>
            </w:tcMar>
            <w:vAlign w:val="center"/>
          </w:tcPr>
          <w:p w14:paraId="3AB916D1">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489C4F20">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区卫生健康委</w:t>
            </w:r>
          </w:p>
        </w:tc>
        <w:tc>
          <w:tcPr>
            <w:tcW w:w="890" w:type="dxa"/>
            <w:tcMar>
              <w:top w:w="0" w:type="dxa"/>
              <w:left w:w="0" w:type="dxa"/>
              <w:bottom w:w="0" w:type="dxa"/>
              <w:right w:w="0" w:type="dxa"/>
            </w:tcMar>
            <w:vAlign w:val="center"/>
          </w:tcPr>
          <w:p w14:paraId="2F156F46">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20AA366F">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648" w:hRule="atLeast"/>
          <w:jc w:val="center"/>
        </w:trPr>
        <w:tc>
          <w:tcPr>
            <w:tcW w:w="977" w:type="dxa"/>
            <w:vMerge w:val="continue"/>
            <w:tcMar>
              <w:top w:w="0" w:type="dxa"/>
              <w:left w:w="0" w:type="dxa"/>
              <w:bottom w:w="0" w:type="dxa"/>
              <w:right w:w="0" w:type="dxa"/>
            </w:tcMar>
            <w:vAlign w:val="center"/>
          </w:tcPr>
          <w:p w14:paraId="72E1A045">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1F3C7BC">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3F5A86B7">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在宣传、网信部门指导下，扎实做好本区新冠肺炎疫情防控信息公开和舆论引导工作。</w:t>
            </w:r>
          </w:p>
        </w:tc>
        <w:tc>
          <w:tcPr>
            <w:tcW w:w="1209" w:type="dxa"/>
            <w:vMerge w:val="continue"/>
            <w:tcMar>
              <w:top w:w="0" w:type="dxa"/>
              <w:left w:w="0" w:type="dxa"/>
              <w:bottom w:w="0" w:type="dxa"/>
              <w:right w:w="0" w:type="dxa"/>
            </w:tcMar>
            <w:vAlign w:val="center"/>
          </w:tcPr>
          <w:p w14:paraId="4E4281A6">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1E94566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区委宣传部</w:t>
            </w:r>
          </w:p>
        </w:tc>
        <w:tc>
          <w:tcPr>
            <w:tcW w:w="890" w:type="dxa"/>
            <w:tcMar>
              <w:top w:w="0" w:type="dxa"/>
              <w:left w:w="0" w:type="dxa"/>
              <w:bottom w:w="0" w:type="dxa"/>
              <w:right w:w="0" w:type="dxa"/>
            </w:tcMar>
            <w:vAlign w:val="center"/>
          </w:tcPr>
          <w:p w14:paraId="687108CC">
            <w:pPr>
              <w:snapToGrid w:val="0"/>
              <w:jc w:val="center"/>
              <w:rPr>
                <w:rFonts w:ascii="方正仿宋_GBK" w:hAnsi="方正仿宋_GBK" w:eastAsia="方正仿宋_GBK" w:cs="Times New Roman"/>
                <w:sz w:val="24"/>
                <w:szCs w:val="24"/>
              </w:rPr>
            </w:pPr>
          </w:p>
        </w:tc>
      </w:tr>
      <w:tr w14:paraId="135BA0BC">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27558B07">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一、紧扣“十四五”开好局起好步深化政务公开</w:t>
            </w:r>
          </w:p>
        </w:tc>
        <w:tc>
          <w:tcPr>
            <w:tcW w:w="1105" w:type="dxa"/>
            <w:vMerge w:val="restart"/>
            <w:tcMar>
              <w:top w:w="0" w:type="dxa"/>
              <w:left w:w="0" w:type="dxa"/>
              <w:bottom w:w="0" w:type="dxa"/>
              <w:right w:w="0" w:type="dxa"/>
            </w:tcMar>
            <w:vAlign w:val="center"/>
          </w:tcPr>
          <w:p w14:paraId="6E52A8A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（四）做好常态化疫情防控信息公开。</w:t>
            </w:r>
          </w:p>
        </w:tc>
        <w:tc>
          <w:tcPr>
            <w:tcW w:w="8066" w:type="dxa"/>
            <w:tcMar>
              <w:top w:w="0" w:type="dxa"/>
              <w:left w:w="0" w:type="dxa"/>
              <w:bottom w:w="0" w:type="dxa"/>
              <w:right w:w="0" w:type="dxa"/>
            </w:tcMar>
            <w:vAlign w:val="center"/>
          </w:tcPr>
          <w:p w14:paraId="02F99F7F">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提高新冠肺炎疫情防控信息发布规范化水平，发布社会关注的重大政策、内容敏感的重要信息前，加强统筹协调，在实事求是的前提下，强化政府系统内部信息整合，统一步调对外发声。</w:t>
            </w:r>
          </w:p>
        </w:tc>
        <w:tc>
          <w:tcPr>
            <w:tcW w:w="1209" w:type="dxa"/>
            <w:tcMar>
              <w:top w:w="0" w:type="dxa"/>
              <w:left w:w="0" w:type="dxa"/>
              <w:bottom w:w="0" w:type="dxa"/>
              <w:right w:w="0" w:type="dxa"/>
            </w:tcMar>
            <w:vAlign w:val="center"/>
          </w:tcPr>
          <w:p w14:paraId="17913A88">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0DED4C8F">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区疫情防控工作领导小组成员单位</w:t>
            </w:r>
          </w:p>
        </w:tc>
        <w:tc>
          <w:tcPr>
            <w:tcW w:w="890" w:type="dxa"/>
            <w:tcMar>
              <w:top w:w="0" w:type="dxa"/>
              <w:left w:w="0" w:type="dxa"/>
              <w:bottom w:w="0" w:type="dxa"/>
              <w:right w:w="0" w:type="dxa"/>
            </w:tcMar>
            <w:vAlign w:val="center"/>
          </w:tcPr>
          <w:p w14:paraId="7C422BB5">
            <w:pPr>
              <w:snapToGrid w:val="0"/>
              <w:jc w:val="center"/>
              <w:rPr>
                <w:rFonts w:ascii="方正仿宋_GBK" w:hAnsi="方正仿宋_GBK" w:eastAsia="方正仿宋_GBK" w:cs="Times New Roman"/>
                <w:sz w:val="24"/>
                <w:szCs w:val="24"/>
              </w:rPr>
            </w:pPr>
          </w:p>
        </w:tc>
      </w:tr>
      <w:tr w14:paraId="3F4BD48D">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723B8304">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6693ACAB">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6466629B">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公开本区爱国卫生运动、健康中国重庆行动、健康科普宣传等信息（公开路径：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爱国卫生运动</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健康中国重庆行动</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健康科普，</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．区卫生健康委网页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爱国卫生运动</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健康中国重庆行动</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健康科普，</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72E53FC9">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区卫生健康委</w:t>
            </w:r>
          </w:p>
        </w:tc>
        <w:tc>
          <w:tcPr>
            <w:tcW w:w="1523" w:type="dxa"/>
            <w:tcMar>
              <w:top w:w="0" w:type="dxa"/>
              <w:left w:w="0" w:type="dxa"/>
              <w:bottom w:w="0" w:type="dxa"/>
              <w:right w:w="0" w:type="dxa"/>
            </w:tcMar>
            <w:vAlign w:val="center"/>
          </w:tcPr>
          <w:p w14:paraId="1ACC357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区爱卫会成员单位</w:t>
            </w:r>
          </w:p>
        </w:tc>
        <w:tc>
          <w:tcPr>
            <w:tcW w:w="890" w:type="dxa"/>
            <w:tcMar>
              <w:top w:w="0" w:type="dxa"/>
              <w:left w:w="0" w:type="dxa"/>
              <w:bottom w:w="0" w:type="dxa"/>
              <w:right w:w="0" w:type="dxa"/>
            </w:tcMar>
            <w:vAlign w:val="center"/>
          </w:tcPr>
          <w:p w14:paraId="4FF2F23F">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12B318E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5199" w:hRule="atLeast"/>
          <w:jc w:val="center"/>
        </w:trPr>
        <w:tc>
          <w:tcPr>
            <w:tcW w:w="977" w:type="dxa"/>
            <w:tcMar>
              <w:top w:w="0" w:type="dxa"/>
              <w:left w:w="0" w:type="dxa"/>
              <w:bottom w:w="0" w:type="dxa"/>
              <w:right w:w="0" w:type="dxa"/>
            </w:tcMar>
            <w:vAlign w:val="center"/>
          </w:tcPr>
          <w:p w14:paraId="09B90FB3">
            <w:pPr>
              <w:snapToGrid w:val="0"/>
              <w:rPr>
                <w:rFonts w:ascii="方正仿宋_GBK" w:hAnsi="方正仿宋_GBK" w:eastAsia="方正仿宋_GBK" w:cs="Times New Roman"/>
                <w:sz w:val="24"/>
                <w:szCs w:val="24"/>
              </w:rPr>
            </w:pPr>
          </w:p>
          <w:p w14:paraId="616FF00F">
            <w:pPr>
              <w:snapToGrid w:val="0"/>
              <w:rPr>
                <w:rFonts w:ascii="方正仿宋_GBK" w:hAnsi="方正仿宋_GBK" w:eastAsia="方正仿宋_GBK" w:cs="Times New Roman"/>
                <w:sz w:val="24"/>
                <w:szCs w:val="24"/>
              </w:rPr>
            </w:pPr>
          </w:p>
          <w:p w14:paraId="0D244E8A">
            <w:pPr>
              <w:snapToGrid w:val="0"/>
              <w:rPr>
                <w:rFonts w:ascii="方正仿宋_GBK" w:hAnsi="方正仿宋_GBK" w:eastAsia="方正仿宋_GBK" w:cs="Times New Roman"/>
                <w:sz w:val="24"/>
                <w:szCs w:val="24"/>
              </w:rPr>
            </w:pPr>
          </w:p>
          <w:p w14:paraId="6B8826F4">
            <w:pPr>
              <w:snapToGrid w:val="0"/>
              <w:rPr>
                <w:rFonts w:ascii="方正仿宋_GBK" w:hAnsi="方正仿宋_GBK" w:eastAsia="方正仿宋_GBK" w:cs="Times New Roman"/>
                <w:sz w:val="24"/>
                <w:szCs w:val="24"/>
              </w:rPr>
            </w:pPr>
          </w:p>
          <w:p w14:paraId="6BE1C222">
            <w:pPr>
              <w:snapToGrid w:val="0"/>
              <w:rPr>
                <w:rFonts w:ascii="方正仿宋_GBK" w:hAnsi="方正仿宋_GBK" w:eastAsia="方正仿宋_GBK" w:cs="Times New Roman"/>
                <w:sz w:val="24"/>
                <w:szCs w:val="24"/>
              </w:rPr>
            </w:pPr>
          </w:p>
          <w:p w14:paraId="6634A94B">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73600" behindDoc="0" locked="0" layoutInCell="1" allowOverlap="1">
                      <wp:simplePos x="0" y="0"/>
                      <wp:positionH relativeFrom="column">
                        <wp:posOffset>-504190</wp:posOffset>
                      </wp:positionH>
                      <wp:positionV relativeFrom="paragraph">
                        <wp:posOffset>1451610</wp:posOffset>
                      </wp:positionV>
                      <wp:extent cx="320040" cy="908685"/>
                      <wp:effectExtent l="4445" t="4445" r="5715" b="13970"/>
                      <wp:wrapNone/>
                      <wp:docPr id="16" name="文本框 8"/>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9B7D34D">
                                  <w:pPr>
                                    <w:snapToGrid w:val="0"/>
                                    <w:rPr>
                                      <w:rFonts w:ascii="宋体" w:cs="Times New Roman"/>
                                      <w:sz w:val="28"/>
                                      <w:szCs w:val="28"/>
                                    </w:rPr>
                                  </w:pPr>
                                  <w:r>
                                    <w:rPr>
                                      <w:rFonts w:ascii="宋体" w:hAnsi="宋体" w:cs="宋体"/>
                                      <w:sz w:val="28"/>
                                      <w:szCs w:val="28"/>
                                    </w:rPr>
                                    <w:t>— 7 —</w:t>
                                  </w:r>
                                </w:p>
                              </w:txbxContent>
                            </wps:txbx>
                            <wps:bodyPr vert="eaVert" lIns="0" tIns="0" rIns="0" bIns="0" upright="1"/>
                          </wps:wsp>
                        </a:graphicData>
                      </a:graphic>
                    </wp:anchor>
                  </w:drawing>
                </mc:Choice>
                <mc:Fallback>
                  <w:pict>
                    <v:shape id="文本框 8" o:spid="_x0000_s1026" o:spt="202" type="#_x0000_t202" style="position:absolute;left:0pt;margin-left:-39.7pt;margin-top:114.3pt;height:71.55pt;width:25.2pt;z-index:251673600;mso-width-relative:page;mso-height-relative:page;" fillcolor="#FFFFFF" filled="t" stroked="t" coordsize="21600,21600" o:gfxdata="UEsDBAoAAAAAAIdO4kAAAAAAAAAAAAAAAAAEAAAAZHJzL1BLAwQUAAAACACHTuJAtqpCddwAAAAL&#10;AQAADwAAAGRycy9kb3ducmV2LnhtbE2Py07DMBBF90j8gzVI7FInAZI2xOmiElK7YEGpULtz4iGJ&#10;iMdR7D7o1zOsYDmao3vPLZcXO4gTTr53pCCZxSCQGmd6ahXs3l+iOQgfNBk9OEIF3+hhWd3elLow&#10;7kxveNqGVnAI+UIr6EIYCyl906HVfuZGJP59usnqwOfUSjPpM4fbQaZxnEmre+KGTo+46rD52h6t&#10;glV7GJ/cZh2ya/jod/Xr/mo2a6Xu75L4GUTAS/iD4Vef1aFip9odyXgxKIjyxSOjCtJ0noFgIkoX&#10;vK5W8JAnOciqlP83VD9QSwMEFAAAAAgAh07iQJKV6P4aAgAAaAQAAA4AAABkcnMvZTJvRG9jLnht&#10;bK1UzY7TMBC+I/EOlu803UKrEjVdCUoREgKkBe6u4ySW/CfbbdMXgDfgxIU7z9Xn4LPTdtnl0gM5&#10;JJ/t8Tcz38xkcdtrRXbCB2lNRW9GY0qE4baWpq3ol8/rZ3NKQmSmZsoaUdGDCPR2+fTJYu9KMbGd&#10;VbXwBCQmlHtX0S5GVxZF4J3QLIysEwaHjfWaRSx9W9Se7cGuVTEZj2fF3vraectFCNhdDYf0xOiv&#10;IbRNI7lYWb7VwsSB1QvFIlIKnXSBLnO0TSN4/Ng0QUSiKopMY37DCfAmvYvlgpWtZ66T/BQCuyaE&#10;RzlpJg2cXqhWLDKy9fIfKi25t8E2ccStLoZEsiLI4mb8SJu7jjmRc4HUwV1ED/+Pln/YffJE1uiE&#10;GSWGaVT8+OP78efv469vZJ702btQwuzOwTD2r2wP2/N+wGZKu2+8Tl8kRHAOdQ8XdUUfCcfmc1T/&#10;BU44jl6O57P5NLEU95edD/GtsJokUFGP4mVN2e59iIPp2ST5ClbJei2Vygvfbl4rT3YMhV7n58T+&#10;wEwZsof36WSKOBi6t0HXAGoHBYJps78HN8J1xCmwFQvdEEBmSP5ZqWUUPqNOsPqNqUk8OIhsMFw0&#10;BaNFTYkSmMWEsmVkUl1jCe2UgYSpQkMlEor9pgdNghtbH1A1TDv0FOwrvvD1zqCB0jCcgT+DzRls&#10;nZdth0u50tkBGjBX6zQsqcP/Xucw7n8Q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qkJ13AAA&#10;AAsBAAAPAAAAAAAAAAEAIAAAACIAAABkcnMvZG93bnJldi54bWxQSwECFAAUAAAACACHTuJAkpXo&#10;/hoCAABoBAAADgAAAAAAAAABACAAAAArAQAAZHJzL2Uyb0RvYy54bWxQSwUGAAAAAAYABgBZAQAA&#10;twUAAAAA&#10;">
                      <v:fill on="t" focussize="0,0"/>
                      <v:stroke color="#FFFFFF" joinstyle="miter"/>
                      <v:imagedata o:title=""/>
                      <o:lock v:ext="edit" aspectratio="f"/>
                      <v:textbox inset="0mm,0mm,0mm,0mm" style="layout-flow:vertical-ideographic;">
                        <w:txbxContent>
                          <w:p w14:paraId="59B7D34D">
                            <w:pPr>
                              <w:snapToGrid w:val="0"/>
                              <w:rPr>
                                <w:rFonts w:ascii="宋体" w:cs="Times New Roman"/>
                                <w:sz w:val="28"/>
                                <w:szCs w:val="28"/>
                              </w:rPr>
                            </w:pPr>
                            <w:r>
                              <w:rPr>
                                <w:rFonts w:ascii="宋体" w:hAnsi="宋体" w:cs="宋体"/>
                                <w:sz w:val="28"/>
                                <w:szCs w:val="28"/>
                              </w:rPr>
                              <w:t>— 7 —</w:t>
                            </w:r>
                          </w:p>
                        </w:txbxContent>
                      </v:textbox>
                    </v:shape>
                  </w:pict>
                </mc:Fallback>
              </mc:AlternateContent>
            </w:r>
            <w:r>
              <w:rPr>
                <w:rFonts w:hint="eastAsia" w:ascii="方正仿宋_GBK" w:hAnsi="方正仿宋_GBK" w:eastAsia="方正仿宋_GBK" w:cs="方正仿宋_GBK"/>
                <w:sz w:val="24"/>
                <w:szCs w:val="24"/>
              </w:rPr>
              <w:t>二、紧扣宏观政策落地见效深化政务公开</w:t>
            </w:r>
          </w:p>
        </w:tc>
        <w:tc>
          <w:tcPr>
            <w:tcW w:w="1105" w:type="dxa"/>
            <w:tcMar>
              <w:top w:w="0" w:type="dxa"/>
              <w:left w:w="0" w:type="dxa"/>
              <w:bottom w:w="0" w:type="dxa"/>
              <w:right w:w="0" w:type="dxa"/>
            </w:tcMar>
            <w:vAlign w:val="center"/>
          </w:tcPr>
          <w:p w14:paraId="19A646CF">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（一）持续加强重大政策发布解读。</w:t>
            </w:r>
          </w:p>
        </w:tc>
        <w:tc>
          <w:tcPr>
            <w:tcW w:w="8066" w:type="dxa"/>
            <w:tcMar>
              <w:top w:w="0" w:type="dxa"/>
              <w:left w:w="0" w:type="dxa"/>
              <w:bottom w:w="0" w:type="dxa"/>
              <w:right w:w="0" w:type="dxa"/>
            </w:tcMar>
            <w:vAlign w:val="center"/>
          </w:tcPr>
          <w:p w14:paraId="008F8C72">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．在政府网站“政务公开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政府信息公开目录”中设置“六稳”“六保”等栏目。</w:t>
            </w:r>
          </w:p>
          <w:p w14:paraId="5CEE9B7B">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认真贯彻落实中央经济工作会议精神和国务院政府工作报告要求，以扎实做好“六稳”工作、全面落实“六保”任务为重点，聚焦保持宏观政策连续性稳定性可持续性、促进经济运行在合理区间，深入推进重点领域改革、更大激发市场主体活力，依靠创新推动实体经济高质量发展、培育壮大新动能，坚持扩大内需战略基点、充分挖掘国内市场潜力，以及全面实施乡村振兴战略，实行高水平对外开放，加强污染防治和生态建设，切实增进民生福祉等方面出台的重大政策，及时发布权威信息，开展深入解读，有效引导预期，为实现今年经济社会发展主要预期目标营造良好氛围（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“六稳”“六保”</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重要政策</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政策解读，</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相关部门网页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“六稳”“六保”</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重要政策</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政策解读，</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4470F1F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区发展改革委、区经济信息委、区人力社保局、区生态环境局、区农业农村委、区商务委、区金融事务管理中心、荣昌高新区管委会、区市场监管局</w:t>
            </w:r>
          </w:p>
        </w:tc>
        <w:tc>
          <w:tcPr>
            <w:tcW w:w="1523" w:type="dxa"/>
            <w:tcMar>
              <w:top w:w="0" w:type="dxa"/>
              <w:left w:w="0" w:type="dxa"/>
              <w:bottom w:w="0" w:type="dxa"/>
              <w:right w:w="0" w:type="dxa"/>
            </w:tcMar>
            <w:vAlign w:val="center"/>
          </w:tcPr>
          <w:p w14:paraId="503D036F">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区发展改革委、区经济信息委、区人力社保局、区生态环境局、区农业农村委、区商务委、区金融事务管理中心、荣昌高新区管委会、区市场监管局</w:t>
            </w:r>
          </w:p>
        </w:tc>
        <w:tc>
          <w:tcPr>
            <w:tcW w:w="890" w:type="dxa"/>
            <w:tcMar>
              <w:top w:w="0" w:type="dxa"/>
              <w:left w:w="0" w:type="dxa"/>
              <w:bottom w:w="0" w:type="dxa"/>
              <w:right w:w="0" w:type="dxa"/>
            </w:tcMar>
            <w:vAlign w:val="center"/>
          </w:tcPr>
          <w:p w14:paraId="152E3455">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00EDE049">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226340B5">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2336" behindDoc="0" locked="0" layoutInCell="1" allowOverlap="1">
                      <wp:simplePos x="0" y="0"/>
                      <wp:positionH relativeFrom="column">
                        <wp:posOffset>-502920</wp:posOffset>
                      </wp:positionH>
                      <wp:positionV relativeFrom="paragraph">
                        <wp:posOffset>-327025</wp:posOffset>
                      </wp:positionV>
                      <wp:extent cx="320040" cy="908685"/>
                      <wp:effectExtent l="4445" t="4445" r="5715" b="13970"/>
                      <wp:wrapNone/>
                      <wp:docPr id="4" name="文本框 9"/>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8B31D8">
                                  <w:pPr>
                                    <w:snapToGrid w:val="0"/>
                                    <w:rPr>
                                      <w:rFonts w:ascii="宋体" w:cs="Times New Roman"/>
                                      <w:sz w:val="28"/>
                                      <w:szCs w:val="28"/>
                                    </w:rPr>
                                  </w:pPr>
                                  <w:r>
                                    <w:rPr>
                                      <w:rFonts w:ascii="宋体" w:hAnsi="宋体" w:cs="宋体"/>
                                      <w:sz w:val="28"/>
                                      <w:szCs w:val="28"/>
                                    </w:rPr>
                                    <w:t>— 8 —</w:t>
                                  </w:r>
                                </w:p>
                              </w:txbxContent>
                            </wps:txbx>
                            <wps:bodyPr vert="eaVert" lIns="0" tIns="0" rIns="0" bIns="0" upright="1"/>
                          </wps:wsp>
                        </a:graphicData>
                      </a:graphic>
                    </wp:anchor>
                  </w:drawing>
                </mc:Choice>
                <mc:Fallback>
                  <w:pict>
                    <v:shape id="文本框 9" o:spid="_x0000_s1026" o:spt="202" type="#_x0000_t202" style="position:absolute;left:0pt;margin-left:-39.6pt;margin-top:-25.75pt;height:71.55pt;width:25.2pt;z-index:251662336;mso-width-relative:page;mso-height-relative:page;" fillcolor="#FFFFFF" filled="t" stroked="t" coordsize="21600,21600" o:gfxdata="UEsDBAoAAAAAAIdO4kAAAAAAAAAAAAAAAAAEAAAAZHJzL1BLAwQUAAAACACHTuJAae1VpNoAAAAK&#10;AQAADwAAAGRycy9kb3ducmV2LnhtbE2Py2rDMBBF94X+g5hCd45sg93EtZxFoJAsusiD0u5ka2qb&#10;WiNjKc+v73SV7maYw51zy+XFDuKEk+8dKUhmMQikxpmeWgWH/Vs0B+GDJqMHR6jgih6W1eNDqQvj&#10;zrTF0y60gkPIF1pBF8JYSOmbDq32Mzci8e3bTVYHXqdWmkmfOdwOMo3jXFrdE3/o9IirDpuf3dEq&#10;WLVfY+Y265Dfwkd/qN8/b2azVur5KYlfQQS8hDsMf/qsDhU71e5IxotBQfSySBnlIUsyEExE6ZzL&#10;1AoWSQ6yKuX/CtUvUEsDBBQAAAAIAIdO4kBcpLGaGwIAAGcEAAAOAAAAZHJzL2Uyb0RvYy54bWyt&#10;VM2O0zAQviPxDpbvNN2yXXWjpitBKUJCgLTA3XWcxJL/ZLtt+gLwBpy4cOe5+hx8dtouu1x6IIfk&#10;sz3+Zuabmczveq3IVvggrano1WhMiTDc1tK0Ff3yefViRkmIzNRMWSMquheB3i2eP5vvXCkmtrOq&#10;Fp6AxIRy5yraxejKogi8E5qFkXXC4LCxXrOIpW+L2rMd2LUqJuPxTbGzvnbechECdpfDIT0y+ksI&#10;bdNILpaWb7QwcWD1QrGIlEInXaCLHG3TCB4/Nk0QkaiKItOY33ACvE7vYjFnZeuZ6yQ/hsAuCeFJ&#10;TppJA6dnqiWLjGy8/IdKS+5tsE0ccauLIZGsCLK4Gj/R5r5jTuRcIHVwZ9HD/6PlH7afPJF1Ra8p&#10;MUyj4Icf3w8/fx9+fSO3SZ6dCyWs7h3sYv/K9mia037AZsq6b7xOX+RDcA5x92dxRR8Jx+ZLFP8a&#10;JxxHt+PZzWyaWIqHy86H+FZYTRKoqEftsqRs+z7EwfRkknwFq2S9kkrlhW/Xr5UnW4Y6r/JzZH9k&#10;pgzZwft0MkUcDM3boGkAtYMAwbTZ36Mb4TLiFNiShW4IIDMk/6zUMgqfUSdY/cbUJO4dRDaYLZqC&#10;0aKmRAmMYkLZMjKpLrGEdspAwlShoRIJxX7dgybBta33qBqGHXoK9hVf+Hpn0D9pFk7An8D6BDbO&#10;y7bDpVzp7AD9l6t1nJXU4H+vcxgP/4f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ntVaTaAAAA&#10;CgEAAA8AAAAAAAAAAQAgAAAAIgAAAGRycy9kb3ducmV2LnhtbFBLAQIUABQAAAAIAIdO4kBcpLGa&#10;GwIAAGcEAAAOAAAAAAAAAAEAIAAAACkBAABkcnMvZTJvRG9jLnhtbFBLBQYAAAAABgAGAFkBAAC2&#10;BQAAAAA=&#10;">
                      <v:fill on="t" focussize="0,0"/>
                      <v:stroke color="#FFFFFF" joinstyle="miter"/>
                      <v:imagedata o:title=""/>
                      <o:lock v:ext="edit" aspectratio="f"/>
                      <v:textbox inset="0mm,0mm,0mm,0mm" style="layout-flow:vertical-ideographic;">
                        <w:txbxContent>
                          <w:p w14:paraId="7D8B31D8">
                            <w:pPr>
                              <w:snapToGrid w:val="0"/>
                              <w:rPr>
                                <w:rFonts w:ascii="宋体" w:cs="Times New Roman"/>
                                <w:sz w:val="28"/>
                                <w:szCs w:val="28"/>
                              </w:rPr>
                            </w:pPr>
                            <w:r>
                              <w:rPr>
                                <w:rFonts w:ascii="宋体" w:hAnsi="宋体" w:cs="宋体"/>
                                <w:sz w:val="28"/>
                                <w:szCs w:val="28"/>
                              </w:rPr>
                              <w:t>— 8 —</w:t>
                            </w:r>
                          </w:p>
                        </w:txbxContent>
                      </v:textbox>
                    </v:shape>
                  </w:pict>
                </mc:Fallback>
              </mc:AlternateContent>
            </w:r>
          </w:p>
          <w:p w14:paraId="604E034D">
            <w:pPr>
              <w:snapToGrid w:val="0"/>
              <w:rPr>
                <w:rFonts w:ascii="方正仿宋_GBK" w:hAnsi="方正仿宋_GBK" w:eastAsia="方正仿宋_GBK" w:cs="Times New Roman"/>
                <w:sz w:val="24"/>
                <w:szCs w:val="24"/>
              </w:rPr>
            </w:pPr>
          </w:p>
          <w:p w14:paraId="6D94DF10">
            <w:pPr>
              <w:snapToGrid w:val="0"/>
              <w:rPr>
                <w:rFonts w:ascii="方正仿宋_GBK" w:hAnsi="方正仿宋_GBK" w:eastAsia="方正仿宋_GBK" w:cs="Times New Roman"/>
                <w:sz w:val="24"/>
                <w:szCs w:val="24"/>
              </w:rPr>
            </w:pPr>
          </w:p>
          <w:p w14:paraId="145C75A5">
            <w:pPr>
              <w:snapToGrid w:val="0"/>
              <w:rPr>
                <w:rFonts w:ascii="方正仿宋_GBK" w:hAnsi="方正仿宋_GBK" w:eastAsia="方正仿宋_GBK" w:cs="Times New Roman"/>
                <w:sz w:val="24"/>
                <w:szCs w:val="24"/>
              </w:rPr>
            </w:pPr>
          </w:p>
          <w:p w14:paraId="5709659E">
            <w:pPr>
              <w:snapToGrid w:val="0"/>
              <w:rPr>
                <w:rFonts w:ascii="方正仿宋_GBK" w:hAnsi="方正仿宋_GBK" w:eastAsia="方正仿宋_GBK" w:cs="Times New Roman"/>
                <w:sz w:val="24"/>
                <w:szCs w:val="24"/>
              </w:rPr>
            </w:pPr>
          </w:p>
          <w:p w14:paraId="371B24DD">
            <w:pPr>
              <w:snapToGrid w:val="0"/>
              <w:rPr>
                <w:rFonts w:ascii="方正仿宋_GBK" w:hAnsi="方正仿宋_GBK" w:eastAsia="方正仿宋_GBK" w:cs="Times New Roman"/>
                <w:sz w:val="24"/>
                <w:szCs w:val="24"/>
              </w:rPr>
            </w:pPr>
          </w:p>
          <w:p w14:paraId="4A4BE337">
            <w:pPr>
              <w:snapToGrid w:val="0"/>
              <w:rPr>
                <w:rFonts w:ascii="方正仿宋_GBK" w:hAnsi="方正仿宋_GBK" w:eastAsia="方正仿宋_GBK" w:cs="Times New Roman"/>
                <w:sz w:val="24"/>
                <w:szCs w:val="24"/>
              </w:rPr>
            </w:pPr>
          </w:p>
          <w:p w14:paraId="3499C69D">
            <w:pPr>
              <w:snapToGrid w:val="0"/>
              <w:rPr>
                <w:rFonts w:ascii="方正仿宋_GBK" w:hAnsi="方正仿宋_GBK" w:eastAsia="方正仿宋_GBK" w:cs="Times New Roman"/>
                <w:sz w:val="24"/>
                <w:szCs w:val="24"/>
              </w:rPr>
            </w:pPr>
          </w:p>
          <w:p w14:paraId="4B0182B9">
            <w:pPr>
              <w:snapToGrid w:val="0"/>
              <w:rPr>
                <w:rFonts w:ascii="方正仿宋_GBK" w:hAnsi="方正仿宋_GBK" w:eastAsia="方正仿宋_GBK" w:cs="Times New Roman"/>
                <w:sz w:val="24"/>
                <w:szCs w:val="24"/>
              </w:rPr>
            </w:pPr>
          </w:p>
          <w:p w14:paraId="7ED20FD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二、紧扣宏观政策落地见效深化政务公开</w:t>
            </w:r>
          </w:p>
        </w:tc>
        <w:tc>
          <w:tcPr>
            <w:tcW w:w="1105" w:type="dxa"/>
            <w:vMerge w:val="restart"/>
            <w:tcMar>
              <w:top w:w="0" w:type="dxa"/>
              <w:left w:w="0" w:type="dxa"/>
              <w:bottom w:w="0" w:type="dxa"/>
              <w:right w:w="0" w:type="dxa"/>
            </w:tcMar>
            <w:vAlign w:val="center"/>
          </w:tcPr>
          <w:p w14:paraId="2D730C5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（二）不断改进政策解读工作方式。</w:t>
            </w:r>
          </w:p>
        </w:tc>
        <w:tc>
          <w:tcPr>
            <w:tcW w:w="8066" w:type="dxa"/>
            <w:tcMar>
              <w:top w:w="0" w:type="dxa"/>
              <w:left w:w="0" w:type="dxa"/>
              <w:bottom w:w="0" w:type="dxa"/>
              <w:right w:w="0" w:type="dxa"/>
            </w:tcMar>
            <w:vAlign w:val="center"/>
          </w:tcPr>
          <w:p w14:paraId="340C113A">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．严格按照《重庆市行政机关政策解读工作办法》规定的解读原则、解读范围、解读责任、解读程序、解读发布等要求，全面推进政策解读。</w:t>
            </w:r>
          </w:p>
          <w:p w14:paraId="7239F0E7">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严格落实《重大行政决策程序暂行条例》，重大行政决策在提交审议前，除依法应当保密的外，决策承办部门应当通过政府网站、政务新媒体以及报刊、广播、电视等便于社会公众知晓的途径，公布决策草案及其解读材料，明确提出意见的方式和期限。</w:t>
            </w:r>
          </w:p>
          <w:p w14:paraId="1A46835B">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．要对政策文件出台背景、出台目的、核心举措、适用对象、执行标准、关键词、专业名词以及新旧文件差异对比情况等进行全方位、立体式解读。</w:t>
            </w:r>
          </w:p>
          <w:p w14:paraId="3BE483D5">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．充分发挥政府网站运维团队作用，广泛使用图文、视频等社会公众喜闻乐见、易于传播的方式开展政策解读。</w:t>
            </w:r>
          </w:p>
          <w:p w14:paraId="15BF8DBD">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．在政府网站“政务公开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政策解读”中，至少设置“视频、图片、文字”</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个子栏目，发布对应形式的政策解读信息，政策解读信息要与政策文件相互关联。</w:t>
            </w:r>
          </w:p>
          <w:p w14:paraId="658C529F">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．政府网站发布的图片、动漫、音视频等形式的解读材料，要方便用户使用，能够正确显示、播放，不得出现无法打开等现象。</w:t>
            </w:r>
          </w:p>
          <w:p w14:paraId="3ED12435">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．切实避免为解读而解读，坚决杜绝以文件解读文件等形式主义问题。</w:t>
            </w:r>
          </w:p>
          <w:p w14:paraId="393994B0">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8. </w:t>
            </w:r>
            <w:r>
              <w:rPr>
                <w:rFonts w:hint="eastAsia" w:ascii="方正仿宋_GBK" w:hAnsi="方正仿宋_GBK" w:eastAsia="方正仿宋_GBK" w:cs="方正仿宋_GBK"/>
                <w:sz w:val="24"/>
                <w:szCs w:val="24"/>
              </w:rPr>
              <w:t>区政府办公室每季度通报全区政策解读情况。</w:t>
            </w:r>
          </w:p>
        </w:tc>
        <w:tc>
          <w:tcPr>
            <w:tcW w:w="1209" w:type="dxa"/>
            <w:tcMar>
              <w:top w:w="0" w:type="dxa"/>
              <w:left w:w="0" w:type="dxa"/>
              <w:bottom w:w="0" w:type="dxa"/>
              <w:right w:w="0" w:type="dxa"/>
            </w:tcMar>
            <w:vAlign w:val="center"/>
          </w:tcPr>
          <w:p w14:paraId="679819C1">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5EC15DE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7CE8D02A">
            <w:pPr>
              <w:snapToGrid w:val="0"/>
              <w:jc w:val="center"/>
              <w:rPr>
                <w:rFonts w:ascii="方正仿宋_GBK" w:hAnsi="方正仿宋_GBK" w:eastAsia="方正仿宋_GBK" w:cs="Times New Roman"/>
                <w:sz w:val="24"/>
                <w:szCs w:val="24"/>
              </w:rPr>
            </w:pPr>
          </w:p>
        </w:tc>
      </w:tr>
      <w:tr w14:paraId="7EC3C359">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091D2644">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1DB4BA3D">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3BA2C530">
            <w:pPr>
              <w:snapToGrid w:val="0"/>
              <w:spacing w:line="32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加强政策咨询服务，政策制定机关要积极解答政策执行机关和企业、群众的咨询，精准传达政策意图，助力营商环境持续改善。</w:t>
            </w:r>
          </w:p>
          <w:p w14:paraId="6E5B48B1">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．探索建立“政策解读专员”制度，全面汇总全区重要政策及其解读信息，建设“政策咨询问答库”，统一政策咨询答复口径。</w:t>
            </w:r>
          </w:p>
          <w:p w14:paraId="495EC240">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．政府网站要依托“公开信箱”等统一的互动交流渠道，开通咨询功能，提供“一网答”政策咨询服务。</w:t>
            </w:r>
          </w:p>
        </w:tc>
        <w:tc>
          <w:tcPr>
            <w:tcW w:w="1209" w:type="dxa"/>
            <w:tcMar>
              <w:top w:w="0" w:type="dxa"/>
              <w:left w:w="0" w:type="dxa"/>
              <w:bottom w:w="0" w:type="dxa"/>
              <w:right w:w="0" w:type="dxa"/>
            </w:tcMar>
            <w:vAlign w:val="center"/>
          </w:tcPr>
          <w:p w14:paraId="5987B400">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24D19C6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4797B6BA">
            <w:pPr>
              <w:snapToGrid w:val="0"/>
              <w:jc w:val="center"/>
              <w:rPr>
                <w:rFonts w:ascii="方正仿宋_GBK" w:hAnsi="方正仿宋_GBK" w:eastAsia="方正仿宋_GBK" w:cs="Times New Roman"/>
                <w:sz w:val="24"/>
                <w:szCs w:val="24"/>
              </w:rPr>
            </w:pPr>
          </w:p>
        </w:tc>
      </w:tr>
      <w:tr w14:paraId="31674044">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30001353">
            <w:pPr>
              <w:snapToGrid w:val="0"/>
              <w:rPr>
                <w:rFonts w:ascii="方正仿宋_GBK" w:hAnsi="方正仿宋_GBK" w:eastAsia="方正仿宋_GBK" w:cs="方正仿宋_GBK"/>
                <w:sz w:val="24"/>
                <w:szCs w:val="24"/>
              </w:rPr>
            </w:pPr>
          </w:p>
          <w:p w14:paraId="736C624E">
            <w:pPr>
              <w:snapToGrid w:val="0"/>
              <w:rPr>
                <w:rFonts w:ascii="方正仿宋_GBK" w:hAnsi="方正仿宋_GBK" w:eastAsia="方正仿宋_GBK" w:cs="方正仿宋_GBK"/>
                <w:sz w:val="24"/>
                <w:szCs w:val="24"/>
              </w:rPr>
            </w:pPr>
          </w:p>
          <w:p w14:paraId="46946346">
            <w:pPr>
              <w:snapToGrid w:val="0"/>
              <w:rPr>
                <w:rFonts w:ascii="方正仿宋_GBK" w:hAnsi="方正仿宋_GBK" w:eastAsia="方正仿宋_GBK" w:cs="方正仿宋_GBK"/>
                <w:sz w:val="24"/>
                <w:szCs w:val="24"/>
              </w:rPr>
            </w:pPr>
          </w:p>
          <w:p w14:paraId="4A2C89DB">
            <w:pPr>
              <w:snapToGrid w:val="0"/>
              <w:rPr>
                <w:rFonts w:ascii="方正仿宋_GBK" w:hAnsi="方正仿宋_GBK" w:eastAsia="方正仿宋_GBK" w:cs="方正仿宋_GBK"/>
                <w:sz w:val="24"/>
                <w:szCs w:val="24"/>
              </w:rPr>
            </w:pPr>
          </w:p>
          <w:p w14:paraId="7E68F2FA">
            <w:pPr>
              <w:snapToGrid w:val="0"/>
              <w:rPr>
                <w:rFonts w:ascii="方正仿宋_GBK" w:hAnsi="方正仿宋_GBK" w:eastAsia="方正仿宋_GBK" w:cs="方正仿宋_GBK"/>
                <w:sz w:val="24"/>
                <w:szCs w:val="24"/>
              </w:rPr>
            </w:pPr>
          </w:p>
          <w:p w14:paraId="46B45C1F">
            <w:pPr>
              <w:snapToGrid w:val="0"/>
              <w:rPr>
                <w:rFonts w:ascii="方正仿宋_GBK" w:hAnsi="方正仿宋_GBK" w:eastAsia="方正仿宋_GBK" w:cs="方正仿宋_GBK"/>
                <w:sz w:val="24"/>
                <w:szCs w:val="24"/>
              </w:rPr>
            </w:pPr>
          </w:p>
          <w:p w14:paraId="00CFABEC">
            <w:pPr>
              <w:snapToGrid w:val="0"/>
              <w:rPr>
                <w:rFonts w:ascii="方正仿宋_GBK" w:hAnsi="方正仿宋_GBK" w:eastAsia="方正仿宋_GBK" w:cs="方正仿宋_GBK"/>
                <w:sz w:val="24"/>
                <w:szCs w:val="24"/>
              </w:rPr>
            </w:pPr>
          </w:p>
          <w:p w14:paraId="77ECBC63">
            <w:pPr>
              <w:snapToGrid w:val="0"/>
              <w:rPr>
                <w:rFonts w:ascii="方正仿宋_GBK" w:hAnsi="方正仿宋_GBK" w:eastAsia="方正仿宋_GBK" w:cs="方正仿宋_GBK"/>
                <w:sz w:val="24"/>
                <w:szCs w:val="24"/>
              </w:rPr>
            </w:pPr>
          </w:p>
          <w:p w14:paraId="6FD800BD">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3360" behindDoc="0" locked="0" layoutInCell="1" allowOverlap="1">
                      <wp:simplePos x="0" y="0"/>
                      <wp:positionH relativeFrom="column">
                        <wp:posOffset>-523240</wp:posOffset>
                      </wp:positionH>
                      <wp:positionV relativeFrom="paragraph">
                        <wp:posOffset>2486660</wp:posOffset>
                      </wp:positionV>
                      <wp:extent cx="320040" cy="908685"/>
                      <wp:effectExtent l="4445" t="4445" r="5715" b="13970"/>
                      <wp:wrapNone/>
                      <wp:docPr id="5" name="文本框 10"/>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3F1F0FF">
                                  <w:pPr>
                                    <w:snapToGrid w:val="0"/>
                                    <w:rPr>
                                      <w:rFonts w:ascii="宋体" w:cs="Times New Roman"/>
                                      <w:sz w:val="28"/>
                                      <w:szCs w:val="28"/>
                                    </w:rPr>
                                  </w:pPr>
                                  <w:r>
                                    <w:rPr>
                                      <w:rFonts w:ascii="宋体" w:hAnsi="宋体" w:cs="宋体"/>
                                      <w:sz w:val="28"/>
                                      <w:szCs w:val="28"/>
                                    </w:rPr>
                                    <w:t>— 9 —</w:t>
                                  </w:r>
                                </w:p>
                              </w:txbxContent>
                            </wps:txbx>
                            <wps:bodyPr vert="eaVert" lIns="0" tIns="0" rIns="0" bIns="0" upright="1"/>
                          </wps:wsp>
                        </a:graphicData>
                      </a:graphic>
                    </wp:anchor>
                  </w:drawing>
                </mc:Choice>
                <mc:Fallback>
                  <w:pict>
                    <v:shape id="文本框 10" o:spid="_x0000_s1026" o:spt="202" type="#_x0000_t202" style="position:absolute;left:0pt;margin-left:-41.2pt;margin-top:195.8pt;height:71.55pt;width:25.2pt;z-index:251663360;mso-width-relative:page;mso-height-relative:page;" fillcolor="#FFFFFF" filled="t" stroked="t" coordsize="21600,21600" o:gfxdata="UEsDBAoAAAAAAIdO4kAAAAAAAAAAAAAAAAAEAAAAZHJzL1BLAwQUAAAACACHTuJApxvTltwAAAAL&#10;AQAADwAAAGRycy9kb3ducmV2LnhtbE2Py07DMBBF90j8gzVI7FLn0YYSMumiElK7YEGpEOyc2CQR&#10;8TiK3Qf9eoZVWY7m6N5zy9XZDuJoJt87QkhmMQhDjdM9tQj7t+doCcIHRVoNjgzCj/Gwqm5vSlVo&#10;d6JXc9yFVnAI+UIhdCGMhZS+6YxVfuZGQ/z7cpNVgc+plXpSJw63g0zjOJdW9cQNnRrNujPN9+5g&#10;Edbt57hw203IL+G939cvHxe93SDe3yXxE4hgzuEKw58+q0PFTrU7kPZiQIiW6ZxRhOwxyUEwEWUp&#10;r6sRFtn8AWRVyv8bql9QSwMEFAAAAAgAh07iQFoc7I8aAgAAaAQAAA4AAABkcnMvZTJvRG9jLnht&#10;bK1UzY7TMBC+I/EOlu80baGrpWq6EpQiJARIC9xdx0ks+U+226QvAG/AiQt3nqvPwWenP+xy6YEc&#10;7LFn/M3MNzNZ3PVakZ3wQVpT0sloTIkw3FbSNCX98nn97JaSEJmpmLJGlHQvAr1bPn2y6NxcTG1r&#10;VSU8AYgJ886VtI3RzYsi8FZoFkbWCQNlbb1mEUffFJVnHdC1Kqbj8U3RWV85b7kIAberQUmPiP4a&#10;QFvXkouV5VstTBxQvVAsIqXQShfoMkdb14LHj3UdRCSqpMg05hVOIG/SWiwXbN545lrJjyGwa0J4&#10;lJNm0sDpGWrFIiNbL/+B0pJ7G2wdR9zqYkgkM4IsJuNH3Ny3zImcC6gO7kx6+H+w/MPukyeyKumM&#10;EsM0Cn748f3w8/fh1zcyyfx0Lsxhdu9gGPtXtkfXJN7SfcBlSruvvU47EiLQg939mV3RR8Jx+RzV&#10;fwENh+rl+PbmdpZQistj50N8K6wmSSipR/Eyp2z3PsTB9GSSfAWrZLWWSuWDbzavlSc7hkKv83dE&#10;f2CmDOngfTZFtpyhe2t0DUTtwEAwTfb34EW4DjgFtmKhHQLICENvaRmFz13WCla9MRWJeweWDYaL&#10;pmC0qChRArOYpGwZmVTXWII7ZUDhpRJJiv2mB0wSN7bao2qYdvAp2Ffs8PXOoIHSMJwEfxI2J2Hr&#10;vGxaPMqVzg7QgLlax2FJHf73OYdx+UE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nG9OW3AAA&#10;AAsBAAAPAAAAAAAAAAEAIAAAACIAAABkcnMvZG93bnJldi54bWxQSwECFAAUAAAACACHTuJAWhzs&#10;jxoCAABoBAAADgAAAAAAAAABACAAAAArAQAAZHJzL2Uyb0RvYy54bWxQSwUGAAAAAAYABgBZAQAA&#10;twUAAAAA&#10;">
                      <v:fill on="t" focussize="0,0"/>
                      <v:stroke color="#FFFFFF" joinstyle="miter"/>
                      <v:imagedata o:title=""/>
                      <o:lock v:ext="edit" aspectratio="f"/>
                      <v:textbox inset="0mm,0mm,0mm,0mm" style="layout-flow:vertical-ideographic;">
                        <w:txbxContent>
                          <w:p w14:paraId="23F1F0FF">
                            <w:pPr>
                              <w:snapToGrid w:val="0"/>
                              <w:rPr>
                                <w:rFonts w:ascii="宋体" w:cs="Times New Roman"/>
                                <w:sz w:val="28"/>
                                <w:szCs w:val="28"/>
                              </w:rPr>
                            </w:pPr>
                            <w:r>
                              <w:rPr>
                                <w:rFonts w:ascii="宋体" w:hAnsi="宋体" w:cs="宋体"/>
                                <w:sz w:val="28"/>
                                <w:szCs w:val="28"/>
                              </w:rPr>
                              <w:t>— 9 —</w:t>
                            </w:r>
                          </w:p>
                        </w:txbxContent>
                      </v:textbox>
                    </v:shape>
                  </w:pict>
                </mc:Fallback>
              </mc:AlternateContent>
            </w:r>
            <w:r>
              <w:rPr>
                <w:rFonts w:hint="eastAsia" w:ascii="方正仿宋_GBK" w:hAnsi="方正仿宋_GBK" w:eastAsia="方正仿宋_GBK" w:cs="方正仿宋_GBK"/>
                <w:sz w:val="24"/>
                <w:szCs w:val="24"/>
              </w:rPr>
              <w:t>二、紧扣宏观政策落地见效深化政务公开</w:t>
            </w:r>
          </w:p>
        </w:tc>
        <w:tc>
          <w:tcPr>
            <w:tcW w:w="1105" w:type="dxa"/>
            <w:vMerge w:val="restart"/>
            <w:tcMar>
              <w:top w:w="0" w:type="dxa"/>
              <w:left w:w="0" w:type="dxa"/>
              <w:bottom w:w="0" w:type="dxa"/>
              <w:right w:w="0" w:type="dxa"/>
            </w:tcMar>
            <w:vAlign w:val="center"/>
          </w:tcPr>
          <w:p w14:paraId="1655EB4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（二）不断改进政策解读工作方式。</w:t>
            </w:r>
          </w:p>
        </w:tc>
        <w:tc>
          <w:tcPr>
            <w:tcW w:w="8066" w:type="dxa"/>
            <w:tcMar>
              <w:top w:w="0" w:type="dxa"/>
              <w:left w:w="0" w:type="dxa"/>
              <w:bottom w:w="0" w:type="dxa"/>
              <w:right w:w="0" w:type="dxa"/>
            </w:tcMar>
            <w:vAlign w:val="center"/>
          </w:tcPr>
          <w:p w14:paraId="235D1329">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．政务服务大厅要依托综合咨询窗口，强化政策咨询功能，提供“一站式”政策咨询服务。</w:t>
            </w:r>
          </w:p>
          <w:p w14:paraId="4824DC2F">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对外联系电话、公开信箱、综合咨询窗口收到政策咨询后，应率先通过“政策咨询问答库”搜索匹配答复内容，能搜索匹配到答复内容且能立即答复的，要立即答复；不能搜索匹配到答复内容或者不能立即答复的，要建立登记台账，及时交办政策制定单位提供答复内容，并在</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个工作日内主动回复咨询人。要定期对咨询问题和答复内容进行梳理汇总，及时补充完善“政策咨询问答库”，逐步实现“咨询问题”和“答复内容”智能匹配，切实提高答复效率。社会公众对政策文件提出合理建议的，政策制定机关要科学研判、及时吸纳并完善有关政策。</w:t>
            </w:r>
          </w:p>
        </w:tc>
        <w:tc>
          <w:tcPr>
            <w:tcW w:w="1209" w:type="dxa"/>
            <w:tcMar>
              <w:top w:w="0" w:type="dxa"/>
              <w:left w:w="0" w:type="dxa"/>
              <w:bottom w:w="0" w:type="dxa"/>
              <w:right w:w="0" w:type="dxa"/>
            </w:tcMar>
            <w:vAlign w:val="center"/>
          </w:tcPr>
          <w:p w14:paraId="76A8EF3D">
            <w:pPr>
              <w:snapToGrid w:val="0"/>
              <w:jc w:val="center"/>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665FE1EB">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279ACA70">
            <w:pPr>
              <w:snapToGrid w:val="0"/>
              <w:jc w:val="center"/>
              <w:rPr>
                <w:rFonts w:ascii="方正仿宋_GBK" w:hAnsi="方正仿宋_GBK" w:eastAsia="方正仿宋_GBK" w:cs="Times New Roman"/>
                <w:sz w:val="24"/>
                <w:szCs w:val="24"/>
              </w:rPr>
            </w:pPr>
          </w:p>
        </w:tc>
      </w:tr>
      <w:tr w14:paraId="2B947C1B">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49C4E363">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47605CFC">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6BD82938">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．认真落实《重庆市行政机关新闻发布工作办法》，在区政府新闻办公室指导下，通过新闻发布会、新闻通气会、新闻媒体专访、线上线下答问等新闻发布形式开展政策解读。</w:t>
            </w:r>
          </w:p>
          <w:p w14:paraId="198E1D84">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．由区政府新闻办统筹，指导各镇街、与宏观经济和民生密切相关以及社会关注事项较多的部门，每年通过新闻发布形式开展政策解读不少于</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次，其中，有关负责同志带头开展政策解读应不少于</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次。</w:t>
            </w:r>
          </w:p>
          <w:p w14:paraId="4104338A">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．注重发挥新闻媒体的传播优势，通过主动向新闻媒体提供政策文件、解读素材等方式，加强政策解读宣传。</w:t>
            </w:r>
          </w:p>
          <w:p w14:paraId="09E57166">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．积极参加区政府新闻办公室组织开展的“发言人来了</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我为群众办实事”新闻发布活动，主动送政策进城乡社区、产业园区、大学校区，不断加强信息发布、政策解读、沟通交流。</w:t>
            </w:r>
          </w:p>
          <w:p w14:paraId="6666EC66">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．通过新闻发布形式开展政策解读的，应归集整理相关解读成果，在政府网站“政策解读”栏目集中展示，方便群众查阅获取。</w:t>
            </w:r>
          </w:p>
        </w:tc>
        <w:tc>
          <w:tcPr>
            <w:tcW w:w="1209" w:type="dxa"/>
            <w:tcMar>
              <w:top w:w="0" w:type="dxa"/>
              <w:left w:w="0" w:type="dxa"/>
              <w:bottom w:w="0" w:type="dxa"/>
              <w:right w:w="0" w:type="dxa"/>
            </w:tcMar>
            <w:vAlign w:val="center"/>
          </w:tcPr>
          <w:p w14:paraId="6BC4A959">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区政府新闻办</w:t>
            </w:r>
          </w:p>
        </w:tc>
        <w:tc>
          <w:tcPr>
            <w:tcW w:w="1523" w:type="dxa"/>
            <w:tcMar>
              <w:top w:w="0" w:type="dxa"/>
              <w:left w:w="0" w:type="dxa"/>
              <w:bottom w:w="0" w:type="dxa"/>
              <w:right w:w="0" w:type="dxa"/>
            </w:tcMar>
            <w:vAlign w:val="center"/>
          </w:tcPr>
          <w:p w14:paraId="178BA90D">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09558B55">
            <w:pPr>
              <w:snapToGrid w:val="0"/>
              <w:jc w:val="center"/>
              <w:rPr>
                <w:rFonts w:ascii="方正仿宋_GBK" w:hAnsi="方正仿宋_GBK" w:eastAsia="方正仿宋_GBK" w:cs="Times New Roman"/>
                <w:sz w:val="24"/>
                <w:szCs w:val="24"/>
              </w:rPr>
            </w:pPr>
          </w:p>
        </w:tc>
      </w:tr>
      <w:tr w14:paraId="6D154434">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77BE0909">
            <w:pPr>
              <w:snapToGrid w:val="0"/>
              <w:rPr>
                <w:rFonts w:ascii="方正仿宋_GBK" w:hAnsi="方正仿宋_GBK" w:eastAsia="方正仿宋_GBK" w:cs="方正仿宋_GBK"/>
                <w:sz w:val="24"/>
                <w:szCs w:val="24"/>
              </w:rPr>
            </w:pPr>
            <w:r>
              <mc:AlternateContent>
                <mc:Choice Requires="wps">
                  <w:drawing>
                    <wp:anchor distT="0" distB="0" distL="114300" distR="114300" simplePos="0" relativeHeight="251674624" behindDoc="0" locked="0" layoutInCell="1" allowOverlap="1">
                      <wp:simplePos x="0" y="0"/>
                      <wp:positionH relativeFrom="column">
                        <wp:posOffset>-461645</wp:posOffset>
                      </wp:positionH>
                      <wp:positionV relativeFrom="paragraph">
                        <wp:posOffset>-446405</wp:posOffset>
                      </wp:positionV>
                      <wp:extent cx="304165" cy="908685"/>
                      <wp:effectExtent l="5080" t="4445" r="8255" b="13970"/>
                      <wp:wrapNone/>
                      <wp:docPr id="17" name="文本框 11"/>
                      <wp:cNvGraphicFramePr/>
                      <a:graphic xmlns:a="http://schemas.openxmlformats.org/drawingml/2006/main">
                        <a:graphicData uri="http://schemas.microsoft.com/office/word/2010/wordprocessingShape">
                          <wps:wsp>
                            <wps:cNvSpPr txBox="1"/>
                            <wps:spPr>
                              <a:xfrm>
                                <a:off x="0" y="0"/>
                                <a:ext cx="304165"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E463473">
                                  <w:pPr>
                                    <w:snapToGrid w:val="0"/>
                                    <w:rPr>
                                      <w:rFonts w:ascii="宋体" w:cs="Times New Roman"/>
                                      <w:sz w:val="28"/>
                                      <w:szCs w:val="28"/>
                                    </w:rPr>
                                  </w:pPr>
                                  <w:r>
                                    <w:rPr>
                                      <w:rFonts w:ascii="宋体" w:hAnsi="宋体" w:cs="宋体"/>
                                      <w:sz w:val="28"/>
                                      <w:szCs w:val="28"/>
                                    </w:rPr>
                                    <w:t>— 10 —</w:t>
                                  </w:r>
                                </w:p>
                              </w:txbxContent>
                            </wps:txbx>
                            <wps:bodyPr vert="eaVert" lIns="0" tIns="0" rIns="0" bIns="0" upright="1"/>
                          </wps:wsp>
                        </a:graphicData>
                      </a:graphic>
                    </wp:anchor>
                  </w:drawing>
                </mc:Choice>
                <mc:Fallback>
                  <w:pict>
                    <v:shape id="文本框 11" o:spid="_x0000_s1026" o:spt="202" type="#_x0000_t202" style="position:absolute;left:0pt;margin-left:-36.35pt;margin-top:-35.15pt;height:71.55pt;width:23.95pt;z-index:251674624;mso-width-relative:page;mso-height-relative:page;" fillcolor="#FFFFFF" filled="t" stroked="t" coordsize="21600,21600" o:gfxdata="UEsDBAoAAAAAAIdO4kAAAAAAAAAAAAAAAAAEAAAAZHJzL1BLAwQUAAAACACHTuJAb0TPRtsAAAAK&#10;AQAADwAAAGRycy9kb3ducmV2LnhtbE2PTU/DMAyG70j8h8hI3LpkBdapa7rDJKTtwIExIbiljddW&#10;NE7VZB/s1+Od2M2WH71+3mJ5dr044hg6TxqmEwUCqfa2o0bD7uM1mYMI0ZA1vSfU8IsBluX9XWFy&#10;60/0jsdtbASHUMiNhjbGIZcy1C06EyZ+QOLb3o/ORF7HRtrRnDjc9TJVaiad6Yg/tGbAVYv1z/bg&#10;NKya7+HFb9Zxdomf3a56+7rYzVrrx4epWoCIeI7/MFz1WR1Kdqr8gWwQvYYkSzNGr4N6AsFEkj5z&#10;mUpDls5BloW8rVD+AVBLAwQUAAAACACHTuJA5VW0uB0CAABpBAAADgAAAGRycy9lMm9Eb2MueG1s&#10;rVTNjtMwEL4j8Q6W7zRpoaVETVeCUoSEAGmB+9RxEkv+k+026QvAG3Disneeq8/B2Gm67HLpgRyS&#10;z/b4m5lvZrK66ZUkB+68MLqk00lOCdfMVEI3Jf36ZftsSYkPoCuQRvOSHrmnN+unT1adLfjMtEZW&#10;3BEk0b7obEnbEGyRZZ61XIGfGMs1HtbGKQi4dE1WOeiQXclslueLrDOuss4w7j3uboZDemZ01xCa&#10;uhaMbwzbK67DwOq4hIAp+VZYT9cp2rrmLHyqa88DkSXFTEN6oxPEu/jO1isoGge2FewcAlwTwqOc&#10;FAiNTi9UGwhA9k78Q6UEc8abOkyYUdmQSFIEs5jmj7S5bcHylAtK7e1FdP//aNnHw2dHRIWd8JIS&#10;DQorfvr54/Tr9+nuO5lOo0Cd9QXa3Vq0DP1r06PxuO9xM+bd107FL2ZE8BzlPV7k5X0gDDef5y+m&#10;izklDI9e5cvFch5ZsvvL1vnwjhtFIiipw+olUeHwwYfBdDSJvryRotoKKdPCNbs30pEDYKW36Tmz&#10;PzCTmnTofT6LcQC2b41tg1BZlMDrJvl7cMNfRxwD24BvhwASQ/QPhRKBu4RaDtVbXZFwtKiyxumi&#10;MRjFK0okx2GMKFkGEPIaS9ROapQwVmioRESh3/VIE+HOVEesGo476snhG37R13uNHRSnYQRuBLsR&#10;7K0TTYuXUqWTA+zAVK3ztMQW/3udwrj/Q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9Ez0bb&#10;AAAACgEAAA8AAAAAAAAAAQAgAAAAIgAAAGRycy9kb3ducmV2LnhtbFBLAQIUABQAAAAIAIdO4kDl&#10;VbS4HQIAAGkEAAAOAAAAAAAAAAEAIAAAACoBAABkcnMvZTJvRG9jLnhtbFBLBQYAAAAABgAGAFkB&#10;AAC5BQAAAAA=&#10;">
                      <v:fill on="t" focussize="0,0"/>
                      <v:stroke color="#FFFFFF" joinstyle="miter"/>
                      <v:imagedata o:title=""/>
                      <o:lock v:ext="edit" aspectratio="f"/>
                      <v:textbox inset="0mm,0mm,0mm,0mm" style="layout-flow:vertical-ideographic;">
                        <w:txbxContent>
                          <w:p w14:paraId="0E463473">
                            <w:pPr>
                              <w:snapToGrid w:val="0"/>
                              <w:rPr>
                                <w:rFonts w:ascii="宋体" w:cs="Times New Roman"/>
                                <w:sz w:val="28"/>
                                <w:szCs w:val="28"/>
                              </w:rPr>
                            </w:pPr>
                            <w:r>
                              <w:rPr>
                                <w:rFonts w:ascii="宋体" w:hAnsi="宋体" w:cs="宋体"/>
                                <w:sz w:val="28"/>
                                <w:szCs w:val="28"/>
                              </w:rPr>
                              <w:t>— 10 —</w:t>
                            </w:r>
                          </w:p>
                        </w:txbxContent>
                      </v:textbox>
                    </v:shape>
                  </w:pict>
                </mc:Fallback>
              </mc:AlternateContent>
            </w:r>
          </w:p>
          <w:p w14:paraId="70A8FC8E">
            <w:pPr>
              <w:snapToGrid w:val="0"/>
              <w:rPr>
                <w:rFonts w:ascii="方正仿宋_GBK" w:hAnsi="方正仿宋_GBK" w:eastAsia="方正仿宋_GBK" w:cs="方正仿宋_GBK"/>
                <w:sz w:val="24"/>
                <w:szCs w:val="24"/>
              </w:rPr>
            </w:pPr>
          </w:p>
          <w:p w14:paraId="15572551">
            <w:pPr>
              <w:snapToGrid w:val="0"/>
              <w:rPr>
                <w:rFonts w:ascii="方正仿宋_GBK" w:hAnsi="方正仿宋_GBK" w:eastAsia="方正仿宋_GBK" w:cs="方正仿宋_GBK"/>
                <w:sz w:val="24"/>
                <w:szCs w:val="24"/>
              </w:rPr>
            </w:pPr>
          </w:p>
          <w:p w14:paraId="25CA1B9A">
            <w:pPr>
              <w:snapToGrid w:val="0"/>
              <w:rPr>
                <w:rFonts w:ascii="方正仿宋_GBK" w:hAnsi="方正仿宋_GBK" w:eastAsia="方正仿宋_GBK" w:cs="方正仿宋_GBK"/>
                <w:sz w:val="24"/>
                <w:szCs w:val="24"/>
              </w:rPr>
            </w:pPr>
          </w:p>
          <w:p w14:paraId="6851F45C">
            <w:pPr>
              <w:snapToGrid w:val="0"/>
              <w:rPr>
                <w:rFonts w:ascii="方正仿宋_GBK" w:hAnsi="方正仿宋_GBK" w:eastAsia="方正仿宋_GBK" w:cs="方正仿宋_GBK"/>
                <w:sz w:val="24"/>
                <w:szCs w:val="24"/>
              </w:rPr>
            </w:pPr>
          </w:p>
          <w:p w14:paraId="214FFB8F">
            <w:pPr>
              <w:snapToGrid w:val="0"/>
              <w:rPr>
                <w:rFonts w:ascii="方正仿宋_GBK" w:hAnsi="方正仿宋_GBK" w:eastAsia="方正仿宋_GBK" w:cs="方正仿宋_GBK"/>
                <w:sz w:val="24"/>
                <w:szCs w:val="24"/>
              </w:rPr>
            </w:pPr>
          </w:p>
          <w:p w14:paraId="76077861">
            <w:pPr>
              <w:snapToGrid w:val="0"/>
              <w:rPr>
                <w:rFonts w:ascii="方正仿宋_GBK" w:hAnsi="方正仿宋_GBK" w:eastAsia="方正仿宋_GBK" w:cs="方正仿宋_GBK"/>
                <w:sz w:val="24"/>
                <w:szCs w:val="24"/>
              </w:rPr>
            </w:pPr>
          </w:p>
          <w:p w14:paraId="17B78B71">
            <w:pPr>
              <w:snapToGrid w:val="0"/>
              <w:rPr>
                <w:rFonts w:ascii="方正仿宋_GBK" w:hAnsi="方正仿宋_GBK" w:eastAsia="方正仿宋_GBK" w:cs="方正仿宋_GBK"/>
                <w:sz w:val="24"/>
                <w:szCs w:val="24"/>
              </w:rPr>
            </w:pPr>
          </w:p>
          <w:p w14:paraId="4AC871CC">
            <w:pPr>
              <w:snapToGrid w:val="0"/>
              <w:rPr>
                <w:rFonts w:ascii="方正仿宋_GBK" w:hAnsi="方正仿宋_GBK" w:eastAsia="方正仿宋_GBK" w:cs="方正仿宋_GBK"/>
                <w:sz w:val="24"/>
                <w:szCs w:val="24"/>
              </w:rPr>
            </w:pPr>
          </w:p>
          <w:p w14:paraId="72F6C50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二、紧扣宏观政策落地见效深化政务公开</w:t>
            </w:r>
          </w:p>
        </w:tc>
        <w:tc>
          <w:tcPr>
            <w:tcW w:w="1105" w:type="dxa"/>
            <w:vMerge w:val="restart"/>
            <w:tcMar>
              <w:top w:w="0" w:type="dxa"/>
              <w:left w:w="0" w:type="dxa"/>
              <w:bottom w:w="0" w:type="dxa"/>
              <w:right w:w="0" w:type="dxa"/>
            </w:tcMar>
            <w:vAlign w:val="center"/>
          </w:tcPr>
          <w:p w14:paraId="3152B910">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（三）切实增强回应关切效果。</w:t>
            </w:r>
          </w:p>
        </w:tc>
        <w:tc>
          <w:tcPr>
            <w:tcW w:w="8066" w:type="dxa"/>
            <w:tcMar>
              <w:top w:w="0" w:type="dxa"/>
              <w:left w:w="0" w:type="dxa"/>
              <w:bottom w:w="0" w:type="dxa"/>
              <w:right w:w="0" w:type="dxa"/>
            </w:tcMar>
            <w:vAlign w:val="center"/>
          </w:tcPr>
          <w:p w14:paraId="5EF2E139">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．严格履行政务舆情回应主体责任，对于涉及全区的政务舆情，涉事的区政府部门是舆情回应的第一责任主体；对于涉及镇街的政务舆情，镇街是舆情回应的第一责任主体。</w:t>
            </w:r>
          </w:p>
          <w:p w14:paraId="5366E64E">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重点回应对区政府及其部门重大政策措施存在误解误读的、涉及公众切身利益且产生较大影响的、涉及民生领域严重冲击社会道德底线的、涉及突发事件处置和自然灾害应对的、上级政府要求下级政府主动回应的政务舆情。</w:t>
            </w:r>
          </w:p>
          <w:p w14:paraId="4D02B679">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．建立完善政务舆情回应制度、通报批评和约谈制度，并将政务舆情回应情况作为政务公开的重要内容纳入考核体系。</w:t>
            </w:r>
          </w:p>
          <w:p w14:paraId="6AE60D31">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．建立健全政务舆情收集、会商、研判、回应、评估机制，对监测发现的政务舆情，要加强研判，区别不同情况，进行分类处理，并通过发布权威信息、召开新闻发布会或吹风会、接受媒体采访等方式进行回应。</w:t>
            </w:r>
          </w:p>
          <w:p w14:paraId="648C78E2">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．增强舆情回应工作的主动性，通过网上调研等方式，了解掌握社会公众对政策执行效果的反馈与评价，主动回应存在的共性问题，助力政策完善。</w:t>
            </w:r>
          </w:p>
          <w:p w14:paraId="63F3BCA1">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．紧紧围绕政务舆情背后的实际问题，增强舆情回应处置的协同性、系统性和有效性，以解决问题的具体举措实质性回应社会关切。</w:t>
            </w:r>
          </w:p>
          <w:p w14:paraId="31025AD0">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．舆情回应时的公开承诺，要实行台账管理，认真检查承诺事项落实及公开情况，切实维护政府公信力（例如：承诺调查处理的，应及时公开调查处理结果）。</w:t>
            </w:r>
          </w:p>
        </w:tc>
        <w:tc>
          <w:tcPr>
            <w:tcW w:w="1209" w:type="dxa"/>
            <w:vMerge w:val="restart"/>
            <w:tcMar>
              <w:top w:w="0" w:type="dxa"/>
              <w:left w:w="0" w:type="dxa"/>
              <w:bottom w:w="0" w:type="dxa"/>
              <w:right w:w="0" w:type="dxa"/>
            </w:tcMar>
            <w:vAlign w:val="center"/>
          </w:tcPr>
          <w:p w14:paraId="3D542FE5">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区网信办</w:t>
            </w:r>
          </w:p>
        </w:tc>
        <w:tc>
          <w:tcPr>
            <w:tcW w:w="1523" w:type="dxa"/>
            <w:tcMar>
              <w:top w:w="0" w:type="dxa"/>
              <w:left w:w="0" w:type="dxa"/>
              <w:bottom w:w="0" w:type="dxa"/>
              <w:right w:w="0" w:type="dxa"/>
            </w:tcMar>
            <w:vAlign w:val="center"/>
          </w:tcPr>
          <w:p w14:paraId="5E56C0F4">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vMerge w:val="restart"/>
            <w:tcMar>
              <w:top w:w="0" w:type="dxa"/>
              <w:left w:w="0" w:type="dxa"/>
              <w:bottom w:w="0" w:type="dxa"/>
              <w:right w:w="0" w:type="dxa"/>
            </w:tcMar>
            <w:vAlign w:val="center"/>
          </w:tcPr>
          <w:p w14:paraId="4E39E555">
            <w:pPr>
              <w:snapToGrid w:val="0"/>
              <w:jc w:val="center"/>
              <w:rPr>
                <w:rFonts w:ascii="方正仿宋_GBK" w:hAnsi="方正仿宋_GBK" w:eastAsia="方正仿宋_GBK" w:cs="Times New Roman"/>
                <w:sz w:val="24"/>
                <w:szCs w:val="24"/>
              </w:rPr>
            </w:pPr>
          </w:p>
        </w:tc>
      </w:tr>
      <w:tr w14:paraId="744C45F4">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581D1B45">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58254524">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6ABD627E">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密切关注涉及疫情防控、医疗等方面的舆情，并在同级宣传、网信部门的指导下，及时作出回应，助力防范化解重大风险。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5ADC30C3">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460FAFA9">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区卫生健康委</w:t>
            </w:r>
          </w:p>
        </w:tc>
        <w:tc>
          <w:tcPr>
            <w:tcW w:w="890" w:type="dxa"/>
            <w:vMerge w:val="continue"/>
            <w:tcMar>
              <w:top w:w="0" w:type="dxa"/>
              <w:left w:w="0" w:type="dxa"/>
              <w:bottom w:w="0" w:type="dxa"/>
              <w:right w:w="0" w:type="dxa"/>
            </w:tcMar>
            <w:vAlign w:val="center"/>
          </w:tcPr>
          <w:p w14:paraId="32A5174A">
            <w:pPr>
              <w:snapToGrid w:val="0"/>
              <w:jc w:val="center"/>
              <w:rPr>
                <w:rFonts w:ascii="方正仿宋_GBK" w:hAnsi="方正仿宋_GBK" w:eastAsia="方正仿宋_GBK" w:cs="Times New Roman"/>
                <w:sz w:val="24"/>
                <w:szCs w:val="24"/>
              </w:rPr>
            </w:pPr>
          </w:p>
        </w:tc>
      </w:tr>
      <w:tr w14:paraId="19242CD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4980B818">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4F90F866">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5C7E08AD">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密切关注涉及房地产方面的舆情，并在同级宣传、网信部门的指导下，及时作出回应，助力防范化解重大风险。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7EE22084">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456CC96D">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区住房城乡建委</w:t>
            </w:r>
          </w:p>
        </w:tc>
        <w:tc>
          <w:tcPr>
            <w:tcW w:w="890" w:type="dxa"/>
            <w:vMerge w:val="continue"/>
            <w:tcMar>
              <w:top w:w="0" w:type="dxa"/>
              <w:left w:w="0" w:type="dxa"/>
              <w:bottom w:w="0" w:type="dxa"/>
              <w:right w:w="0" w:type="dxa"/>
            </w:tcMar>
            <w:vAlign w:val="center"/>
          </w:tcPr>
          <w:p w14:paraId="187C063E">
            <w:pPr>
              <w:snapToGrid w:val="0"/>
              <w:jc w:val="center"/>
              <w:rPr>
                <w:rFonts w:ascii="方正仿宋_GBK" w:hAnsi="方正仿宋_GBK" w:eastAsia="方正仿宋_GBK" w:cs="Times New Roman"/>
                <w:sz w:val="24"/>
                <w:szCs w:val="24"/>
              </w:rPr>
            </w:pPr>
          </w:p>
        </w:tc>
      </w:tr>
      <w:tr w14:paraId="5B24D72F">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3BC924C0">
            <w:pPr>
              <w:snapToGrid w:val="0"/>
              <w:rPr>
                <w:rFonts w:ascii="方正仿宋_GBK" w:hAnsi="方正仿宋_GBK" w:eastAsia="方正仿宋_GBK" w:cs="方正仿宋_GBK"/>
                <w:sz w:val="24"/>
                <w:szCs w:val="24"/>
              </w:rPr>
            </w:pPr>
          </w:p>
          <w:p w14:paraId="41AE5341">
            <w:pPr>
              <w:snapToGrid w:val="0"/>
              <w:rPr>
                <w:rFonts w:ascii="方正仿宋_GBK" w:hAnsi="方正仿宋_GBK" w:eastAsia="方正仿宋_GBK" w:cs="方正仿宋_GBK"/>
                <w:sz w:val="24"/>
                <w:szCs w:val="24"/>
              </w:rPr>
            </w:pPr>
          </w:p>
          <w:p w14:paraId="601F2B00">
            <w:pPr>
              <w:snapToGrid w:val="0"/>
              <w:rPr>
                <w:rFonts w:ascii="方正仿宋_GBK" w:hAnsi="方正仿宋_GBK" w:eastAsia="方正仿宋_GBK" w:cs="方正仿宋_GBK"/>
                <w:sz w:val="24"/>
                <w:szCs w:val="24"/>
              </w:rPr>
            </w:pPr>
          </w:p>
          <w:p w14:paraId="7E7DF9AF">
            <w:pPr>
              <w:snapToGrid w:val="0"/>
              <w:rPr>
                <w:rFonts w:ascii="方正仿宋_GBK" w:hAnsi="方正仿宋_GBK" w:eastAsia="方正仿宋_GBK" w:cs="方正仿宋_GBK"/>
                <w:sz w:val="24"/>
                <w:szCs w:val="24"/>
              </w:rPr>
            </w:pPr>
          </w:p>
          <w:p w14:paraId="697CD6EC">
            <w:pPr>
              <w:snapToGrid w:val="0"/>
              <w:rPr>
                <w:rFonts w:ascii="方正仿宋_GBK" w:hAnsi="方正仿宋_GBK" w:eastAsia="方正仿宋_GBK" w:cs="方正仿宋_GBK"/>
                <w:sz w:val="24"/>
                <w:szCs w:val="24"/>
              </w:rPr>
            </w:pPr>
          </w:p>
          <w:p w14:paraId="10CDDE85">
            <w:pPr>
              <w:snapToGrid w:val="0"/>
              <w:rPr>
                <w:rFonts w:ascii="方正仿宋_GBK" w:hAnsi="方正仿宋_GBK" w:eastAsia="方正仿宋_GBK" w:cs="方正仿宋_GBK"/>
                <w:sz w:val="24"/>
                <w:szCs w:val="24"/>
              </w:rPr>
            </w:pPr>
          </w:p>
          <w:p w14:paraId="01E2A638">
            <w:pPr>
              <w:snapToGrid w:val="0"/>
              <w:rPr>
                <w:rFonts w:ascii="方正仿宋_GBK" w:hAnsi="方正仿宋_GBK" w:eastAsia="方正仿宋_GBK" w:cs="方正仿宋_GBK"/>
                <w:sz w:val="24"/>
                <w:szCs w:val="24"/>
              </w:rPr>
            </w:pPr>
          </w:p>
          <w:p w14:paraId="4B91F376">
            <w:pPr>
              <w:snapToGrid w:val="0"/>
              <w:rPr>
                <w:rFonts w:ascii="方正仿宋_GBK" w:hAnsi="方正仿宋_GBK" w:eastAsia="方正仿宋_GBK" w:cs="方正仿宋_GBK"/>
                <w:sz w:val="24"/>
                <w:szCs w:val="24"/>
              </w:rPr>
            </w:pPr>
          </w:p>
          <w:p w14:paraId="04777864">
            <w:pPr>
              <w:snapToGrid w:val="0"/>
              <w:rPr>
                <w:rFonts w:ascii="方正仿宋_GBK" w:hAnsi="方正仿宋_GBK" w:eastAsia="方正仿宋_GBK" w:cs="方正仿宋_GBK"/>
                <w:sz w:val="24"/>
                <w:szCs w:val="24"/>
              </w:rPr>
            </w:pPr>
          </w:p>
          <w:p w14:paraId="66F12DF6">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5408" behindDoc="0" locked="0" layoutInCell="1" allowOverlap="1">
                      <wp:simplePos x="0" y="0"/>
                      <wp:positionH relativeFrom="column">
                        <wp:posOffset>-572135</wp:posOffset>
                      </wp:positionH>
                      <wp:positionV relativeFrom="paragraph">
                        <wp:posOffset>2108200</wp:posOffset>
                      </wp:positionV>
                      <wp:extent cx="320040" cy="908685"/>
                      <wp:effectExtent l="4445" t="4445" r="5715" b="13970"/>
                      <wp:wrapNone/>
                      <wp:docPr id="7" name="文本框 12"/>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2E00A42">
                                  <w:pPr>
                                    <w:snapToGrid w:val="0"/>
                                    <w:rPr>
                                      <w:rFonts w:ascii="宋体" w:cs="Times New Roman"/>
                                      <w:sz w:val="28"/>
                                      <w:szCs w:val="28"/>
                                    </w:rPr>
                                  </w:pPr>
                                  <w:r>
                                    <w:rPr>
                                      <w:rFonts w:ascii="宋体" w:hAnsi="宋体" w:cs="宋体"/>
                                      <w:sz w:val="28"/>
                                      <w:szCs w:val="28"/>
                                    </w:rPr>
                                    <w:t>— 11 —</w:t>
                                  </w:r>
                                </w:p>
                              </w:txbxContent>
                            </wps:txbx>
                            <wps:bodyPr vert="eaVert" lIns="0" tIns="0" rIns="0" bIns="0" upright="1"/>
                          </wps:wsp>
                        </a:graphicData>
                      </a:graphic>
                    </wp:anchor>
                  </w:drawing>
                </mc:Choice>
                <mc:Fallback>
                  <w:pict>
                    <v:shape id="文本框 12" o:spid="_x0000_s1026" o:spt="202" type="#_x0000_t202" style="position:absolute;left:0pt;margin-left:-45.05pt;margin-top:166pt;height:71.55pt;width:25.2pt;z-index:251665408;mso-width-relative:page;mso-height-relative:page;" fillcolor="#FFFFFF" filled="t" stroked="t" coordsize="21600,21600" o:gfxdata="UEsDBAoAAAAAAIdO4kAAAAAAAAAAAAAAAAAEAAAAZHJzL1BLAwQUAAAACACHTuJA4iFardwAAAAL&#10;AQAADwAAAGRycy9kb3ducmV2LnhtbE2Py07DMBBF90j8gzVI7FI7DW1pyKSLSkjtggWlQrBzYpNE&#10;xOModh/06xlWZTmao3vPLVZn14ujHUPnCSGdKBCWam86ahD2b8/JI4gQNRnde7IIPzbAqry9KXRu&#10;/Ile7XEXG8EhFHKN0MY45FKGurVOh4kfLPHvy49ORz7HRppRnzjc9XKq1Fw63RE3tHqw69bW37uD&#10;Q1g3n8PMbzdxfonv3b56+biY7Qbx/i5VTyCiPccrDH/6rA4lO1X+QCaIHiFZqpRRhCyb8igmkmy5&#10;AFEhPCxmKciykP83lL9QSwMEFAAAAAgAh07iQHt5QVUcAgAAaAQAAA4AAABkcnMvZTJvRG9jLnht&#10;bK1UzY7TMBC+I/EOlu9s2kKXEjVdCUoREgKkBe6u4ySW/CfbbdIXgDfgxGXvPFefg8/uz7LLpQdy&#10;SD7b429mvpnJ/GbQimyFD9Kaio6vRpQIw20tTVvRr19Wz2aUhMhMzZQ1oqI7EejN4umTee9KMbGd&#10;VbXwBCQmlL2raBejK4si8E5oFq6sEwaHjfWaRSx9W9Se9WDXqpiMRtdFb33tvOUiBOwuD4f0yOgv&#10;IbRNI7lYWr7RwsQDqxeKRaQUOukCXeRom0bw+KlpgohEVRSZxvyGE+B1eheLOStbz1wn+TEEdkkI&#10;j3LSTBo4PVMtWWRk4+U/VFpyb4Nt4hW3ujgkkhVBFuPRI21uO+ZEzgVSB3cWPfw/Wv5x+9kTWVf0&#10;JSWGaRR8//PH/tfv/d13Mp4kfXoXSpjdOhjG4bUd0DWn/YDNlPbQeJ2+SIjgHOruzuqKIRKOzeeo&#10;/guccBy9Gs2uZ9PEUtxfdj7Ed8JqkkBFPYqXNWXbDyEeTE8myVewStYrqVRe+Hb9RnmyZSj0Kj9H&#10;9gdmypAe3qeTKeJg6N4GXQOoHRQIps3+HtwIlxGnwJYsdIcAMkPyz0oto/AZdYLVb01N4s5BZYPh&#10;oikYLWpKlMAsJpQtI5PqEktopwwkTBU6VCKhOKwH0CS4tvUOVcO0Q0/BvuELX+8NGigNwwn4E1if&#10;wMZ52Xa4lCudHaABc7WOw5I6/O91DuP+B7H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IhWq3c&#10;AAAACwEAAA8AAAAAAAAAAQAgAAAAIgAAAGRycy9kb3ducmV2LnhtbFBLAQIUABQAAAAIAIdO4kB7&#10;eUFVHAIAAGgEAAAOAAAAAAAAAAEAIAAAACsBAABkcnMvZTJvRG9jLnhtbFBLBQYAAAAABgAGAFkB&#10;AAC5BQAAAAA=&#10;">
                      <v:fill on="t" focussize="0,0"/>
                      <v:stroke color="#FFFFFF" joinstyle="miter"/>
                      <v:imagedata o:title=""/>
                      <o:lock v:ext="edit" aspectratio="f"/>
                      <v:textbox inset="0mm,0mm,0mm,0mm" style="layout-flow:vertical-ideographic;">
                        <w:txbxContent>
                          <w:p w14:paraId="32E00A42">
                            <w:pPr>
                              <w:snapToGrid w:val="0"/>
                              <w:rPr>
                                <w:rFonts w:ascii="宋体" w:cs="Times New Roman"/>
                                <w:sz w:val="28"/>
                                <w:szCs w:val="28"/>
                              </w:rPr>
                            </w:pPr>
                            <w:r>
                              <w:rPr>
                                <w:rFonts w:ascii="宋体" w:hAnsi="宋体" w:cs="宋体"/>
                                <w:sz w:val="28"/>
                                <w:szCs w:val="28"/>
                              </w:rPr>
                              <w:t>— 11 —</w:t>
                            </w:r>
                          </w:p>
                        </w:txbxContent>
                      </v:textbox>
                    </v:shape>
                  </w:pict>
                </mc:Fallback>
              </mc:AlternateContent>
            </w:r>
            <w:r>
              <w:rPr>
                <w:rFonts w:hint="eastAsia" w:ascii="方正仿宋_GBK" w:hAnsi="方正仿宋_GBK" w:eastAsia="方正仿宋_GBK" w:cs="方正仿宋_GBK"/>
                <w:sz w:val="24"/>
                <w:szCs w:val="24"/>
              </w:rPr>
              <w:t>二、紧扣宏观政策落地见效深化政务公开</w:t>
            </w:r>
          </w:p>
        </w:tc>
        <w:tc>
          <w:tcPr>
            <w:tcW w:w="1105" w:type="dxa"/>
            <w:vMerge w:val="restart"/>
            <w:tcMar>
              <w:top w:w="0" w:type="dxa"/>
              <w:left w:w="0" w:type="dxa"/>
              <w:bottom w:w="0" w:type="dxa"/>
              <w:right w:w="0" w:type="dxa"/>
            </w:tcMar>
            <w:vAlign w:val="center"/>
          </w:tcPr>
          <w:p w14:paraId="50FE8CD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（三）切实增强回应关切效果。</w:t>
            </w:r>
          </w:p>
        </w:tc>
        <w:tc>
          <w:tcPr>
            <w:tcW w:w="8066" w:type="dxa"/>
            <w:tcMar>
              <w:top w:w="0" w:type="dxa"/>
              <w:left w:w="0" w:type="dxa"/>
              <w:bottom w:w="0" w:type="dxa"/>
              <w:right w:w="0" w:type="dxa"/>
            </w:tcMar>
            <w:vAlign w:val="center"/>
          </w:tcPr>
          <w:p w14:paraId="155EA364">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密切关注涉及工资拖欠方面的舆情，并在同级宣传、网信部门的指导下，及时作出回应，助力防范化解重大风险。</w:t>
            </w:r>
          </w:p>
        </w:tc>
        <w:tc>
          <w:tcPr>
            <w:tcW w:w="1209" w:type="dxa"/>
            <w:vMerge w:val="restart"/>
            <w:tcMar>
              <w:top w:w="0" w:type="dxa"/>
              <w:left w:w="0" w:type="dxa"/>
              <w:bottom w:w="0" w:type="dxa"/>
              <w:right w:w="0" w:type="dxa"/>
            </w:tcMar>
            <w:vAlign w:val="center"/>
          </w:tcPr>
          <w:p w14:paraId="01174CD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区网信办</w:t>
            </w:r>
          </w:p>
        </w:tc>
        <w:tc>
          <w:tcPr>
            <w:tcW w:w="1523" w:type="dxa"/>
            <w:tcMar>
              <w:top w:w="0" w:type="dxa"/>
              <w:left w:w="0" w:type="dxa"/>
              <w:bottom w:w="0" w:type="dxa"/>
              <w:right w:w="0" w:type="dxa"/>
            </w:tcMar>
            <w:vAlign w:val="center"/>
          </w:tcPr>
          <w:p w14:paraId="56ABD23C">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区人力社保局、各镇街</w:t>
            </w:r>
          </w:p>
        </w:tc>
        <w:tc>
          <w:tcPr>
            <w:tcW w:w="890" w:type="dxa"/>
            <w:vMerge w:val="continue"/>
            <w:tcMar>
              <w:top w:w="0" w:type="dxa"/>
              <w:left w:w="0" w:type="dxa"/>
              <w:bottom w:w="0" w:type="dxa"/>
              <w:right w:w="0" w:type="dxa"/>
            </w:tcMar>
            <w:vAlign w:val="center"/>
          </w:tcPr>
          <w:p w14:paraId="10455FF7">
            <w:pPr>
              <w:snapToGrid w:val="0"/>
              <w:jc w:val="center"/>
              <w:rPr>
                <w:rFonts w:ascii="方正仿宋_GBK" w:hAnsi="方正仿宋_GBK" w:eastAsia="方正仿宋_GBK" w:cs="Times New Roman"/>
                <w:sz w:val="24"/>
                <w:szCs w:val="24"/>
              </w:rPr>
            </w:pPr>
          </w:p>
        </w:tc>
      </w:tr>
      <w:tr w14:paraId="4466147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0348587D">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EF2DC73">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5981A9E8">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密切关注涉及环境污染和生态破坏方面的舆情，并在同级宣传、网信部门的指导下，及时作出回应，助力防范化解重大风险。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70FC2751">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7C976D16">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区生态环境局、各镇街</w:t>
            </w:r>
          </w:p>
        </w:tc>
        <w:tc>
          <w:tcPr>
            <w:tcW w:w="890" w:type="dxa"/>
            <w:vMerge w:val="continue"/>
            <w:tcMar>
              <w:top w:w="0" w:type="dxa"/>
              <w:left w:w="0" w:type="dxa"/>
              <w:bottom w:w="0" w:type="dxa"/>
              <w:right w:w="0" w:type="dxa"/>
            </w:tcMar>
            <w:vAlign w:val="center"/>
          </w:tcPr>
          <w:p w14:paraId="243A6354">
            <w:pPr>
              <w:snapToGrid w:val="0"/>
              <w:jc w:val="center"/>
              <w:rPr>
                <w:rFonts w:ascii="方正仿宋_GBK" w:hAnsi="方正仿宋_GBK" w:eastAsia="方正仿宋_GBK" w:cs="Times New Roman"/>
                <w:sz w:val="24"/>
                <w:szCs w:val="24"/>
              </w:rPr>
            </w:pPr>
          </w:p>
        </w:tc>
      </w:tr>
      <w:tr w14:paraId="3271AA90">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7FBA2C14">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4A44B41">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12D39CC7">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密切关注涉及食品药品安全方面的舆情，并在同级宣传、网信部门的指导下，及时作出回应，助力防范化解重大风险。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72519DD5">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26F9C312">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区市场监管局、各镇街</w:t>
            </w:r>
          </w:p>
        </w:tc>
        <w:tc>
          <w:tcPr>
            <w:tcW w:w="890" w:type="dxa"/>
            <w:vMerge w:val="continue"/>
            <w:tcMar>
              <w:top w:w="0" w:type="dxa"/>
              <w:left w:w="0" w:type="dxa"/>
              <w:bottom w:w="0" w:type="dxa"/>
              <w:right w:w="0" w:type="dxa"/>
            </w:tcMar>
            <w:vAlign w:val="center"/>
          </w:tcPr>
          <w:p w14:paraId="3838FC8C">
            <w:pPr>
              <w:snapToGrid w:val="0"/>
              <w:jc w:val="center"/>
              <w:rPr>
                <w:rFonts w:ascii="方正仿宋_GBK" w:hAnsi="方正仿宋_GBK" w:eastAsia="方正仿宋_GBK" w:cs="Times New Roman"/>
                <w:sz w:val="24"/>
                <w:szCs w:val="24"/>
              </w:rPr>
            </w:pPr>
          </w:p>
        </w:tc>
      </w:tr>
      <w:tr w14:paraId="4B93B0F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2C1D1B13">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31000977">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341760A6">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密切关注涉及教育方面的舆情，并在同级宣传、网信部门的指导下，及时作出回应，助力防范化解重大风险。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5CA6E156">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68D6F8CF">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区教委</w:t>
            </w:r>
          </w:p>
        </w:tc>
        <w:tc>
          <w:tcPr>
            <w:tcW w:w="890" w:type="dxa"/>
            <w:vMerge w:val="continue"/>
            <w:tcMar>
              <w:top w:w="0" w:type="dxa"/>
              <w:left w:w="0" w:type="dxa"/>
              <w:bottom w:w="0" w:type="dxa"/>
              <w:right w:w="0" w:type="dxa"/>
            </w:tcMar>
            <w:vAlign w:val="center"/>
          </w:tcPr>
          <w:p w14:paraId="239A638B">
            <w:pPr>
              <w:snapToGrid w:val="0"/>
              <w:jc w:val="center"/>
              <w:rPr>
                <w:rFonts w:ascii="方正仿宋_GBK" w:hAnsi="方正仿宋_GBK" w:eastAsia="方正仿宋_GBK" w:cs="Times New Roman"/>
                <w:sz w:val="24"/>
                <w:szCs w:val="24"/>
              </w:rPr>
            </w:pPr>
          </w:p>
        </w:tc>
      </w:tr>
      <w:tr w14:paraId="271094F6">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314EE11C">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09551D4">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1F154751">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密切关注涉及养老、困难群众生活等方面的舆情，并在同级宣传、网信部门的指导下，及时作出回应，助力防范化解重大风险。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70093B26">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078164E3">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区民政局、各镇街</w:t>
            </w:r>
          </w:p>
        </w:tc>
        <w:tc>
          <w:tcPr>
            <w:tcW w:w="890" w:type="dxa"/>
            <w:vMerge w:val="continue"/>
            <w:tcMar>
              <w:top w:w="0" w:type="dxa"/>
              <w:left w:w="0" w:type="dxa"/>
              <w:bottom w:w="0" w:type="dxa"/>
              <w:right w:w="0" w:type="dxa"/>
            </w:tcMar>
            <w:vAlign w:val="center"/>
          </w:tcPr>
          <w:p w14:paraId="2B28B661">
            <w:pPr>
              <w:snapToGrid w:val="0"/>
              <w:jc w:val="center"/>
              <w:rPr>
                <w:rFonts w:ascii="方正仿宋_GBK" w:hAnsi="方正仿宋_GBK" w:eastAsia="方正仿宋_GBK" w:cs="Times New Roman"/>
                <w:sz w:val="24"/>
                <w:szCs w:val="24"/>
              </w:rPr>
            </w:pPr>
          </w:p>
        </w:tc>
      </w:tr>
      <w:tr w14:paraId="58FBE362">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077F9620">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666EB45">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56DD0294">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密切关注涉及安全生产方面的舆情，并在同级宣传、网信部门的指导下，及时作出回应，助力防范化解重大风险。</w:t>
            </w:r>
          </w:p>
        </w:tc>
        <w:tc>
          <w:tcPr>
            <w:tcW w:w="1209" w:type="dxa"/>
            <w:vMerge w:val="continue"/>
            <w:tcMar>
              <w:top w:w="0" w:type="dxa"/>
              <w:left w:w="0" w:type="dxa"/>
              <w:bottom w:w="0" w:type="dxa"/>
              <w:right w:w="0" w:type="dxa"/>
            </w:tcMar>
            <w:vAlign w:val="center"/>
          </w:tcPr>
          <w:p w14:paraId="43AE3184">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6F5E1A60">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区应急局、各镇街</w:t>
            </w:r>
          </w:p>
        </w:tc>
        <w:tc>
          <w:tcPr>
            <w:tcW w:w="890" w:type="dxa"/>
            <w:vMerge w:val="continue"/>
            <w:tcMar>
              <w:top w:w="0" w:type="dxa"/>
              <w:left w:w="0" w:type="dxa"/>
              <w:bottom w:w="0" w:type="dxa"/>
              <w:right w:w="0" w:type="dxa"/>
            </w:tcMar>
            <w:vAlign w:val="center"/>
          </w:tcPr>
          <w:p w14:paraId="66DD5C34">
            <w:pPr>
              <w:snapToGrid w:val="0"/>
              <w:jc w:val="center"/>
              <w:rPr>
                <w:rFonts w:ascii="方正仿宋_GBK" w:hAnsi="方正仿宋_GBK" w:eastAsia="方正仿宋_GBK" w:cs="Times New Roman"/>
                <w:sz w:val="24"/>
                <w:szCs w:val="24"/>
              </w:rPr>
            </w:pPr>
          </w:p>
        </w:tc>
      </w:tr>
      <w:tr w14:paraId="129AED6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5E40EEFE">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753D4D35">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E56AB58">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加强公开信箱、网民留言等线上政民互动渠道管理，建立网民留言的审看、处理和反馈等机制，做到件件有落实、事事有回音。定期梳理并公开有一定代表性的网民留言，列清留言摘要、受理日期、答复日期、答复部门、答复内容等。</w:t>
            </w:r>
          </w:p>
          <w:p w14:paraId="7DD1BAD9">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．加强线下政民互动渠道建设管理，公开本机关的对外联系电话（公开路径：政府网站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机关简介</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联系我们），并在工作时间保持畅通。建立来电登记台账，能当场答复的当场予以答复，不能当场答复的，必须在</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个工作日内主动回复来电人。政府信息公开工作主管部门要定期对各行政机关公开的对外联系电话进行检查，确保线下政民互动渠道畅通。</w:t>
            </w:r>
          </w:p>
        </w:tc>
        <w:tc>
          <w:tcPr>
            <w:tcW w:w="1209" w:type="dxa"/>
            <w:tcMar>
              <w:top w:w="0" w:type="dxa"/>
              <w:left w:w="0" w:type="dxa"/>
              <w:bottom w:w="0" w:type="dxa"/>
              <w:right w:w="0" w:type="dxa"/>
            </w:tcMar>
            <w:vAlign w:val="center"/>
          </w:tcPr>
          <w:p w14:paraId="4266B94A">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08AD9D07">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36E3D8FA">
            <w:pPr>
              <w:snapToGrid w:val="0"/>
              <w:jc w:val="center"/>
              <w:rPr>
                <w:rFonts w:ascii="方正仿宋_GBK" w:hAnsi="方正仿宋_GBK" w:eastAsia="方正仿宋_GBK" w:cs="Times New Roman"/>
                <w:sz w:val="24"/>
                <w:szCs w:val="24"/>
              </w:rPr>
            </w:pPr>
          </w:p>
        </w:tc>
      </w:tr>
      <w:tr w14:paraId="3C4C24A9">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6E68B145">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6432" behindDoc="0" locked="0" layoutInCell="1" allowOverlap="1">
                      <wp:simplePos x="0" y="0"/>
                      <wp:positionH relativeFrom="column">
                        <wp:posOffset>-478155</wp:posOffset>
                      </wp:positionH>
                      <wp:positionV relativeFrom="paragraph">
                        <wp:posOffset>-417830</wp:posOffset>
                      </wp:positionV>
                      <wp:extent cx="320040" cy="908685"/>
                      <wp:effectExtent l="4445" t="4445" r="5715" b="13970"/>
                      <wp:wrapNone/>
                      <wp:docPr id="8" name="文本框 13"/>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A149A82">
                                  <w:pPr>
                                    <w:snapToGrid w:val="0"/>
                                    <w:rPr>
                                      <w:rFonts w:ascii="宋体" w:cs="Times New Roman"/>
                                      <w:sz w:val="28"/>
                                      <w:szCs w:val="28"/>
                                    </w:rPr>
                                  </w:pPr>
                                  <w:r>
                                    <w:rPr>
                                      <w:rFonts w:ascii="宋体" w:hAnsi="宋体" w:cs="宋体"/>
                                      <w:sz w:val="28"/>
                                      <w:szCs w:val="28"/>
                                    </w:rPr>
                                    <w:t>— 12 —</w:t>
                                  </w:r>
                                </w:p>
                              </w:txbxContent>
                            </wps:txbx>
                            <wps:bodyPr vert="eaVert" lIns="0" tIns="0" rIns="0" bIns="0" upright="1"/>
                          </wps:wsp>
                        </a:graphicData>
                      </a:graphic>
                    </wp:anchor>
                  </w:drawing>
                </mc:Choice>
                <mc:Fallback>
                  <w:pict>
                    <v:shape id="文本框 13" o:spid="_x0000_s1026" o:spt="202" type="#_x0000_t202" style="position:absolute;left:0pt;margin-left:-37.65pt;margin-top:-32.9pt;height:71.55pt;width:25.2pt;z-index:251666432;mso-width-relative:page;mso-height-relative:page;" fillcolor="#FFFFFF" filled="t" stroked="t" coordsize="21600,21600" o:gfxdata="UEsDBAoAAAAAAIdO4kAAAAAAAAAAAAAAAAAEAAAAZHJzL1BLAwQUAAAACACHTuJAxA2TmdwAAAAK&#10;AQAADwAAAGRycy9kb3ducmV2LnhtbE2Py07DMBBF90j9B2uQukudPpJAiNNFpUrtggWlQrBz4iGJ&#10;iMdR7D7o1zOsYDejObpzbrG+2l6ccfSdIwXzWQwCqXamo0bB8XUbPYDwQZPRvSNU8I0e1uXkrtC5&#10;cRd6wfMhNIJDyOdaQRvCkEvp6xat9jM3IPHt041WB17HRppRXzjc9nIRx6m0uiP+0OoBNy3WX4eT&#10;VbBpPobE7XchvYW37lg9v9/MfqfU9H4eP4EIeA1/MPzqszqU7FS5ExkvegVRliwZ5SFNuAMT0WL1&#10;CKJSkGVLkGUh/1cofwBQSwMEFAAAAAgAh07iQCQw2D4cAgAAaAQAAA4AAABkcnMvZTJvRG9jLnht&#10;bK1UzY7TMBC+I/EOlu80bZeulqjpSlCKkBAgLXB3HSex5D/Zbpu+ALwBJy7c97n6HHx22i67XHog&#10;h2Rsj7+Z+b6ZzG97rchW+CCtqehkNKZEGG5radqKfv2yenFDSYjM1ExZIyq6F4HeLp4/m+9cKaa2&#10;s6oWngDEhHLnKtrF6MqiCLwTmoWRdcLgsLFes4ilb4vasx3QtSqm4/F1sbO+dt5yEQJ2l8MhPSL6&#10;SwBt00gulpZvtDBxQPVCsYiSQiddoIucbdMIHj81TRCRqIqi0pjfCAJ7nd7FYs7K1jPXSX5MgV2S&#10;wpOaNJMGQc9QSxYZ2Xj5D5SW3NtgmzjiVhdDIZkRVDEZP+HmrmNO5FpAdXBn0sP/g+Uft589kXVF&#10;IbthGoIffv44/Lo//P5OJleJn50LJdzuHBxj/9r26JrTfsBmKrtvvE5fFERwDnb3Z3ZFHwnH5hXU&#10;f4kTjqNX45vrm1lCKR4uOx/iO2E1SUZFPcTLnLLthxAH15NLihWskvVKKpUXvl2/UZ5sGYRe5eeI&#10;/shNGbJD9Nl0hjwYurdB18DUDgwE0+Z4j26Ey4BTYksWuiGBjJDis1LLKHy2OsHqt6Ymce/AssFw&#10;0ZSMFjUlSmAWk5U9I5PqEk9wpwwoTAoNSiQr9useMMlc23oP1TDt4FOwb/gi1nuDBkrDcDL8yVif&#10;jI3zsu1wKSudA6ABs1rHYUkd/vc6p/Hwg1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QNk5nc&#10;AAAACgEAAA8AAAAAAAAAAQAgAAAAIgAAAGRycy9kb3ducmV2LnhtbFBLAQIUABQAAAAIAIdO4kAk&#10;MNg+HAIAAGgEAAAOAAAAAAAAAAEAIAAAACsBAABkcnMvZTJvRG9jLnhtbFBLBQYAAAAABgAGAFkB&#10;AAC5BQAAAAA=&#10;">
                      <v:fill on="t" focussize="0,0"/>
                      <v:stroke color="#FFFFFF" joinstyle="miter"/>
                      <v:imagedata o:title=""/>
                      <o:lock v:ext="edit" aspectratio="f"/>
                      <v:textbox inset="0mm,0mm,0mm,0mm" style="layout-flow:vertical-ideographic;">
                        <w:txbxContent>
                          <w:p w14:paraId="4A149A82">
                            <w:pPr>
                              <w:snapToGrid w:val="0"/>
                              <w:rPr>
                                <w:rFonts w:ascii="宋体" w:cs="Times New Roman"/>
                                <w:sz w:val="28"/>
                                <w:szCs w:val="28"/>
                              </w:rPr>
                            </w:pPr>
                            <w:r>
                              <w:rPr>
                                <w:rFonts w:ascii="宋体" w:hAnsi="宋体" w:cs="宋体"/>
                                <w:sz w:val="28"/>
                                <w:szCs w:val="28"/>
                              </w:rPr>
                              <w:t>— 12 —</w:t>
                            </w:r>
                          </w:p>
                        </w:txbxContent>
                      </v:textbox>
                    </v:shape>
                  </w:pict>
                </mc:Fallback>
              </mc:AlternateContent>
            </w:r>
          </w:p>
          <w:p w14:paraId="0697E126">
            <w:pPr>
              <w:snapToGrid w:val="0"/>
              <w:rPr>
                <w:rFonts w:ascii="方正仿宋_GBK" w:hAnsi="方正仿宋_GBK" w:eastAsia="方正仿宋_GBK" w:cs="Times New Roman"/>
                <w:sz w:val="24"/>
                <w:szCs w:val="24"/>
              </w:rPr>
            </w:pPr>
          </w:p>
          <w:p w14:paraId="5146B081">
            <w:pPr>
              <w:snapToGrid w:val="0"/>
              <w:rPr>
                <w:rFonts w:ascii="方正仿宋_GBK" w:hAnsi="方正仿宋_GBK" w:eastAsia="方正仿宋_GBK" w:cs="Times New Roman"/>
                <w:sz w:val="24"/>
                <w:szCs w:val="24"/>
              </w:rPr>
            </w:pPr>
          </w:p>
          <w:p w14:paraId="5E8191E0">
            <w:pPr>
              <w:snapToGrid w:val="0"/>
              <w:rPr>
                <w:rFonts w:ascii="方正仿宋_GBK" w:hAnsi="方正仿宋_GBK" w:eastAsia="方正仿宋_GBK" w:cs="Times New Roman"/>
                <w:sz w:val="24"/>
                <w:szCs w:val="24"/>
              </w:rPr>
            </w:pPr>
          </w:p>
          <w:p w14:paraId="7D5275BD">
            <w:pPr>
              <w:snapToGrid w:val="0"/>
              <w:rPr>
                <w:rFonts w:ascii="方正仿宋_GBK" w:hAnsi="方正仿宋_GBK" w:eastAsia="方正仿宋_GBK" w:cs="Times New Roman"/>
                <w:sz w:val="24"/>
                <w:szCs w:val="24"/>
              </w:rPr>
            </w:pPr>
          </w:p>
          <w:p w14:paraId="0BF8E699">
            <w:pPr>
              <w:snapToGrid w:val="0"/>
              <w:rPr>
                <w:rFonts w:ascii="方正仿宋_GBK" w:hAnsi="方正仿宋_GBK" w:eastAsia="方正仿宋_GBK" w:cs="Times New Roman"/>
                <w:sz w:val="24"/>
                <w:szCs w:val="24"/>
              </w:rPr>
            </w:pPr>
          </w:p>
          <w:p w14:paraId="7A28FE35">
            <w:pPr>
              <w:snapToGrid w:val="0"/>
              <w:rPr>
                <w:rFonts w:ascii="方正仿宋_GBK" w:hAnsi="方正仿宋_GBK" w:eastAsia="方正仿宋_GBK" w:cs="Times New Roman"/>
                <w:sz w:val="24"/>
                <w:szCs w:val="24"/>
              </w:rPr>
            </w:pPr>
          </w:p>
          <w:p w14:paraId="2E4212D5">
            <w:pPr>
              <w:snapToGrid w:val="0"/>
              <w:rPr>
                <w:rFonts w:ascii="方正仿宋_GBK" w:hAnsi="方正仿宋_GBK" w:eastAsia="方正仿宋_GBK" w:cs="Times New Roman"/>
                <w:sz w:val="24"/>
                <w:szCs w:val="24"/>
              </w:rPr>
            </w:pPr>
          </w:p>
          <w:p w14:paraId="072AD1B9">
            <w:pPr>
              <w:snapToGrid w:val="0"/>
              <w:rPr>
                <w:rFonts w:ascii="方正仿宋_GBK" w:hAnsi="方正仿宋_GBK" w:eastAsia="方正仿宋_GBK" w:cs="Times New Roman"/>
                <w:sz w:val="24"/>
                <w:szCs w:val="24"/>
              </w:rPr>
            </w:pPr>
          </w:p>
          <w:p w14:paraId="0391AEF9">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三、紧扣强基础抓基层深化政务公开</w:t>
            </w:r>
          </w:p>
        </w:tc>
        <w:tc>
          <w:tcPr>
            <w:tcW w:w="1105" w:type="dxa"/>
            <w:vMerge w:val="restart"/>
            <w:tcMar>
              <w:top w:w="0" w:type="dxa"/>
              <w:left w:w="0" w:type="dxa"/>
              <w:bottom w:w="0" w:type="dxa"/>
              <w:right w:w="0" w:type="dxa"/>
            </w:tcMar>
            <w:vAlign w:val="center"/>
          </w:tcPr>
          <w:p w14:paraId="6C493D71">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（一）做好政务信息管理工作。</w:t>
            </w:r>
          </w:p>
        </w:tc>
        <w:tc>
          <w:tcPr>
            <w:tcW w:w="8066" w:type="dxa"/>
            <w:tcMar>
              <w:top w:w="0" w:type="dxa"/>
              <w:left w:w="0" w:type="dxa"/>
              <w:bottom w:w="0" w:type="dxa"/>
              <w:right w:w="0" w:type="dxa"/>
            </w:tcMar>
            <w:vAlign w:val="center"/>
          </w:tcPr>
          <w:p w14:paraId="41AFD8E9">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．对照中国政府法制信息网行政法规库公布的行政法规国家正式版本，以适当方式及时更新区政府门户网站上的行政法规文本〔公开路径：</w:t>
            </w:r>
            <w:r>
              <w:rPr>
                <w:rFonts w:ascii="方正仿宋_GBK" w:hAnsi="方正仿宋_GBK" w:eastAsia="方正仿宋_GBK" w:cs="方正仿宋_GBK"/>
                <w:sz w:val="24"/>
                <w:szCs w:val="24"/>
              </w:rPr>
              <w:t xml:space="preserve">1. </w:t>
            </w:r>
            <w:r>
              <w:rPr>
                <w:rFonts w:hint="eastAsia" w:ascii="方正仿宋_GBK" w:hAnsi="方正仿宋_GBK" w:eastAsia="方正仿宋_GBK" w:cs="方正仿宋_GBK"/>
                <w:sz w:val="24"/>
                <w:szCs w:val="24"/>
              </w:rPr>
              <w:t>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行政法规）。</w:t>
            </w:r>
          </w:p>
          <w:p w14:paraId="0D712B0E">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．对照市司法局网站集中公布的市政府规章正式版本，在</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月底前以适当方式更新政府门户网站上的市政府规章文本（公开路径：政府网站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市政府规章）。</w:t>
            </w:r>
          </w:p>
        </w:tc>
        <w:tc>
          <w:tcPr>
            <w:tcW w:w="1209" w:type="dxa"/>
            <w:tcMar>
              <w:top w:w="0" w:type="dxa"/>
              <w:left w:w="0" w:type="dxa"/>
              <w:bottom w:w="0" w:type="dxa"/>
              <w:right w:w="0" w:type="dxa"/>
            </w:tcMar>
            <w:vAlign w:val="center"/>
          </w:tcPr>
          <w:p w14:paraId="0E3CB500">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7E04164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区司法局</w:t>
            </w:r>
          </w:p>
        </w:tc>
        <w:tc>
          <w:tcPr>
            <w:tcW w:w="890" w:type="dxa"/>
            <w:tcMar>
              <w:top w:w="0" w:type="dxa"/>
              <w:left w:w="0" w:type="dxa"/>
              <w:bottom w:w="0" w:type="dxa"/>
              <w:right w:w="0" w:type="dxa"/>
            </w:tcMar>
            <w:vAlign w:val="center"/>
          </w:tcPr>
          <w:p w14:paraId="2356F581">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797A3138">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15AA6998">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46C25E69">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52A28804">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．对照中国政府法制信息网行政法规库公布的行政法规国家正式版本，以适当方式及时更新本部门、本镇街执行的行政法规文本（公开路径：部门（镇街）网页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行政法规）。</w:t>
            </w:r>
          </w:p>
          <w:p w14:paraId="388F6EC9">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．对照国务院部门集中公布的本部门现行有效的国务院部门规章正式版本，以适当方式更新本部门执行的国务院部门规章文本（公开路径：【部门（镇街）网页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国务院部门规章】。</w:t>
            </w:r>
          </w:p>
          <w:p w14:paraId="1283F311">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．对照市司法局网站集中公布的市政府规章正式版本，在</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月底前以适当方式更新本部门（镇街）执行的市政府规章文本【公开路径：部门（镇街）网页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市政府规章】。</w:t>
            </w:r>
          </w:p>
          <w:p w14:paraId="01ADB769">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4. </w:t>
            </w:r>
            <w:r>
              <w:rPr>
                <w:rFonts w:hint="eastAsia" w:ascii="方正仿宋_GBK" w:hAnsi="方正仿宋_GBK" w:eastAsia="方正仿宋_GBK" w:cs="方正仿宋_GBK"/>
                <w:sz w:val="24"/>
                <w:szCs w:val="24"/>
              </w:rPr>
              <w:t>对照区司法局网页集中公布的行政法规、规章、规范性文件，在</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月底前以适当方式更新本部门（镇街）执行的全国、全市、全区各级行政法规、规章、规范性文件【公开路径：部门（镇街）网页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区政府规范性文件】</w:t>
            </w:r>
          </w:p>
        </w:tc>
        <w:tc>
          <w:tcPr>
            <w:tcW w:w="1209" w:type="dxa"/>
            <w:tcMar>
              <w:top w:w="0" w:type="dxa"/>
              <w:left w:w="0" w:type="dxa"/>
              <w:bottom w:w="0" w:type="dxa"/>
              <w:right w:w="0" w:type="dxa"/>
            </w:tcMar>
            <w:vAlign w:val="center"/>
          </w:tcPr>
          <w:p w14:paraId="6AD68C79">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区政府部门（镇街）网页管理单位</w:t>
            </w:r>
          </w:p>
        </w:tc>
        <w:tc>
          <w:tcPr>
            <w:tcW w:w="1523" w:type="dxa"/>
            <w:tcMar>
              <w:top w:w="0" w:type="dxa"/>
              <w:left w:w="0" w:type="dxa"/>
              <w:bottom w:w="0" w:type="dxa"/>
              <w:right w:w="0" w:type="dxa"/>
            </w:tcMar>
            <w:vAlign w:val="center"/>
          </w:tcPr>
          <w:p w14:paraId="0C631B2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区政府部门（镇街）网页管理单位</w:t>
            </w:r>
          </w:p>
        </w:tc>
        <w:tc>
          <w:tcPr>
            <w:tcW w:w="890" w:type="dxa"/>
            <w:tcMar>
              <w:top w:w="0" w:type="dxa"/>
              <w:left w:w="0" w:type="dxa"/>
              <w:bottom w:w="0" w:type="dxa"/>
              <w:right w:w="0" w:type="dxa"/>
            </w:tcMar>
            <w:vAlign w:val="center"/>
          </w:tcPr>
          <w:p w14:paraId="3E7AD535">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6A94BD49">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361AB155">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407D3CA2">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1A23DC60">
            <w:pPr>
              <w:snapToGrid w:val="0"/>
              <w:spacing w:line="34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1. </w:t>
            </w:r>
            <w:r>
              <w:rPr>
                <w:rFonts w:hint="eastAsia" w:ascii="方正仿宋_GBK" w:hAnsi="方正仿宋_GBK" w:eastAsia="方正仿宋_GBK" w:cs="方正仿宋_GBK"/>
                <w:sz w:val="24"/>
                <w:szCs w:val="24"/>
              </w:rPr>
              <w:t>结合中国政府法制信息网、市司法局网站，由司法局全面梳理全国、全市、全区各级行政法规、规章、规范性文件，在司法局网页进行公开（公开路径：司法局网页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行政法规、规章、规范性文件）</w:t>
            </w:r>
          </w:p>
        </w:tc>
        <w:tc>
          <w:tcPr>
            <w:tcW w:w="1209" w:type="dxa"/>
            <w:tcMar>
              <w:top w:w="0" w:type="dxa"/>
              <w:left w:w="0" w:type="dxa"/>
              <w:bottom w:w="0" w:type="dxa"/>
              <w:right w:w="0" w:type="dxa"/>
            </w:tcMar>
            <w:vAlign w:val="center"/>
          </w:tcPr>
          <w:p w14:paraId="3886EA32">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区司法局</w:t>
            </w:r>
          </w:p>
        </w:tc>
        <w:tc>
          <w:tcPr>
            <w:tcW w:w="1523" w:type="dxa"/>
            <w:tcMar>
              <w:top w:w="0" w:type="dxa"/>
              <w:left w:w="0" w:type="dxa"/>
              <w:bottom w:w="0" w:type="dxa"/>
              <w:right w:w="0" w:type="dxa"/>
            </w:tcMar>
            <w:vAlign w:val="center"/>
          </w:tcPr>
          <w:p w14:paraId="0750F1BE">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区司法局</w:t>
            </w:r>
          </w:p>
        </w:tc>
        <w:tc>
          <w:tcPr>
            <w:tcW w:w="890" w:type="dxa"/>
            <w:tcMar>
              <w:top w:w="0" w:type="dxa"/>
              <w:left w:w="0" w:type="dxa"/>
              <w:bottom w:w="0" w:type="dxa"/>
              <w:right w:w="0" w:type="dxa"/>
            </w:tcMar>
            <w:vAlign w:val="center"/>
          </w:tcPr>
          <w:p w14:paraId="57C6542F">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7F6116D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797B6D07">
            <w:pPr>
              <w:snapToGrid w:val="0"/>
              <w:rPr>
                <w:rFonts w:ascii="方正仿宋_GBK" w:hAnsi="方正仿宋_GBK" w:eastAsia="方正仿宋_GBK" w:cs="方正仿宋_GBK"/>
                <w:sz w:val="24"/>
                <w:szCs w:val="24"/>
              </w:rPr>
            </w:pPr>
          </w:p>
          <w:p w14:paraId="4F0ABEC0">
            <w:pPr>
              <w:snapToGrid w:val="0"/>
              <w:rPr>
                <w:rFonts w:ascii="方正仿宋_GBK" w:hAnsi="方正仿宋_GBK" w:eastAsia="方正仿宋_GBK" w:cs="方正仿宋_GBK"/>
                <w:sz w:val="24"/>
                <w:szCs w:val="24"/>
              </w:rPr>
            </w:pPr>
          </w:p>
          <w:p w14:paraId="743CE528">
            <w:pPr>
              <w:snapToGrid w:val="0"/>
              <w:rPr>
                <w:rFonts w:ascii="方正仿宋_GBK" w:hAnsi="方正仿宋_GBK" w:eastAsia="方正仿宋_GBK" w:cs="方正仿宋_GBK"/>
                <w:sz w:val="24"/>
                <w:szCs w:val="24"/>
              </w:rPr>
            </w:pPr>
          </w:p>
          <w:p w14:paraId="3D4F8F11">
            <w:pPr>
              <w:snapToGrid w:val="0"/>
              <w:rPr>
                <w:rFonts w:ascii="方正仿宋_GBK" w:hAnsi="方正仿宋_GBK" w:eastAsia="方正仿宋_GBK" w:cs="方正仿宋_GBK"/>
                <w:sz w:val="24"/>
                <w:szCs w:val="24"/>
              </w:rPr>
            </w:pPr>
          </w:p>
          <w:p w14:paraId="2B0BC210">
            <w:pPr>
              <w:snapToGrid w:val="0"/>
              <w:rPr>
                <w:rFonts w:ascii="方正仿宋_GBK" w:hAnsi="方正仿宋_GBK" w:eastAsia="方正仿宋_GBK" w:cs="方正仿宋_GBK"/>
                <w:sz w:val="24"/>
                <w:szCs w:val="24"/>
              </w:rPr>
            </w:pPr>
          </w:p>
          <w:p w14:paraId="2C457BFC">
            <w:pPr>
              <w:snapToGrid w:val="0"/>
              <w:rPr>
                <w:rFonts w:ascii="方正仿宋_GBK" w:hAnsi="方正仿宋_GBK" w:eastAsia="方正仿宋_GBK" w:cs="方正仿宋_GBK"/>
                <w:sz w:val="24"/>
                <w:szCs w:val="24"/>
              </w:rPr>
            </w:pPr>
          </w:p>
          <w:p w14:paraId="4A3F2CFF">
            <w:pPr>
              <w:snapToGrid w:val="0"/>
              <w:rPr>
                <w:rFonts w:ascii="方正仿宋_GBK" w:hAnsi="方正仿宋_GBK" w:eastAsia="方正仿宋_GBK" w:cs="方正仿宋_GBK"/>
                <w:sz w:val="24"/>
                <w:szCs w:val="24"/>
              </w:rPr>
            </w:pPr>
          </w:p>
          <w:p w14:paraId="28168241">
            <w:pPr>
              <w:snapToGrid w:val="0"/>
              <w:rPr>
                <w:rFonts w:ascii="方正仿宋_GBK" w:hAnsi="方正仿宋_GBK" w:eastAsia="方正仿宋_GBK" w:cs="方正仿宋_GBK"/>
                <w:sz w:val="24"/>
                <w:szCs w:val="24"/>
              </w:rPr>
            </w:pPr>
          </w:p>
          <w:p w14:paraId="3823D8C8">
            <w:pPr>
              <w:snapToGrid w:val="0"/>
              <w:rPr>
                <w:rFonts w:ascii="方正仿宋_GBK" w:hAnsi="方正仿宋_GBK" w:eastAsia="方正仿宋_GBK" w:cs="方正仿宋_GBK"/>
                <w:sz w:val="24"/>
                <w:szCs w:val="24"/>
              </w:rPr>
            </w:pPr>
          </w:p>
          <w:p w14:paraId="291D2B79">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76672" behindDoc="0" locked="0" layoutInCell="1" allowOverlap="1">
                      <wp:simplePos x="0" y="0"/>
                      <wp:positionH relativeFrom="column">
                        <wp:posOffset>-553085</wp:posOffset>
                      </wp:positionH>
                      <wp:positionV relativeFrom="paragraph">
                        <wp:posOffset>2053590</wp:posOffset>
                      </wp:positionV>
                      <wp:extent cx="307975" cy="908685"/>
                      <wp:effectExtent l="4445" t="4445" r="5080" b="13970"/>
                      <wp:wrapNone/>
                      <wp:docPr id="19" name="文本框 14"/>
                      <wp:cNvGraphicFramePr/>
                      <a:graphic xmlns:a="http://schemas.openxmlformats.org/drawingml/2006/main">
                        <a:graphicData uri="http://schemas.microsoft.com/office/word/2010/wordprocessingShape">
                          <wps:wsp>
                            <wps:cNvSpPr txBox="1"/>
                            <wps:spPr>
                              <a:xfrm>
                                <a:off x="0" y="0"/>
                                <a:ext cx="307975"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D739C95">
                                  <w:pPr>
                                    <w:snapToGrid w:val="0"/>
                                    <w:rPr>
                                      <w:rFonts w:ascii="宋体" w:cs="Times New Roman"/>
                                      <w:sz w:val="28"/>
                                      <w:szCs w:val="28"/>
                                    </w:rPr>
                                  </w:pPr>
                                  <w:r>
                                    <w:rPr>
                                      <w:rFonts w:ascii="宋体" w:hAnsi="宋体" w:cs="宋体"/>
                                      <w:sz w:val="28"/>
                                      <w:szCs w:val="28"/>
                                    </w:rPr>
                                    <w:t>— 13 —</w:t>
                                  </w:r>
                                </w:p>
                              </w:txbxContent>
                            </wps:txbx>
                            <wps:bodyPr vert="eaVert" lIns="0" tIns="0" rIns="0" bIns="0" upright="1"/>
                          </wps:wsp>
                        </a:graphicData>
                      </a:graphic>
                    </wp:anchor>
                  </w:drawing>
                </mc:Choice>
                <mc:Fallback>
                  <w:pict>
                    <v:shape id="文本框 14" o:spid="_x0000_s1026" o:spt="202" type="#_x0000_t202" style="position:absolute;left:0pt;margin-left:-43.55pt;margin-top:161.7pt;height:71.55pt;width:24.25pt;z-index:251676672;mso-width-relative:page;mso-height-relative:page;" fillcolor="#FFFFFF" filled="t" stroked="t" coordsize="21600,21600" o:gfxdata="UEsDBAoAAAAAAIdO4kAAAAAAAAAAAAAAAAAEAAAAZHJzL1BLAwQUAAAACACHTuJAP7wOQ90AAAAL&#10;AQAADwAAAGRycy9kb3ducmV2LnhtbE2Py07DMBBF90j8gzVI7FInTRuikEkXlZDaBYuWCsHOiYck&#10;Ih5HsfugX49ZleXoHt17plxdzCBONLneMkIyi0EQN1b33CIc3l6iHITzirUaLBPCDzlYVfd3pSq0&#10;PfOOTnvfilDCrlAInfdjIaVrOjLKzexIHLIvOxnlwzm1Uk/qHMrNIOdxnEmjeg4LnRpp3VHzvT8a&#10;hHX7OS7tduOzq3/vD/Xrx1VvN4iPD0n8DMLTxd9g+NMP6lAFp9oeWTsxIET5UxJQhHSeLkAEIkrz&#10;DESNsMiyJciqlP9/qH4BUEsDBBQAAAAIAIdO4kATcp4EHgIAAGkEAAAOAAAAZHJzL2Uyb0RvYy54&#10;bWytVM2O0zAQviPxDpbvNGmhu23UdCUoRUgIkBb27jqTxJL/ZLtN+gLwBpy47J3n6nMwdtruD5ce&#10;yCH5bI+/mflmJoubXkmyA+eF0SUdj3JKQHNTCd2U9Pu39asZJT4wXTFpNJR0D57eLF++WHS2gIlp&#10;jazAESTRvuhsSdsQbJFlnregmB8ZCxoPa+MUC7h0TVY51iG7ktkkz6+yzrjKOsPBe9xdDYf0yOgu&#10;ITR1LTisDN8q0GFgdSBZwJR8K6ynyxRtXQMPX+raQyCypJhpSG90gngT39lywYrGMdsKfgyBXRLC&#10;s5wUExqdnqlWLDCydeIfKiW4M97UYcSNyoZEkiKYxTh/ps1tyyykXFBqb8+i+/9Hyz/vvjoiKuyE&#10;OSWaKaz44dfPw+8/h/sfZPwmCtRZX6DdrUXL0L81PRqf9j1uxrz72qn4xYwInqO8+7O80AfCcfN1&#10;fj2/nlLC8Wiez65m08iSPVy2zocPYBSJoKQOq5dEZbtPPgymJ5PoyxspqrWQMi1cs3knHdkxrPQ6&#10;PUf2J2ZSkw69TycxDobtW2PbIFQWJfC6Sf6e3PCXEcfAVsy3QwCJIfpnhRIBXEItsOq9rkjYW1RZ&#10;43TRGIyCihIJOIwRJcvAhLzEErWTGiWMFRoqEVHoNz3SRLgx1R6rhuOOegK7wy/6+qixg+I0nIA7&#10;gc0JbK0TTYuXUqWTA+zAVK3jtMQWf7xOYTz8IZ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kPdAAAACwEAAA8AAAAAAAAAAQAgAAAAIgAAAGRycy9kb3ducmV2LnhtbFBLAQIUABQAAAAIAIdO&#10;4kATcp4EHgIAAGkEAAAOAAAAAAAAAAEAIAAAACwBAABkcnMvZTJvRG9jLnhtbFBLBQYAAAAABgAG&#10;AFkBAAC8BQAAAAA=&#10;">
                      <v:fill on="t" focussize="0,0"/>
                      <v:stroke color="#FFFFFF" joinstyle="miter"/>
                      <v:imagedata o:title=""/>
                      <o:lock v:ext="edit" aspectratio="f"/>
                      <v:textbox inset="0mm,0mm,0mm,0mm" style="layout-flow:vertical-ideographic;">
                        <w:txbxContent>
                          <w:p w14:paraId="5D739C95">
                            <w:pPr>
                              <w:snapToGrid w:val="0"/>
                              <w:rPr>
                                <w:rFonts w:ascii="宋体" w:cs="Times New Roman"/>
                                <w:sz w:val="28"/>
                                <w:szCs w:val="28"/>
                              </w:rPr>
                            </w:pPr>
                            <w:r>
                              <w:rPr>
                                <w:rFonts w:ascii="宋体" w:hAnsi="宋体" w:cs="宋体"/>
                                <w:sz w:val="28"/>
                                <w:szCs w:val="28"/>
                              </w:rPr>
                              <w:t>— 13 —</w:t>
                            </w:r>
                          </w:p>
                        </w:txbxContent>
                      </v:textbox>
                    </v:shape>
                  </w:pict>
                </mc:Fallback>
              </mc:AlternateContent>
            </w:r>
            <w:r>
              <w:rPr>
                <w:rFonts w:hint="eastAsia" w:ascii="方正仿宋_GBK" w:hAnsi="方正仿宋_GBK" w:eastAsia="方正仿宋_GBK" w:cs="方正仿宋_GBK"/>
                <w:sz w:val="24"/>
                <w:szCs w:val="24"/>
              </w:rPr>
              <w:t>三、紧扣强基础抓基层深化政务公开</w:t>
            </w:r>
          </w:p>
        </w:tc>
        <w:tc>
          <w:tcPr>
            <w:tcW w:w="1105" w:type="dxa"/>
            <w:vMerge w:val="restart"/>
            <w:tcMar>
              <w:top w:w="0" w:type="dxa"/>
              <w:left w:w="0" w:type="dxa"/>
              <w:bottom w:w="0" w:type="dxa"/>
              <w:right w:w="0" w:type="dxa"/>
            </w:tcMar>
            <w:vAlign w:val="center"/>
          </w:tcPr>
          <w:p w14:paraId="3E96E08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（一）做好政务信息管理工作。</w:t>
            </w:r>
          </w:p>
        </w:tc>
        <w:tc>
          <w:tcPr>
            <w:tcW w:w="8066" w:type="dxa"/>
            <w:tcMar>
              <w:top w:w="0" w:type="dxa"/>
              <w:left w:w="0" w:type="dxa"/>
              <w:bottom w:w="0" w:type="dxa"/>
              <w:right w:w="0" w:type="dxa"/>
            </w:tcMar>
            <w:vAlign w:val="center"/>
          </w:tcPr>
          <w:p w14:paraId="3DE4CC97">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．参照司法部做法，全面清理现行有效的区级规范性文件，于</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w:t>
            </w:r>
            <w:r>
              <w:rPr>
                <w:rFonts w:ascii="方正仿宋_GBK" w:hAnsi="方正仿宋_GBK" w:eastAsia="方正仿宋_GBK" w:cs="方正仿宋_GBK"/>
                <w:sz w:val="24"/>
                <w:szCs w:val="24"/>
              </w:rPr>
              <w:t>9</w:t>
            </w:r>
            <w:r>
              <w:rPr>
                <w:rFonts w:hint="eastAsia" w:ascii="方正仿宋_GBK" w:hAnsi="方正仿宋_GBK" w:eastAsia="方正仿宋_GBK" w:cs="方正仿宋_GBK"/>
                <w:sz w:val="24"/>
                <w:szCs w:val="24"/>
              </w:rPr>
              <w:t>月底前在本部门网站集中对外公布，形成全区规范性文件库，并保持动态更新（公开路径：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政务网站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行政规范性文件；</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司法局网页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行政法规、规章、规范性文件</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行政规范性文件</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区政府规范性文件）。</w:t>
            </w:r>
          </w:p>
          <w:p w14:paraId="490567B9">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．指导督促各镇街、区政府各部门每年开展规范性文件清理。</w:t>
            </w:r>
          </w:p>
          <w:p w14:paraId="0C7FF450">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．以适当方式归集整理区政府、区政府部门主动公开的规范性文件，在本部门网站集中展示，形成全区规范性文件库，并保持动态更新。（公开路径：司法局网页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行政法规、规章、规范性文件</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行政规范性文件）</w:t>
            </w:r>
          </w:p>
          <w:p w14:paraId="5A9C9792">
            <w:pPr>
              <w:snapToGrid w:val="0"/>
              <w:spacing w:line="32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．在本部门网站“政务公开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政府信息公开目录”中设置“法治政府建设年度报告”栏目，公开重庆市荣昌区法治政府建设年度报告，以适当方式归集展示各镇街、区政府各部门主动公开的法治政府建设年度报告。（公开路径：司法局网页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法治政府建设年度报告）</w:t>
            </w:r>
          </w:p>
        </w:tc>
        <w:tc>
          <w:tcPr>
            <w:tcW w:w="1209" w:type="dxa"/>
            <w:tcMar>
              <w:top w:w="0" w:type="dxa"/>
              <w:left w:w="0" w:type="dxa"/>
              <w:bottom w:w="0" w:type="dxa"/>
              <w:right w:w="0" w:type="dxa"/>
            </w:tcMar>
            <w:vAlign w:val="center"/>
          </w:tcPr>
          <w:p w14:paraId="1AE9A0DB">
            <w:pPr>
              <w:snapToGrid w:val="0"/>
              <w:jc w:val="center"/>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282A6974">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45CF95A0">
            <w:pPr>
              <w:snapToGrid w:val="0"/>
              <w:jc w:val="center"/>
              <w:rPr>
                <w:rFonts w:ascii="方正仿宋_GBK" w:hAnsi="方正仿宋_GBK" w:eastAsia="方正仿宋_GBK" w:cs="Times New Roman"/>
                <w:sz w:val="24"/>
                <w:szCs w:val="24"/>
              </w:rPr>
            </w:pPr>
          </w:p>
        </w:tc>
      </w:tr>
      <w:tr w14:paraId="56CE021E">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4505ED9D">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626EFD6A">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08DFEB64">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．认真落实《国务院办公厅关于加强行政规范性文件制定和监督管理工作的通知》精神，严格履行公开征求意见、向社会公开发布等规范性文件制发规定，未公开发布的行政规范性文件不得作为行政管理依据。</w:t>
            </w:r>
          </w:p>
          <w:p w14:paraId="717E8867">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．在区司法局的指导下，每年对本部门、镇街规范性文件进行清理，发现未公开的要及时公开、未备案的要及时备案，确保公开和备案的规范性文件保持一致。已公开的要按照“现行有效”和“失效</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废止”进行分类展示，以此形成本部门规范性文件库（公开路径：本单位网页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履职依据</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本部门、镇街规范性文件）。</w:t>
            </w:r>
          </w:p>
          <w:p w14:paraId="6F16C587">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．各镇街、区政府部门网页要在“政务公开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政府信息公开目录”中设置</w:t>
            </w:r>
          </w:p>
        </w:tc>
        <w:tc>
          <w:tcPr>
            <w:tcW w:w="1209" w:type="dxa"/>
            <w:tcMar>
              <w:top w:w="0" w:type="dxa"/>
              <w:left w:w="0" w:type="dxa"/>
              <w:bottom w:w="0" w:type="dxa"/>
              <w:right w:w="0" w:type="dxa"/>
            </w:tcMar>
            <w:vAlign w:val="center"/>
          </w:tcPr>
          <w:p w14:paraId="243C3F4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区司法局</w:t>
            </w:r>
          </w:p>
        </w:tc>
        <w:tc>
          <w:tcPr>
            <w:tcW w:w="1523" w:type="dxa"/>
            <w:tcMar>
              <w:top w:w="0" w:type="dxa"/>
              <w:left w:w="0" w:type="dxa"/>
              <w:bottom w:w="0" w:type="dxa"/>
              <w:right w:w="0" w:type="dxa"/>
            </w:tcMar>
            <w:vAlign w:val="center"/>
          </w:tcPr>
          <w:p w14:paraId="128795E1">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6FB90454">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58F64A3A">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5CAECB98">
            <w:pPr>
              <w:snapToGrid w:val="0"/>
              <w:rPr>
                <w:rFonts w:ascii="方正仿宋_GBK" w:hAnsi="方正仿宋_GBK" w:eastAsia="方正仿宋_GBK" w:cs="方正仿宋_GBK"/>
                <w:sz w:val="24"/>
                <w:szCs w:val="24"/>
              </w:rPr>
            </w:pPr>
            <w:r>
              <mc:AlternateContent>
                <mc:Choice Requires="wps">
                  <w:drawing>
                    <wp:anchor distT="0" distB="0" distL="114300" distR="114300" simplePos="0" relativeHeight="251675648" behindDoc="0" locked="0" layoutInCell="1" allowOverlap="1">
                      <wp:simplePos x="0" y="0"/>
                      <wp:positionH relativeFrom="column">
                        <wp:posOffset>-495935</wp:posOffset>
                      </wp:positionH>
                      <wp:positionV relativeFrom="paragraph">
                        <wp:posOffset>-451485</wp:posOffset>
                      </wp:positionV>
                      <wp:extent cx="307975" cy="908685"/>
                      <wp:effectExtent l="4445" t="4445" r="5080" b="13970"/>
                      <wp:wrapNone/>
                      <wp:docPr id="18" name="文本框 15"/>
                      <wp:cNvGraphicFramePr/>
                      <a:graphic xmlns:a="http://schemas.openxmlformats.org/drawingml/2006/main">
                        <a:graphicData uri="http://schemas.microsoft.com/office/word/2010/wordprocessingShape">
                          <wps:wsp>
                            <wps:cNvSpPr txBox="1"/>
                            <wps:spPr>
                              <a:xfrm>
                                <a:off x="0" y="0"/>
                                <a:ext cx="307975"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BF82C0E">
                                  <w:pPr>
                                    <w:snapToGrid w:val="0"/>
                                    <w:rPr>
                                      <w:rFonts w:ascii="宋体" w:cs="Times New Roman"/>
                                      <w:sz w:val="28"/>
                                      <w:szCs w:val="28"/>
                                    </w:rPr>
                                  </w:pPr>
                                  <w:r>
                                    <w:rPr>
                                      <w:rFonts w:ascii="宋体" w:hAnsi="宋体" w:cs="宋体"/>
                                      <w:sz w:val="28"/>
                                      <w:szCs w:val="28"/>
                                    </w:rPr>
                                    <w:t>— 14 —</w:t>
                                  </w:r>
                                </w:p>
                              </w:txbxContent>
                            </wps:txbx>
                            <wps:bodyPr vert="eaVert" lIns="0" tIns="0" rIns="0" bIns="0" upright="1"/>
                          </wps:wsp>
                        </a:graphicData>
                      </a:graphic>
                    </wp:anchor>
                  </w:drawing>
                </mc:Choice>
                <mc:Fallback>
                  <w:pict>
                    <v:shape id="文本框 15" o:spid="_x0000_s1026" o:spt="202" type="#_x0000_t202" style="position:absolute;left:0pt;margin-left:-39.05pt;margin-top:-35.55pt;height:71.55pt;width:24.25pt;z-index:251675648;mso-width-relative:page;mso-height-relative:page;" fillcolor="#FFFFFF" filled="t" stroked="t" coordsize="21600,21600" o:gfxdata="UEsDBAoAAAAAAIdO4kAAAAAAAAAAAAAAAAAEAAAAZHJzL1BLAwQUAAAACACHTuJARJGzgtoAAAAK&#10;AQAADwAAAGRycy9kb3ducmV2LnhtbE2PTU/DMAyG70j8h8hI3Lqklei2rukOk5C2AwfGhOCWNqat&#10;aJyqyT7Yr8c7we21/Oj143J9cYM44RR6TxrSmQKB1HjbU6vh8PacLECEaMiawRNq+MEA6+r+rjSF&#10;9Wd6xdM+toJLKBRGQxfjWEgZmg6dCTM/IvHuy0/ORB6nVtrJnLncDTJTKpfO9MQXOjPipsPme390&#10;Gjbt5/jkd9uYX+N7f6hfPq52t9X68SFVKxARL/EPhps+q0PFTrU/kg1i0JDMFymjt5ByYCLJljmI&#10;WsM8UyCrUv5/ofoFUEsDBBQAAAAIAIdO4kCjQ3CEHgIAAGkEAAAOAAAAZHJzL2Uyb0RvYy54bWyt&#10;VMuu0zAQ3SPxD5b3NGlR76NqeyUoRUgIkC6wdx0nseSXbLdJfwD+gBUb9nxXv4Njp+3lXjZdkEUy&#10;tsdn5pyZyfyu14rshA/SmgUdj0pKhOG2kqZZ0C+f1y9uKAmRmYopa8SC7kWgd8vnz+adm4mJba2q&#10;hCcAMWHWuQVtY3Szogi8FZqFkXXC4LC2XrOIpW+KyrMO6FoVk7K8KjrrK+ctFyFgdzUc0iOivwTQ&#10;1rXkYmX5VgsTB1QvFIugFFrpAl3mbOta8PixroOIRC0omMb8RhDYm/QulnM2azxzreTHFNglKTzh&#10;pJk0CHqGWrHIyNbLf6C05N4GW8cRt7oYiGRFwGJcPtHmvmVOZC6QOriz6OH/wfIPu0+eyAqdgLob&#10;plHxw4/vh5+/D7++kfE0CdS5MIPfvYNn7F/ZHs6n/YDNxLuvvU5fMCI4h7z7s7yij4Rj82V5fXs9&#10;pYTj6La8ubrJ6MXDZedDfCusJslYUI/qZVHZ7n2ISASuJ5cUK1glq7VUKi98s3mtPNkxVHqdn5Qj&#10;rjxyU4Z0iD6dpDwY2rdG28DUDhIE0+R4j26Ey4BTYisW2iGBjDA0l5ZR+NxmrWDVG1ORuHdQ2WC6&#10;aEpGi4oSJTCMycqekUl1iSfYKQOSqUJDJZIV+00PmGRubLVH1TDu0FOwr/gi1juDDkrTcDL8ydic&#10;jK3zsmlxKVc6B0AHZj2P05Ja/O91TuPhD7H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SRs4La&#10;AAAACgEAAA8AAAAAAAAAAQAgAAAAIgAAAGRycy9kb3ducmV2LnhtbFBLAQIUABQAAAAIAIdO4kCj&#10;Q3CEHgIAAGkEAAAOAAAAAAAAAAEAIAAAACkBAABkcnMvZTJvRG9jLnhtbFBLBQYAAAAABgAGAFkB&#10;AAC5BQAAAAA=&#10;">
                      <v:fill on="t" focussize="0,0"/>
                      <v:stroke color="#FFFFFF" joinstyle="miter"/>
                      <v:imagedata o:title=""/>
                      <o:lock v:ext="edit" aspectratio="f"/>
                      <v:textbox inset="0mm,0mm,0mm,0mm" style="layout-flow:vertical-ideographic;">
                        <w:txbxContent>
                          <w:p w14:paraId="7BF82C0E">
                            <w:pPr>
                              <w:snapToGrid w:val="0"/>
                              <w:rPr>
                                <w:rFonts w:ascii="宋体" w:cs="Times New Roman"/>
                                <w:sz w:val="28"/>
                                <w:szCs w:val="28"/>
                              </w:rPr>
                            </w:pPr>
                            <w:r>
                              <w:rPr>
                                <w:rFonts w:ascii="宋体" w:hAnsi="宋体" w:cs="宋体"/>
                                <w:sz w:val="28"/>
                                <w:szCs w:val="28"/>
                              </w:rPr>
                              <w:t>— 14 —</w:t>
                            </w:r>
                          </w:p>
                        </w:txbxContent>
                      </v:textbox>
                    </v:shape>
                  </w:pict>
                </mc:Fallback>
              </mc:AlternateContent>
            </w:r>
          </w:p>
          <w:p w14:paraId="3D25C656">
            <w:pPr>
              <w:snapToGrid w:val="0"/>
              <w:rPr>
                <w:rFonts w:ascii="方正仿宋_GBK" w:hAnsi="方正仿宋_GBK" w:eastAsia="方正仿宋_GBK" w:cs="方正仿宋_GBK"/>
                <w:sz w:val="24"/>
                <w:szCs w:val="24"/>
              </w:rPr>
            </w:pPr>
          </w:p>
          <w:p w14:paraId="515B7CD3">
            <w:pPr>
              <w:snapToGrid w:val="0"/>
              <w:rPr>
                <w:rFonts w:ascii="方正仿宋_GBK" w:hAnsi="方正仿宋_GBK" w:eastAsia="方正仿宋_GBK" w:cs="方正仿宋_GBK"/>
                <w:sz w:val="24"/>
                <w:szCs w:val="24"/>
              </w:rPr>
            </w:pPr>
          </w:p>
          <w:p w14:paraId="4D5FC0F6">
            <w:pPr>
              <w:snapToGrid w:val="0"/>
              <w:rPr>
                <w:rFonts w:ascii="方正仿宋_GBK" w:hAnsi="方正仿宋_GBK" w:eastAsia="方正仿宋_GBK" w:cs="方正仿宋_GBK"/>
                <w:sz w:val="24"/>
                <w:szCs w:val="24"/>
              </w:rPr>
            </w:pPr>
          </w:p>
          <w:p w14:paraId="2B3DF058">
            <w:pPr>
              <w:snapToGrid w:val="0"/>
              <w:rPr>
                <w:rFonts w:ascii="方正仿宋_GBK" w:hAnsi="方正仿宋_GBK" w:eastAsia="方正仿宋_GBK" w:cs="方正仿宋_GBK"/>
                <w:sz w:val="24"/>
                <w:szCs w:val="24"/>
              </w:rPr>
            </w:pPr>
          </w:p>
          <w:p w14:paraId="6AD1BFC5">
            <w:pPr>
              <w:snapToGrid w:val="0"/>
              <w:rPr>
                <w:rFonts w:ascii="方正仿宋_GBK" w:hAnsi="方正仿宋_GBK" w:eastAsia="方正仿宋_GBK" w:cs="方正仿宋_GBK"/>
                <w:sz w:val="24"/>
                <w:szCs w:val="24"/>
              </w:rPr>
            </w:pPr>
          </w:p>
          <w:p w14:paraId="14E71E2C">
            <w:pPr>
              <w:snapToGrid w:val="0"/>
              <w:rPr>
                <w:rFonts w:ascii="方正仿宋_GBK" w:hAnsi="方正仿宋_GBK" w:eastAsia="方正仿宋_GBK" w:cs="方正仿宋_GBK"/>
                <w:sz w:val="24"/>
                <w:szCs w:val="24"/>
              </w:rPr>
            </w:pPr>
          </w:p>
          <w:p w14:paraId="0614CF41">
            <w:pPr>
              <w:snapToGrid w:val="0"/>
              <w:rPr>
                <w:rFonts w:ascii="方正仿宋_GBK" w:hAnsi="方正仿宋_GBK" w:eastAsia="方正仿宋_GBK" w:cs="方正仿宋_GBK"/>
                <w:sz w:val="24"/>
                <w:szCs w:val="24"/>
              </w:rPr>
            </w:pPr>
          </w:p>
          <w:p w14:paraId="5946A67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三、紧扣强基础抓基层深化政务公开</w:t>
            </w:r>
          </w:p>
        </w:tc>
        <w:tc>
          <w:tcPr>
            <w:tcW w:w="1105" w:type="dxa"/>
            <w:tcMar>
              <w:top w:w="0" w:type="dxa"/>
              <w:left w:w="0" w:type="dxa"/>
              <w:bottom w:w="0" w:type="dxa"/>
              <w:right w:w="0" w:type="dxa"/>
            </w:tcMar>
            <w:vAlign w:val="center"/>
          </w:tcPr>
          <w:p w14:paraId="03B5CEE2">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（一）做好政务信息管理工作。</w:t>
            </w:r>
          </w:p>
        </w:tc>
        <w:tc>
          <w:tcPr>
            <w:tcW w:w="8066" w:type="dxa"/>
            <w:tcMar>
              <w:top w:w="0" w:type="dxa"/>
              <w:left w:w="0" w:type="dxa"/>
              <w:bottom w:w="0" w:type="dxa"/>
              <w:right w:w="0" w:type="dxa"/>
            </w:tcMar>
            <w:vAlign w:val="center"/>
          </w:tcPr>
          <w:p w14:paraId="0169100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“法治政府建设年度报告”栏目，公开本机关法治政府建设年度报告。（公开路径：本单位网页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法治政府建设年度报告）。</w:t>
            </w:r>
          </w:p>
          <w:p w14:paraId="7081BFFF">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．区政府门户网站要在“政务公开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政府信息公开目录”中设置“法治政府建设年度报告”栏目，按要求集中发布本级政府、本级政府部门、各镇街</w:t>
            </w:r>
            <w:r>
              <w:rPr>
                <w:rFonts w:ascii="方正仿宋_GBK" w:hAnsi="方正仿宋_GBK" w:eastAsia="方正仿宋_GBK" w:cs="方正仿宋_GBK"/>
                <w:sz w:val="24"/>
                <w:szCs w:val="24"/>
              </w:rPr>
              <w:t>2020</w:t>
            </w:r>
            <w:r>
              <w:rPr>
                <w:rFonts w:hint="eastAsia" w:ascii="方正仿宋_GBK" w:hAnsi="方正仿宋_GBK" w:eastAsia="方正仿宋_GBK" w:cs="方正仿宋_GBK"/>
                <w:sz w:val="24"/>
                <w:szCs w:val="24"/>
              </w:rPr>
              <w:t>年度法治政府建设年度报告。（政务网站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法治政府建设年度报告）</w:t>
            </w:r>
          </w:p>
        </w:tc>
        <w:tc>
          <w:tcPr>
            <w:tcW w:w="1209" w:type="dxa"/>
            <w:tcMar>
              <w:top w:w="0" w:type="dxa"/>
              <w:left w:w="0" w:type="dxa"/>
              <w:bottom w:w="0" w:type="dxa"/>
              <w:right w:w="0" w:type="dxa"/>
            </w:tcMar>
            <w:vAlign w:val="center"/>
          </w:tcPr>
          <w:p w14:paraId="33B322AC">
            <w:pPr>
              <w:snapToGrid w:val="0"/>
              <w:jc w:val="center"/>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47560F59">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750436CB">
            <w:pPr>
              <w:snapToGrid w:val="0"/>
              <w:jc w:val="center"/>
              <w:rPr>
                <w:rFonts w:ascii="方正仿宋_GBK" w:hAnsi="方正仿宋_GBK" w:eastAsia="方正仿宋_GBK" w:cs="Times New Roman"/>
                <w:sz w:val="24"/>
                <w:szCs w:val="24"/>
              </w:rPr>
            </w:pPr>
          </w:p>
        </w:tc>
      </w:tr>
      <w:tr w14:paraId="7A82B6BA">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77643D5A">
            <w:pPr>
              <w:snapToGrid w:val="0"/>
              <w:rPr>
                <w:rFonts w:ascii="方正仿宋_GBK" w:hAnsi="方正仿宋_GBK" w:eastAsia="方正仿宋_GBK" w:cs="Times New Roman"/>
                <w:sz w:val="24"/>
                <w:szCs w:val="24"/>
              </w:rPr>
            </w:pPr>
          </w:p>
        </w:tc>
        <w:tc>
          <w:tcPr>
            <w:tcW w:w="1105" w:type="dxa"/>
            <w:vMerge w:val="restart"/>
            <w:tcMar>
              <w:top w:w="0" w:type="dxa"/>
              <w:left w:w="0" w:type="dxa"/>
              <w:bottom w:w="0" w:type="dxa"/>
              <w:right w:w="0" w:type="dxa"/>
            </w:tcMar>
            <w:vAlign w:val="center"/>
          </w:tcPr>
          <w:p w14:paraId="15ECC9BF">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（二）完善政务公开平台。</w:t>
            </w:r>
          </w:p>
        </w:tc>
        <w:tc>
          <w:tcPr>
            <w:tcW w:w="8066" w:type="dxa"/>
            <w:tcMar>
              <w:top w:w="0" w:type="dxa"/>
              <w:left w:w="0" w:type="dxa"/>
              <w:bottom w:w="0" w:type="dxa"/>
              <w:right w:w="0" w:type="dxa"/>
            </w:tcMar>
            <w:vAlign w:val="center"/>
          </w:tcPr>
          <w:p w14:paraId="57F401A8">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进一步优化政府网站集约化平台基础功能，完善统一资源库，实现政务公开、政民互动、政务服务数据融通共享，推动更多政务服务事项网上办、掌上办、一次办，实现一网通查、一网通答、一网通办、一网通管。</w:t>
            </w:r>
          </w:p>
        </w:tc>
        <w:tc>
          <w:tcPr>
            <w:tcW w:w="1209" w:type="dxa"/>
            <w:vMerge w:val="restart"/>
            <w:tcMar>
              <w:top w:w="0" w:type="dxa"/>
              <w:left w:w="0" w:type="dxa"/>
              <w:bottom w:w="0" w:type="dxa"/>
              <w:right w:w="0" w:type="dxa"/>
            </w:tcMar>
            <w:vAlign w:val="center"/>
          </w:tcPr>
          <w:p w14:paraId="7CE1D8EF">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722CD707">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2057C75E">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03ECADD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1C08C359">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4257EFC3">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C8EC44F">
            <w:pPr>
              <w:pStyle w:val="12"/>
              <w:widowControl/>
              <w:snapToGrid w:val="0"/>
              <w:ind w:left="412" w:firstLine="0" w:firstLineChars="0"/>
              <w:rPr>
                <w:rFonts w:ascii="方正仿宋_GBK"/>
                <w:sz w:val="24"/>
                <w:szCs w:val="24"/>
              </w:rPr>
            </w:pPr>
            <w:r>
              <w:rPr>
                <w:rFonts w:ascii="方正仿宋_GBK" w:hAnsi="方正仿宋_GBK" w:cs="方正仿宋_GBK"/>
                <w:sz w:val="24"/>
                <w:szCs w:val="24"/>
              </w:rPr>
              <w:t>1</w:t>
            </w:r>
            <w:r>
              <w:rPr>
                <w:rFonts w:hint="eastAsia" w:ascii="方正仿宋_GBK" w:hAnsi="方正仿宋_GBK" w:cs="方正仿宋_GBK"/>
                <w:sz w:val="24"/>
                <w:szCs w:val="24"/>
              </w:rPr>
              <w:t>．政府网站。</w:t>
            </w:r>
          </w:p>
          <w:p w14:paraId="5A162AE0">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）切实履行政府网站的主管、主办、承办职责，建立健全技术保障、内容统筹、信息发布、值班读网、运行维护等制度，进一步加强政府网站管理，切实做到守底线、防风险。</w:t>
            </w:r>
          </w:p>
        </w:tc>
        <w:tc>
          <w:tcPr>
            <w:tcW w:w="1209" w:type="dxa"/>
            <w:vMerge w:val="continue"/>
            <w:tcMar>
              <w:top w:w="0" w:type="dxa"/>
              <w:left w:w="0" w:type="dxa"/>
              <w:bottom w:w="0" w:type="dxa"/>
              <w:right w:w="0" w:type="dxa"/>
            </w:tcMar>
            <w:vAlign w:val="center"/>
          </w:tcPr>
          <w:p w14:paraId="5825C32F">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160CF354">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6FA706A0">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76C4F97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4F501A05">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99134F2">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0E89A1EA">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严格落实《政府网站发展指引》要求，组建政府网站技术运维和内容运维团队，保障政府网站安全稳定高效运行。根据政府网站技术运维和内容运维工作任务，科学核定政府网站运行经费，并足额纳入本级预算。</w:t>
            </w:r>
          </w:p>
          <w:p w14:paraId="23A55920">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）严格按照政府网站检查指标，逐项开展自查，全面查漏补缺，推动全区政府网站提质增效。</w:t>
            </w:r>
          </w:p>
          <w:p w14:paraId="53ADC88D">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）区政府办公室要全面推进区政府部门、各镇街网页建设管理、内容保障和运行维护，确保基层政府信息公开有平台、人民群众获取政府信息有渠道。</w:t>
            </w:r>
          </w:p>
        </w:tc>
        <w:tc>
          <w:tcPr>
            <w:tcW w:w="1209" w:type="dxa"/>
            <w:tcMar>
              <w:top w:w="0" w:type="dxa"/>
              <w:left w:w="0" w:type="dxa"/>
              <w:bottom w:w="0" w:type="dxa"/>
              <w:right w:w="0" w:type="dxa"/>
            </w:tcMar>
            <w:vAlign w:val="center"/>
          </w:tcPr>
          <w:p w14:paraId="5D29C5B1">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3CFE41D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74CF415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6ABC0929">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6C7B8FFA">
            <w:pPr>
              <w:snapToGrid w:val="0"/>
              <w:rPr>
                <w:rFonts w:ascii="方正仿宋_GBK" w:hAnsi="方正仿宋_GBK" w:eastAsia="方正仿宋_GBK" w:cs="方正仿宋_GBK"/>
                <w:sz w:val="24"/>
                <w:szCs w:val="24"/>
              </w:rPr>
            </w:pPr>
          </w:p>
          <w:p w14:paraId="6B976955">
            <w:pPr>
              <w:snapToGrid w:val="0"/>
              <w:rPr>
                <w:rFonts w:ascii="方正仿宋_GBK" w:hAnsi="方正仿宋_GBK" w:eastAsia="方正仿宋_GBK" w:cs="方正仿宋_GBK"/>
                <w:sz w:val="24"/>
                <w:szCs w:val="24"/>
              </w:rPr>
            </w:pPr>
          </w:p>
          <w:p w14:paraId="6E6A9C7B">
            <w:pPr>
              <w:snapToGrid w:val="0"/>
              <w:rPr>
                <w:rFonts w:ascii="方正仿宋_GBK" w:hAnsi="方正仿宋_GBK" w:eastAsia="方正仿宋_GBK" w:cs="方正仿宋_GBK"/>
                <w:sz w:val="24"/>
                <w:szCs w:val="24"/>
              </w:rPr>
            </w:pPr>
          </w:p>
          <w:p w14:paraId="7E03563A">
            <w:pPr>
              <w:snapToGrid w:val="0"/>
              <w:rPr>
                <w:rFonts w:ascii="方正仿宋_GBK" w:hAnsi="方正仿宋_GBK" w:eastAsia="方正仿宋_GBK" w:cs="方正仿宋_GBK"/>
                <w:sz w:val="24"/>
                <w:szCs w:val="24"/>
              </w:rPr>
            </w:pPr>
          </w:p>
          <w:p w14:paraId="5655EE3A">
            <w:pPr>
              <w:snapToGrid w:val="0"/>
              <w:rPr>
                <w:rFonts w:ascii="方正仿宋_GBK" w:hAnsi="方正仿宋_GBK" w:eastAsia="方正仿宋_GBK" w:cs="方正仿宋_GBK"/>
                <w:sz w:val="24"/>
                <w:szCs w:val="24"/>
              </w:rPr>
            </w:pPr>
          </w:p>
          <w:p w14:paraId="69ACBDF2">
            <w:pPr>
              <w:snapToGrid w:val="0"/>
              <w:rPr>
                <w:rFonts w:ascii="方正仿宋_GBK" w:hAnsi="方正仿宋_GBK" w:eastAsia="方正仿宋_GBK" w:cs="方正仿宋_GBK"/>
                <w:sz w:val="24"/>
                <w:szCs w:val="24"/>
              </w:rPr>
            </w:pPr>
          </w:p>
          <w:p w14:paraId="36BA5E8F">
            <w:pPr>
              <w:snapToGrid w:val="0"/>
              <w:rPr>
                <w:rFonts w:ascii="方正仿宋_GBK" w:hAnsi="方正仿宋_GBK" w:eastAsia="方正仿宋_GBK" w:cs="方正仿宋_GBK"/>
                <w:sz w:val="24"/>
                <w:szCs w:val="24"/>
              </w:rPr>
            </w:pPr>
          </w:p>
          <w:p w14:paraId="68CF5C3C">
            <w:pPr>
              <w:snapToGrid w:val="0"/>
              <w:rPr>
                <w:rFonts w:ascii="方正仿宋_GBK" w:hAnsi="方正仿宋_GBK" w:eastAsia="方正仿宋_GBK" w:cs="方正仿宋_GBK"/>
                <w:sz w:val="24"/>
                <w:szCs w:val="24"/>
              </w:rPr>
            </w:pPr>
          </w:p>
          <w:p w14:paraId="734973F0">
            <w:pPr>
              <w:snapToGrid w:val="0"/>
              <w:rPr>
                <w:rFonts w:ascii="方正仿宋_GBK" w:hAnsi="方正仿宋_GBK" w:eastAsia="方正仿宋_GBK" w:cs="方正仿宋_GBK"/>
                <w:sz w:val="24"/>
                <w:szCs w:val="24"/>
              </w:rPr>
            </w:pPr>
          </w:p>
          <w:p w14:paraId="7792F9FF">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7456" behindDoc="0" locked="0" layoutInCell="1" allowOverlap="1">
                      <wp:simplePos x="0" y="0"/>
                      <wp:positionH relativeFrom="column">
                        <wp:posOffset>-496570</wp:posOffset>
                      </wp:positionH>
                      <wp:positionV relativeFrom="paragraph">
                        <wp:posOffset>2164080</wp:posOffset>
                      </wp:positionV>
                      <wp:extent cx="320040" cy="908685"/>
                      <wp:effectExtent l="4445" t="4445" r="5715" b="13970"/>
                      <wp:wrapNone/>
                      <wp:docPr id="9" name="文本框 16"/>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4BD4FAE">
                                  <w:pPr>
                                    <w:snapToGrid w:val="0"/>
                                    <w:rPr>
                                      <w:rFonts w:ascii="宋体" w:cs="Times New Roman"/>
                                      <w:sz w:val="28"/>
                                      <w:szCs w:val="28"/>
                                    </w:rPr>
                                  </w:pPr>
                                  <w:r>
                                    <w:rPr>
                                      <w:rFonts w:ascii="宋体" w:hAnsi="宋体" w:cs="宋体"/>
                                      <w:sz w:val="28"/>
                                      <w:szCs w:val="28"/>
                                    </w:rPr>
                                    <w:t>— 15 —</w:t>
                                  </w:r>
                                </w:p>
                              </w:txbxContent>
                            </wps:txbx>
                            <wps:bodyPr vert="eaVert" lIns="0" tIns="0" rIns="0" bIns="0" upright="1"/>
                          </wps:wsp>
                        </a:graphicData>
                      </a:graphic>
                    </wp:anchor>
                  </w:drawing>
                </mc:Choice>
                <mc:Fallback>
                  <w:pict>
                    <v:shape id="文本框 16" o:spid="_x0000_s1026" o:spt="202" type="#_x0000_t202" style="position:absolute;left:0pt;margin-left:-39.1pt;margin-top:170.4pt;height:71.55pt;width:25.2pt;z-index:251667456;mso-width-relative:page;mso-height-relative:page;" fillcolor="#FFFFFF" filled="t" stroked="t" coordsize="21600,21600" o:gfxdata="UEsDBAoAAAAAAIdO4kAAAAAAAAAAAAAAAAAEAAAAZHJzL1BLAwQUAAAACACHTuJAh1aUjtwAAAAL&#10;AQAADwAAAGRycy9kb3ducmV2LnhtbE2PTU/DMAyG70j8h8hI3Lpk3dhKqbvDJKTtwIExIbiljWkr&#10;mqRqsg/26zGncbPlR6+ft1idbS+ONIbOO4TpRIEgV3vTuQZh//acZCBC1M7o3jtC+KEAq/L2ptC5&#10;8Sf3SsddbASHuJBrhDbGIZcy1C1ZHSZ+IMe3Lz9aHXkdG2lGfeJw28tUqYW0unP8odUDrVuqv3cH&#10;i7BuPocHv93ExSW+d/vq5eNithvE+7upegIR6RyvMPzpszqU7FT5gzNB9AjJMksZRZjNFXdgIkmX&#10;PFQI82z2CLIs5P8O5S9QSwMEFAAAAAgAh07iQGUwiZccAgAAaAQAAA4AAABkcnMvZTJvRG9jLnht&#10;bK1UzY7TMBC+I/EOlu80baFVN2q6EpQiJARIC9zdxEks+U+226QvAG/AiQv3fa4+B5+dtssulx7I&#10;Iflsj7+Z+WYmy9teSbLnzgujCzoZjSnhujSV0E1Bv37ZvFhQ4gPTFZNG84IeuKe3q+fPlp3N+dS0&#10;RlbcEZBon3e2oG0INs8yX7ZcMT8ylmsc1sYpFrB0TVY51oFdyWw6Hs+zzrjKOlNy77G7Hg7pidFd&#10;Q2jqWpR8bcqd4joMrI5LFpCSb4X1dJWirWtehk917XkgsqDINKQ3nABv4ztbLVneOGZbUZ5CYNeE&#10;8CQnxYSG0wvVmgVGdk78Q6VE6Yw3dRiVRmVDIkkRZDEZP9HmrmWWp1wgtbcX0f3/oy0/7j87IqqC&#10;3lCimULBjz9/HH/dH39/J5N51KezPofZnYVh6F+bHl1z3vfYjGn3tVPxi4QIzqHu4aIu7wMpsfkS&#10;1X+FkxJHN+PFfDGLLNnDZet8eMeNIhEU1KF4SVO2/+DDYHo2ib68kaLaCCnTwjXbN9KRPUOhN+k5&#10;sT8yk5p08D6bzhAHQ/fW6BpAZaGA103y9+iGv444BrZmvh0CSAzRP8uVCNwl1HJWvdUVCQcLlTWG&#10;i8ZgFK8okRyzGFGyDEzIayyhndSQMFZoqEREod/2oIlwa6oDqoZph56cfcMXvt5rNFAchjNwZ7A9&#10;g511omlxKVU6OUADpmqdhiV2+N/rFMbDD2L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dWlI7c&#10;AAAACwEAAA8AAAAAAAAAAQAgAAAAIgAAAGRycy9kb3ducmV2LnhtbFBLAQIUABQAAAAIAIdO4kBl&#10;MImXHAIAAGgEAAAOAAAAAAAAAAEAIAAAACsBAABkcnMvZTJvRG9jLnhtbFBLBQYAAAAABgAGAFkB&#10;AAC5BQAAAAA=&#10;">
                      <v:fill on="t" focussize="0,0"/>
                      <v:stroke color="#FFFFFF" joinstyle="miter"/>
                      <v:imagedata o:title=""/>
                      <o:lock v:ext="edit" aspectratio="f"/>
                      <v:textbox inset="0mm,0mm,0mm,0mm" style="layout-flow:vertical-ideographic;">
                        <w:txbxContent>
                          <w:p w14:paraId="14BD4FAE">
                            <w:pPr>
                              <w:snapToGrid w:val="0"/>
                              <w:rPr>
                                <w:rFonts w:ascii="宋体" w:cs="Times New Roman"/>
                                <w:sz w:val="28"/>
                                <w:szCs w:val="28"/>
                              </w:rPr>
                            </w:pPr>
                            <w:r>
                              <w:rPr>
                                <w:rFonts w:ascii="宋体" w:hAnsi="宋体" w:cs="宋体"/>
                                <w:sz w:val="28"/>
                                <w:szCs w:val="28"/>
                              </w:rPr>
                              <w:t>— 15 —</w:t>
                            </w:r>
                          </w:p>
                        </w:txbxContent>
                      </v:textbox>
                    </v:shape>
                  </w:pict>
                </mc:Fallback>
              </mc:AlternateContent>
            </w:r>
            <w:r>
              <w:rPr>
                <w:rFonts w:hint="eastAsia" w:ascii="方正仿宋_GBK" w:hAnsi="方正仿宋_GBK" w:eastAsia="方正仿宋_GBK" w:cs="方正仿宋_GBK"/>
                <w:sz w:val="24"/>
                <w:szCs w:val="24"/>
              </w:rPr>
              <w:t>三、紧扣强基础抓基层深化政务公开</w:t>
            </w:r>
          </w:p>
        </w:tc>
        <w:tc>
          <w:tcPr>
            <w:tcW w:w="1105" w:type="dxa"/>
            <w:vMerge w:val="restart"/>
            <w:tcMar>
              <w:top w:w="0" w:type="dxa"/>
              <w:left w:w="0" w:type="dxa"/>
              <w:bottom w:w="0" w:type="dxa"/>
              <w:right w:w="0" w:type="dxa"/>
            </w:tcMar>
            <w:vAlign w:val="center"/>
          </w:tcPr>
          <w:p w14:paraId="2FD5231F">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（二）完善政务公开平台。</w:t>
            </w:r>
          </w:p>
        </w:tc>
        <w:tc>
          <w:tcPr>
            <w:tcW w:w="8066" w:type="dxa"/>
            <w:tcMar>
              <w:top w:w="0" w:type="dxa"/>
              <w:left w:w="0" w:type="dxa"/>
              <w:bottom w:w="0" w:type="dxa"/>
              <w:right w:w="0" w:type="dxa"/>
            </w:tcMar>
            <w:vAlign w:val="center"/>
          </w:tcPr>
          <w:p w14:paraId="03CDDF55">
            <w:pPr>
              <w:snapToGrid w:val="0"/>
              <w:spacing w:line="33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）顺应移动互联网发展潮流，优化政府网站手机适配版，推动政府信息公开专栏在移动端展示，不断提升政府信息获取的便捷性。</w:t>
            </w:r>
          </w:p>
          <w:p w14:paraId="6E7AF08E">
            <w:pPr>
              <w:pStyle w:val="12"/>
              <w:widowControl/>
              <w:snapToGrid w:val="0"/>
              <w:spacing w:line="330" w:lineRule="exact"/>
              <w:ind w:left="412" w:firstLine="0" w:firstLineChars="0"/>
              <w:rPr>
                <w:rFonts w:ascii="方正仿宋_GBK"/>
                <w:sz w:val="24"/>
                <w:szCs w:val="24"/>
              </w:rPr>
            </w:pPr>
            <w:r>
              <w:rPr>
                <w:rFonts w:ascii="方正仿宋_GBK" w:hAnsi="方正仿宋_GBK" w:cs="方正仿宋_GBK"/>
                <w:sz w:val="24"/>
                <w:szCs w:val="24"/>
              </w:rPr>
              <w:t>2</w:t>
            </w:r>
            <w:r>
              <w:rPr>
                <w:rFonts w:hint="eastAsia" w:ascii="方正仿宋_GBK" w:hAnsi="方正仿宋_GBK" w:cs="方正仿宋_GBK"/>
                <w:sz w:val="24"/>
                <w:szCs w:val="24"/>
              </w:rPr>
              <w:t>．政务新媒体。</w:t>
            </w:r>
          </w:p>
          <w:p w14:paraId="1D354C6A">
            <w:pPr>
              <w:snapToGrid w:val="0"/>
              <w:spacing w:line="33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）充分发挥政务新媒体传播速度快、受众面广、互动性强等优势，以内容建设为根本，不断强化发布、传播、互动、引导、办事等功能，培育一批优质政务新媒体账号。</w:t>
            </w:r>
          </w:p>
          <w:p w14:paraId="720C977B">
            <w:pPr>
              <w:snapToGrid w:val="0"/>
              <w:spacing w:line="33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）按照国务院办公厅关于政务新媒体建设管理的有关要求，充分发挥政务新媒体（荣昌微发布）作用，用于本级政府及其部门（本部门及下属单位）、各镇街开展政务公开、政务服务和政民互动。</w:t>
            </w:r>
          </w:p>
          <w:p w14:paraId="5B12C83A">
            <w:pPr>
              <w:snapToGrid w:val="0"/>
              <w:spacing w:line="33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）针对一哄而上、重复建设、“娱乐化”“空壳化”等突出问题，全面开展政务新媒体排查整治，对无资金保障、无专人维护和信息更新不及时、关注度低、运行效果差的政务新媒体，要坚决予以关停整合。</w:t>
            </w:r>
          </w:p>
          <w:p w14:paraId="197D27A2">
            <w:pPr>
              <w:pStyle w:val="12"/>
              <w:widowControl/>
              <w:snapToGrid w:val="0"/>
              <w:spacing w:line="330" w:lineRule="exact"/>
              <w:ind w:left="412" w:firstLine="0" w:firstLineChars="0"/>
              <w:rPr>
                <w:rFonts w:ascii="方正仿宋_GBK"/>
                <w:sz w:val="24"/>
                <w:szCs w:val="24"/>
              </w:rPr>
            </w:pPr>
            <w:r>
              <w:rPr>
                <w:rFonts w:ascii="方正仿宋_GBK" w:hAnsi="方正仿宋_GBK" w:cs="方正仿宋_GBK"/>
                <w:sz w:val="24"/>
                <w:szCs w:val="24"/>
              </w:rPr>
              <w:t>3</w:t>
            </w:r>
            <w:r>
              <w:rPr>
                <w:rFonts w:hint="eastAsia" w:ascii="方正仿宋_GBK" w:hAnsi="方正仿宋_GBK" w:cs="方正仿宋_GBK"/>
                <w:sz w:val="24"/>
                <w:szCs w:val="24"/>
              </w:rPr>
              <w:t>．政府信息公开专区。</w:t>
            </w:r>
          </w:p>
          <w:p w14:paraId="26AECFF7">
            <w:pPr>
              <w:snapToGrid w:val="0"/>
              <w:spacing w:line="33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按照国家、重庆有关文件要求，在档案馆、公共图书馆、政务服务大厅设置政府信息公开专区。</w:t>
            </w:r>
          </w:p>
        </w:tc>
        <w:tc>
          <w:tcPr>
            <w:tcW w:w="1209" w:type="dxa"/>
            <w:tcMar>
              <w:top w:w="0" w:type="dxa"/>
              <w:left w:w="0" w:type="dxa"/>
              <w:bottom w:w="0" w:type="dxa"/>
              <w:right w:w="0" w:type="dxa"/>
            </w:tcMar>
            <w:vAlign w:val="center"/>
          </w:tcPr>
          <w:p w14:paraId="41D7E8CC">
            <w:pPr>
              <w:snapToGrid w:val="0"/>
              <w:jc w:val="center"/>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5FAC62F2">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561E7AD5">
            <w:pPr>
              <w:snapToGrid w:val="0"/>
              <w:jc w:val="center"/>
              <w:rPr>
                <w:rFonts w:ascii="方正仿宋_GBK" w:hAnsi="方正仿宋_GBK" w:eastAsia="方正仿宋_GBK" w:cs="Times New Roman"/>
                <w:sz w:val="24"/>
                <w:szCs w:val="24"/>
              </w:rPr>
            </w:pPr>
          </w:p>
        </w:tc>
      </w:tr>
      <w:tr w14:paraId="6C0CB80D">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3A5FDFEC">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03622CC">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85646FD">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．严格按照国务院办公厅、市政府办公厅、区政府办公室文件要求和格式模板，进一步规范政府信息公开专栏建设和内容管理。</w:t>
            </w:r>
          </w:p>
          <w:p w14:paraId="097AD604">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．区政府办公室要对政府信息公开专栏建设情况开展专项检查，未按要求完成的，依据有关规定督促整改、通报批评。</w:t>
            </w:r>
          </w:p>
        </w:tc>
        <w:tc>
          <w:tcPr>
            <w:tcW w:w="1209" w:type="dxa"/>
            <w:tcMar>
              <w:top w:w="0" w:type="dxa"/>
              <w:left w:w="0" w:type="dxa"/>
              <w:bottom w:w="0" w:type="dxa"/>
              <w:right w:w="0" w:type="dxa"/>
            </w:tcMar>
            <w:vAlign w:val="center"/>
          </w:tcPr>
          <w:p w14:paraId="640C9F1D">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73D189B7">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59A16854">
            <w:pPr>
              <w:snapToGrid w:val="0"/>
              <w:jc w:val="center"/>
              <w:rPr>
                <w:rFonts w:ascii="方正仿宋_GBK" w:hAnsi="方正仿宋_GBK" w:eastAsia="方正仿宋_GBK" w:cs="Times New Roman"/>
                <w:sz w:val="24"/>
                <w:szCs w:val="24"/>
              </w:rPr>
            </w:pPr>
          </w:p>
        </w:tc>
      </w:tr>
      <w:tr w14:paraId="44C18B52">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257EB1F4">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3635F5E8">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5CA529AD">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区政府电子政务中心要根据</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政务公开工作要点任务要求，及时在区政府门户网站上增设相关政府信息公开栏目，调整政府信息公开目录，归集展示本级政府部门发布的重要信息，方便社会公众获取，更好地发挥政府信息对经济社会发展的促进作用。</w:t>
            </w:r>
          </w:p>
        </w:tc>
        <w:tc>
          <w:tcPr>
            <w:tcW w:w="1209" w:type="dxa"/>
            <w:tcMar>
              <w:top w:w="0" w:type="dxa"/>
              <w:left w:w="0" w:type="dxa"/>
              <w:bottom w:w="0" w:type="dxa"/>
              <w:right w:w="0" w:type="dxa"/>
            </w:tcMar>
            <w:vAlign w:val="center"/>
          </w:tcPr>
          <w:p w14:paraId="3F6C66C1">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c>
          <w:tcPr>
            <w:tcW w:w="1523" w:type="dxa"/>
            <w:tcMar>
              <w:top w:w="0" w:type="dxa"/>
              <w:left w:w="0" w:type="dxa"/>
              <w:bottom w:w="0" w:type="dxa"/>
              <w:right w:w="0" w:type="dxa"/>
            </w:tcMar>
            <w:vAlign w:val="center"/>
          </w:tcPr>
          <w:p w14:paraId="48D86E7C">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区政府门户网站（页）管理单位</w:t>
            </w:r>
          </w:p>
        </w:tc>
        <w:tc>
          <w:tcPr>
            <w:tcW w:w="890" w:type="dxa"/>
            <w:tcMar>
              <w:top w:w="0" w:type="dxa"/>
              <w:left w:w="0" w:type="dxa"/>
              <w:bottom w:w="0" w:type="dxa"/>
              <w:right w:w="0" w:type="dxa"/>
            </w:tcMar>
            <w:vAlign w:val="center"/>
          </w:tcPr>
          <w:p w14:paraId="4621FC07">
            <w:pPr>
              <w:snapToGrid w:val="0"/>
              <w:jc w:val="center"/>
              <w:rPr>
                <w:rFonts w:ascii="方正仿宋_GBK" w:hAnsi="方正仿宋_GBK" w:eastAsia="方正仿宋_GBK" w:cs="Times New Roman"/>
                <w:sz w:val="24"/>
                <w:szCs w:val="24"/>
              </w:rPr>
            </w:pPr>
          </w:p>
        </w:tc>
      </w:tr>
      <w:tr w14:paraId="0B1E6EC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278" w:hRule="atLeast"/>
          <w:jc w:val="center"/>
        </w:trPr>
        <w:tc>
          <w:tcPr>
            <w:tcW w:w="977" w:type="dxa"/>
            <w:vMerge w:val="restart"/>
            <w:tcMar>
              <w:top w:w="0" w:type="dxa"/>
              <w:left w:w="0" w:type="dxa"/>
              <w:bottom w:w="0" w:type="dxa"/>
              <w:right w:w="0" w:type="dxa"/>
            </w:tcMar>
            <w:vAlign w:val="center"/>
          </w:tcPr>
          <w:p w14:paraId="4883066B">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8480" behindDoc="0" locked="0" layoutInCell="1" allowOverlap="1">
                      <wp:simplePos x="0" y="0"/>
                      <wp:positionH relativeFrom="column">
                        <wp:posOffset>-485775</wp:posOffset>
                      </wp:positionH>
                      <wp:positionV relativeFrom="paragraph">
                        <wp:posOffset>-436245</wp:posOffset>
                      </wp:positionV>
                      <wp:extent cx="342900" cy="908685"/>
                      <wp:effectExtent l="4445" t="4445" r="8255" b="13970"/>
                      <wp:wrapNone/>
                      <wp:docPr id="10" name="文本框 17"/>
                      <wp:cNvGraphicFramePr/>
                      <a:graphic xmlns:a="http://schemas.openxmlformats.org/drawingml/2006/main">
                        <a:graphicData uri="http://schemas.microsoft.com/office/word/2010/wordprocessingShape">
                          <wps:wsp>
                            <wps:cNvSpPr txBox="1"/>
                            <wps:spPr>
                              <a:xfrm>
                                <a:off x="0" y="0"/>
                                <a:ext cx="34290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F2F020">
                                  <w:pPr>
                                    <w:snapToGrid w:val="0"/>
                                    <w:rPr>
                                      <w:rFonts w:ascii="宋体" w:cs="Times New Roman"/>
                                      <w:sz w:val="28"/>
                                      <w:szCs w:val="28"/>
                                    </w:rPr>
                                  </w:pPr>
                                  <w:r>
                                    <w:rPr>
                                      <w:rFonts w:ascii="宋体" w:hAnsi="宋体" w:cs="宋体"/>
                                      <w:sz w:val="28"/>
                                      <w:szCs w:val="28"/>
                                    </w:rPr>
                                    <w:t>— 16 —</w:t>
                                  </w:r>
                                </w:p>
                              </w:txbxContent>
                            </wps:txbx>
                            <wps:bodyPr vert="eaVert" lIns="0" tIns="0" rIns="0" bIns="0" upright="1"/>
                          </wps:wsp>
                        </a:graphicData>
                      </a:graphic>
                    </wp:anchor>
                  </w:drawing>
                </mc:Choice>
                <mc:Fallback>
                  <w:pict>
                    <v:shape id="文本框 17" o:spid="_x0000_s1026" o:spt="202" type="#_x0000_t202" style="position:absolute;left:0pt;margin-left:-38.25pt;margin-top:-34.35pt;height:71.55pt;width:27pt;z-index:251668480;mso-width-relative:page;mso-height-relative:page;" fillcolor="#FFFFFF" filled="t" stroked="t" coordsize="21600,21600" o:gfxdata="UEsDBAoAAAAAAIdO4kAAAAAAAAAAAAAAAAAEAAAAZHJzL1BLAwQUAAAACACHTuJAwleiO9oAAAAK&#10;AQAADwAAAGRycy9kb3ducmV2LnhtbE2PPW/CMBCG90r9D9ZVYgsOESQojcOAhARDh1KE6ObE1yRq&#10;fI5i81F+fa9T2e7j0XvPFaub7cUFR985UjCbxiCQamc6ahQcPjbREoQPmozuHaGCH/SwKp+fCp0b&#10;d6V3vOxDIziEfK4VtCEMuZS+btFqP3UDEu++3Gh14HZspBn1lcNtL5M4TqXVHfGFVg+4brH+3p+t&#10;gnXzOSzcbhvSezh2h+rtdDe7rVKTl1n8CiLgLfzD8KfP6lCyU+XOZLzoFURZumCUi3SZgWAiShKe&#10;VAqy+RxkWcjHF8pfUEsDBBQAAAAIAIdO4kBW/NwnHAIAAGkEAAAOAAAAZHJzL2Uyb0RvYy54bWyt&#10;VM2O0zAQviPxDpbvbNJCl27UdCUoRUgIkBa4u4mTWPKfbLdJXwDegBMX7jxXn4PPTttll0sP5JB8&#10;9oy/mflmnMXtoCTZceeF0SWdXOWUcF2ZWui2pF8+r5/NKfGB6ZpJo3lJ99zT2+XTJ4veFnxqOiNr&#10;7ghItC96W9IuBFtkma86rpi/MpZrGBvjFAtYujarHevBrmQ2zfPrrDeuts5U3HvsrkYjPTK6SwhN&#10;04iKr0y1VVyHkdVxyQJK8p2wni5Ttk3Dq/CxaTwPRJYUlYb0RhDgTXxnywUrWsdsJ6pjCuySFB7V&#10;pJjQCHqmWrHAyNaJf6iUqJzxpglXlVHZWEhSBFVM8kfa3HXM8lQLpPb2LLr/f7TVh90nR0SNSYAk&#10;mil0/PDj++Hn78Ovb2TyMgrUW1/A787CMwyvzADn077HZqx7aJyKX1REYAfX/iwvHwKpsPn8xfQm&#10;h6WC6SafX89nkSW7P2ydD2+5USSCkjp0L4nKdu99GF1PLjGWN1LUayFlWrh281o6smPo9Do9R/YH&#10;blKTHtFn0xnyYBjfBmMDqCwk8LpN8R6c8JcRx8RWzHdjAokhxmeFEoG7hDrO6je6JmFvobLG7aIx&#10;GcVrSiTHZYwoeQYm5CWe0E5qSBg7NHYiojBsBtBEuDH1Hl3DdYeenH3FF7HeaUwQGhFOwJ3A5gS2&#10;1om2w6HU6RQAE5i6dbwtccT/Xqc07v8Q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CV6I72gAA&#10;AAoBAAAPAAAAAAAAAAEAIAAAACIAAABkcnMvZG93bnJldi54bWxQSwECFAAUAAAACACHTuJAVvzc&#10;JxwCAABpBAAADgAAAAAAAAABACAAAAApAQAAZHJzL2Uyb0RvYy54bWxQSwUGAAAAAAYABgBZAQAA&#10;twUAAAAA&#10;">
                      <v:fill on="t" focussize="0,0"/>
                      <v:stroke color="#FFFFFF" joinstyle="miter"/>
                      <v:imagedata o:title=""/>
                      <o:lock v:ext="edit" aspectratio="f"/>
                      <v:textbox inset="0mm,0mm,0mm,0mm" style="layout-flow:vertical-ideographic;">
                        <w:txbxContent>
                          <w:p w14:paraId="4BF2F020">
                            <w:pPr>
                              <w:snapToGrid w:val="0"/>
                              <w:rPr>
                                <w:rFonts w:ascii="宋体" w:cs="Times New Roman"/>
                                <w:sz w:val="28"/>
                                <w:szCs w:val="28"/>
                              </w:rPr>
                            </w:pPr>
                            <w:r>
                              <w:rPr>
                                <w:rFonts w:ascii="宋体" w:hAnsi="宋体" w:cs="宋体"/>
                                <w:sz w:val="28"/>
                                <w:szCs w:val="28"/>
                              </w:rPr>
                              <w:t>— 16 —</w:t>
                            </w:r>
                          </w:p>
                        </w:txbxContent>
                      </v:textbox>
                    </v:shape>
                  </w:pict>
                </mc:Fallback>
              </mc:AlternateContent>
            </w:r>
          </w:p>
          <w:p w14:paraId="3FAFD062">
            <w:pPr>
              <w:snapToGrid w:val="0"/>
              <w:rPr>
                <w:rFonts w:ascii="方正仿宋_GBK" w:hAnsi="方正仿宋_GBK" w:eastAsia="方正仿宋_GBK" w:cs="Times New Roman"/>
                <w:sz w:val="15"/>
                <w:szCs w:val="15"/>
              </w:rPr>
            </w:pPr>
          </w:p>
          <w:p w14:paraId="01B17AE8">
            <w:pPr>
              <w:snapToGrid w:val="0"/>
              <w:rPr>
                <w:rFonts w:ascii="方正仿宋_GBK" w:hAnsi="方正仿宋_GBK" w:eastAsia="方正仿宋_GBK" w:cs="Times New Roman"/>
              </w:rPr>
            </w:pPr>
          </w:p>
          <w:p w14:paraId="122A5559">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三、紧扣强基础抓基层深化政务公开</w:t>
            </w:r>
          </w:p>
        </w:tc>
        <w:tc>
          <w:tcPr>
            <w:tcW w:w="1105" w:type="dxa"/>
            <w:vMerge w:val="restart"/>
            <w:tcMar>
              <w:top w:w="0" w:type="dxa"/>
              <w:left w:w="0" w:type="dxa"/>
              <w:bottom w:w="0" w:type="dxa"/>
              <w:right w:w="0" w:type="dxa"/>
            </w:tcMar>
            <w:vAlign w:val="center"/>
          </w:tcPr>
          <w:p w14:paraId="4FCD0AC0">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（三）推进基层政务公开标准化规范化。</w:t>
            </w:r>
          </w:p>
        </w:tc>
        <w:tc>
          <w:tcPr>
            <w:tcW w:w="8066" w:type="dxa"/>
            <w:tcMar>
              <w:top w:w="0" w:type="dxa"/>
              <w:left w:w="0" w:type="dxa"/>
              <w:bottom w:w="0" w:type="dxa"/>
              <w:right w:w="0" w:type="dxa"/>
            </w:tcMar>
            <w:vAlign w:val="center"/>
          </w:tcPr>
          <w:p w14:paraId="6A74C254">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已经出台试点领域政务公开标准指引的区政府部门，要按照实事求是、集约高效、条理清晰、科学合理的原则，严格对照本领域政务公开标准指引，参照将于</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月</w:t>
            </w:r>
            <w:r>
              <w:rPr>
                <w:rFonts w:ascii="方正仿宋_GBK" w:hAnsi="方正仿宋_GBK" w:eastAsia="方正仿宋_GBK" w:cs="方正仿宋_GBK"/>
                <w:sz w:val="24"/>
                <w:szCs w:val="24"/>
              </w:rPr>
              <w:t>31</w:t>
            </w:r>
            <w:r>
              <w:rPr>
                <w:rFonts w:hint="eastAsia" w:ascii="方正仿宋_GBK" w:hAnsi="方正仿宋_GBK" w:eastAsia="方正仿宋_GBK" w:cs="方正仿宋_GBK"/>
                <w:sz w:val="24"/>
                <w:szCs w:val="24"/>
              </w:rPr>
              <w:t>日前市级有关部门下发的市、区县、乡镇基层政务公开栏目格式模板，公开相关信息。</w:t>
            </w:r>
          </w:p>
        </w:tc>
        <w:tc>
          <w:tcPr>
            <w:tcW w:w="1209" w:type="dxa"/>
            <w:vMerge w:val="restart"/>
            <w:tcMar>
              <w:top w:w="0" w:type="dxa"/>
              <w:left w:w="0" w:type="dxa"/>
              <w:bottom w:w="0" w:type="dxa"/>
              <w:right w:w="0" w:type="dxa"/>
            </w:tcMar>
            <w:vAlign w:val="center"/>
          </w:tcPr>
          <w:p w14:paraId="1378CE45">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5A1F192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w:t>
            </w:r>
          </w:p>
        </w:tc>
        <w:tc>
          <w:tcPr>
            <w:tcW w:w="890" w:type="dxa"/>
            <w:tcMar>
              <w:top w:w="0" w:type="dxa"/>
              <w:left w:w="0" w:type="dxa"/>
              <w:bottom w:w="0" w:type="dxa"/>
              <w:right w:w="0" w:type="dxa"/>
            </w:tcMar>
            <w:vAlign w:val="center"/>
          </w:tcPr>
          <w:p w14:paraId="187E3B32">
            <w:pPr>
              <w:snapToGrid w:val="0"/>
              <w:jc w:val="center"/>
              <w:rPr>
                <w:rFonts w:ascii="方正仿宋_GBK" w:hAnsi="方正仿宋_GBK" w:eastAsia="方正仿宋_GBK" w:cs="Times New Roman"/>
                <w:sz w:val="24"/>
                <w:szCs w:val="24"/>
              </w:rPr>
            </w:pPr>
          </w:p>
        </w:tc>
      </w:tr>
      <w:tr w14:paraId="1691F84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092" w:hRule="atLeast"/>
          <w:jc w:val="center"/>
        </w:trPr>
        <w:tc>
          <w:tcPr>
            <w:tcW w:w="977" w:type="dxa"/>
            <w:vMerge w:val="continue"/>
            <w:tcMar>
              <w:top w:w="0" w:type="dxa"/>
              <w:left w:w="0" w:type="dxa"/>
              <w:bottom w:w="0" w:type="dxa"/>
              <w:right w:w="0" w:type="dxa"/>
            </w:tcMar>
            <w:vAlign w:val="center"/>
          </w:tcPr>
          <w:p w14:paraId="76D750EA">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577DB812">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0E7A0D4">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．在市政府有关部门印发基层政务公开标准指引</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个月内，结合本区行政权责清单，编制区、镇街政务公开标准目录。</w:t>
            </w:r>
          </w:p>
          <w:p w14:paraId="28787931">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．严格按照基层政务公开标准目录，全面、及时、准确地公开相关信息。</w:t>
            </w:r>
          </w:p>
        </w:tc>
        <w:tc>
          <w:tcPr>
            <w:tcW w:w="1209" w:type="dxa"/>
            <w:vMerge w:val="continue"/>
            <w:tcMar>
              <w:top w:w="0" w:type="dxa"/>
              <w:left w:w="0" w:type="dxa"/>
              <w:bottom w:w="0" w:type="dxa"/>
              <w:right w:w="0" w:type="dxa"/>
            </w:tcMar>
            <w:vAlign w:val="center"/>
          </w:tcPr>
          <w:p w14:paraId="581AC950">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6BF3032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w:t>
            </w:r>
          </w:p>
        </w:tc>
        <w:tc>
          <w:tcPr>
            <w:tcW w:w="890" w:type="dxa"/>
            <w:tcMar>
              <w:top w:w="0" w:type="dxa"/>
              <w:left w:w="0" w:type="dxa"/>
              <w:bottom w:w="0" w:type="dxa"/>
              <w:right w:w="0" w:type="dxa"/>
            </w:tcMar>
            <w:vAlign w:val="center"/>
          </w:tcPr>
          <w:p w14:paraId="0C754918">
            <w:pPr>
              <w:snapToGrid w:val="0"/>
              <w:jc w:val="center"/>
              <w:rPr>
                <w:rFonts w:ascii="方正仿宋_GBK" w:hAnsi="方正仿宋_GBK" w:eastAsia="方正仿宋_GBK" w:cs="Times New Roman"/>
                <w:sz w:val="24"/>
                <w:szCs w:val="24"/>
              </w:rPr>
            </w:pPr>
          </w:p>
        </w:tc>
      </w:tr>
      <w:tr w14:paraId="7A3D4F78">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653" w:hRule="atLeast"/>
          <w:jc w:val="center"/>
        </w:trPr>
        <w:tc>
          <w:tcPr>
            <w:tcW w:w="977" w:type="dxa"/>
            <w:vMerge w:val="continue"/>
            <w:tcMar>
              <w:top w:w="0" w:type="dxa"/>
              <w:left w:w="0" w:type="dxa"/>
              <w:bottom w:w="0" w:type="dxa"/>
              <w:right w:w="0" w:type="dxa"/>
            </w:tcMar>
            <w:vAlign w:val="center"/>
          </w:tcPr>
          <w:p w14:paraId="6351EF1D">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1A016A68">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5C893C8">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持续深化公共资源配置、重大建设项目等重点领域信息公开，防范化解廉政风险。</w:t>
            </w:r>
          </w:p>
        </w:tc>
        <w:tc>
          <w:tcPr>
            <w:tcW w:w="1209" w:type="dxa"/>
            <w:tcMar>
              <w:top w:w="0" w:type="dxa"/>
              <w:left w:w="0" w:type="dxa"/>
              <w:bottom w:w="0" w:type="dxa"/>
              <w:right w:w="0" w:type="dxa"/>
            </w:tcMar>
            <w:vAlign w:val="center"/>
          </w:tcPr>
          <w:p w14:paraId="14980870">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区发展改革委</w:t>
            </w:r>
          </w:p>
        </w:tc>
        <w:tc>
          <w:tcPr>
            <w:tcW w:w="1523" w:type="dxa"/>
            <w:tcMar>
              <w:top w:w="0" w:type="dxa"/>
              <w:left w:w="0" w:type="dxa"/>
              <w:bottom w:w="0" w:type="dxa"/>
              <w:right w:w="0" w:type="dxa"/>
            </w:tcMar>
            <w:vAlign w:val="center"/>
          </w:tcPr>
          <w:p w14:paraId="29442953">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350A6209">
            <w:pPr>
              <w:snapToGrid w:val="0"/>
              <w:jc w:val="center"/>
              <w:rPr>
                <w:rFonts w:ascii="方正仿宋_GBK" w:hAnsi="方正仿宋_GBK" w:eastAsia="方正仿宋_GBK" w:cs="Times New Roman"/>
                <w:sz w:val="24"/>
                <w:szCs w:val="24"/>
              </w:rPr>
            </w:pPr>
          </w:p>
        </w:tc>
      </w:tr>
      <w:tr w14:paraId="067030F0">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2978" w:hRule="atLeast"/>
          <w:jc w:val="center"/>
        </w:trPr>
        <w:tc>
          <w:tcPr>
            <w:tcW w:w="977" w:type="dxa"/>
            <w:vMerge w:val="restart"/>
            <w:tcMar>
              <w:top w:w="0" w:type="dxa"/>
              <w:left w:w="0" w:type="dxa"/>
              <w:bottom w:w="0" w:type="dxa"/>
              <w:right w:w="0" w:type="dxa"/>
            </w:tcMar>
            <w:vAlign w:val="center"/>
          </w:tcPr>
          <w:p w14:paraId="7385A459">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四、紧扣政府信息公开条例实施深化政务公开</w:t>
            </w:r>
          </w:p>
        </w:tc>
        <w:tc>
          <w:tcPr>
            <w:tcW w:w="1105" w:type="dxa"/>
            <w:vMerge w:val="restart"/>
            <w:tcMar>
              <w:top w:w="0" w:type="dxa"/>
              <w:left w:w="0" w:type="dxa"/>
              <w:bottom w:w="0" w:type="dxa"/>
              <w:right w:w="0" w:type="dxa"/>
            </w:tcMar>
            <w:vAlign w:val="center"/>
          </w:tcPr>
          <w:p w14:paraId="5758E1D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（一）提高依申请公开工作质量。</w:t>
            </w:r>
          </w:p>
        </w:tc>
        <w:tc>
          <w:tcPr>
            <w:tcW w:w="8066" w:type="dxa"/>
            <w:tcMar>
              <w:top w:w="0" w:type="dxa"/>
              <w:left w:w="0" w:type="dxa"/>
              <w:bottom w:w="0" w:type="dxa"/>
              <w:right w:w="0" w:type="dxa"/>
            </w:tcMar>
            <w:vAlign w:val="center"/>
          </w:tcPr>
          <w:p w14:paraId="4278B846">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．严格落实《重庆市人民政府办公厅关于进一步做好政府信息依申请公开工作的通知》文件精神，规范答复文书、办理流程。</w:t>
            </w:r>
          </w:p>
          <w:p w14:paraId="6C13F290">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．强化服务理念，本着“合法、便民”原则，主动加强与申请人沟通交流，尽可能满足申请人对政府信息的个性化合理需求。</w:t>
            </w:r>
          </w:p>
          <w:p w14:paraId="2ABFEA1A">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．将政府信息依申请公开纳入政务公开培训内容，归集整理有关案例汇编，加强业务培训和案例指导。</w:t>
            </w:r>
          </w:p>
          <w:p w14:paraId="3E31D2FA">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．正确适用《政府信息公开信息处理费管理办法》，严格依照规定的标准、程序、方式计收信息处理费。</w:t>
            </w:r>
          </w:p>
        </w:tc>
        <w:tc>
          <w:tcPr>
            <w:tcW w:w="1209" w:type="dxa"/>
            <w:tcMar>
              <w:top w:w="0" w:type="dxa"/>
              <w:left w:w="0" w:type="dxa"/>
              <w:bottom w:w="0" w:type="dxa"/>
              <w:right w:w="0" w:type="dxa"/>
            </w:tcMar>
            <w:vAlign w:val="center"/>
          </w:tcPr>
          <w:p w14:paraId="5F9C368A">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15FD2A68">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区政府有关部门、各镇街</w:t>
            </w:r>
          </w:p>
        </w:tc>
        <w:tc>
          <w:tcPr>
            <w:tcW w:w="890" w:type="dxa"/>
            <w:tcMar>
              <w:top w:w="0" w:type="dxa"/>
              <w:left w:w="0" w:type="dxa"/>
              <w:bottom w:w="0" w:type="dxa"/>
              <w:right w:w="0" w:type="dxa"/>
            </w:tcMar>
            <w:vAlign w:val="center"/>
          </w:tcPr>
          <w:p w14:paraId="5B7D7E77">
            <w:pPr>
              <w:snapToGrid w:val="0"/>
              <w:jc w:val="center"/>
              <w:rPr>
                <w:rFonts w:ascii="方正仿宋_GBK" w:hAnsi="方正仿宋_GBK" w:eastAsia="方正仿宋_GBK" w:cs="Times New Roman"/>
                <w:sz w:val="24"/>
                <w:szCs w:val="24"/>
              </w:rPr>
            </w:pPr>
          </w:p>
        </w:tc>
      </w:tr>
      <w:tr w14:paraId="73A6F37A">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519" w:hRule="atLeast"/>
          <w:jc w:val="center"/>
        </w:trPr>
        <w:tc>
          <w:tcPr>
            <w:tcW w:w="977" w:type="dxa"/>
            <w:vMerge w:val="continue"/>
            <w:tcMar>
              <w:top w:w="0" w:type="dxa"/>
              <w:left w:w="0" w:type="dxa"/>
              <w:bottom w:w="0" w:type="dxa"/>
              <w:right w:w="0" w:type="dxa"/>
            </w:tcMar>
            <w:vAlign w:val="center"/>
          </w:tcPr>
          <w:p w14:paraId="13D9AFEF">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3978887F">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34EF9C23">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．将政府信息公开信息处理费项目纳入重庆市</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年行政事业性收费目录清单（公开路径：政府网站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法定主动公开内容</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收费项目）。</w:t>
            </w:r>
          </w:p>
          <w:p w14:paraId="4D829575">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．指导各级行政机关做好政府信息公开信息处理费票据、收缴、入库等工作。</w:t>
            </w:r>
          </w:p>
        </w:tc>
        <w:tc>
          <w:tcPr>
            <w:tcW w:w="1209" w:type="dxa"/>
            <w:tcMar>
              <w:top w:w="0" w:type="dxa"/>
              <w:left w:w="0" w:type="dxa"/>
              <w:bottom w:w="0" w:type="dxa"/>
              <w:right w:w="0" w:type="dxa"/>
            </w:tcMar>
            <w:vAlign w:val="center"/>
          </w:tcPr>
          <w:p w14:paraId="42AE3FD0">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区财政局</w:t>
            </w:r>
          </w:p>
        </w:tc>
        <w:tc>
          <w:tcPr>
            <w:tcW w:w="1523" w:type="dxa"/>
            <w:tcMar>
              <w:top w:w="0" w:type="dxa"/>
              <w:left w:w="0" w:type="dxa"/>
              <w:bottom w:w="0" w:type="dxa"/>
              <w:right w:w="0" w:type="dxa"/>
            </w:tcMar>
            <w:vAlign w:val="center"/>
          </w:tcPr>
          <w:p w14:paraId="05A099D2">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1AF3DCFD">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7C0BCB9D">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850" w:hRule="atLeast"/>
          <w:jc w:val="center"/>
        </w:trPr>
        <w:tc>
          <w:tcPr>
            <w:tcW w:w="977" w:type="dxa"/>
            <w:vMerge w:val="restart"/>
            <w:tcMar>
              <w:top w:w="0" w:type="dxa"/>
              <w:left w:w="0" w:type="dxa"/>
              <w:bottom w:w="0" w:type="dxa"/>
              <w:right w:w="0" w:type="dxa"/>
            </w:tcMar>
            <w:vAlign w:val="center"/>
          </w:tcPr>
          <w:p w14:paraId="5142F21A">
            <w:pPr>
              <w:snapToGrid w:val="0"/>
              <w:rPr>
                <w:rFonts w:ascii="方正仿宋_GBK" w:hAnsi="方正仿宋_GBK" w:eastAsia="方正仿宋_GBK" w:cs="方正仿宋_GBK"/>
                <w:sz w:val="24"/>
                <w:szCs w:val="24"/>
              </w:rPr>
            </w:pPr>
          </w:p>
          <w:p w14:paraId="3A867277">
            <w:pPr>
              <w:snapToGrid w:val="0"/>
              <w:rPr>
                <w:rFonts w:ascii="方正仿宋_GBK" w:hAnsi="方正仿宋_GBK" w:eastAsia="方正仿宋_GBK" w:cs="方正仿宋_GBK"/>
                <w:sz w:val="24"/>
                <w:szCs w:val="24"/>
              </w:rPr>
            </w:pPr>
          </w:p>
          <w:p w14:paraId="3680A07B">
            <w:pPr>
              <w:snapToGrid w:val="0"/>
              <w:rPr>
                <w:rFonts w:ascii="方正仿宋_GBK" w:hAnsi="方正仿宋_GBK" w:eastAsia="方正仿宋_GBK" w:cs="方正仿宋_GBK"/>
                <w:sz w:val="24"/>
                <w:szCs w:val="24"/>
              </w:rPr>
            </w:pPr>
          </w:p>
          <w:p w14:paraId="5BBFD3B6">
            <w:pPr>
              <w:snapToGrid w:val="0"/>
              <w:rPr>
                <w:rFonts w:ascii="方正仿宋_GBK" w:hAnsi="方正仿宋_GBK" w:eastAsia="方正仿宋_GBK" w:cs="方正仿宋_GBK"/>
                <w:sz w:val="24"/>
                <w:szCs w:val="24"/>
              </w:rPr>
            </w:pPr>
          </w:p>
          <w:p w14:paraId="47583D5A">
            <w:pPr>
              <w:snapToGrid w:val="0"/>
              <w:rPr>
                <w:rFonts w:ascii="方正仿宋_GBK" w:hAnsi="方正仿宋_GBK" w:eastAsia="方正仿宋_GBK" w:cs="方正仿宋_GBK"/>
                <w:sz w:val="24"/>
                <w:szCs w:val="24"/>
              </w:rPr>
            </w:pPr>
          </w:p>
          <w:p w14:paraId="1FD80E2F">
            <w:pPr>
              <w:snapToGrid w:val="0"/>
              <w:rPr>
                <w:rFonts w:ascii="方正仿宋_GBK" w:hAnsi="方正仿宋_GBK" w:eastAsia="方正仿宋_GBK" w:cs="方正仿宋_GBK"/>
                <w:sz w:val="24"/>
                <w:szCs w:val="24"/>
              </w:rPr>
            </w:pPr>
          </w:p>
          <w:p w14:paraId="5A4EBBFB">
            <w:pPr>
              <w:snapToGrid w:val="0"/>
              <w:rPr>
                <w:rFonts w:ascii="方正仿宋_GBK" w:hAnsi="方正仿宋_GBK" w:eastAsia="方正仿宋_GBK" w:cs="方正仿宋_GBK"/>
                <w:sz w:val="24"/>
                <w:szCs w:val="24"/>
              </w:rPr>
            </w:pPr>
          </w:p>
          <w:p w14:paraId="3B54732D">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70528" behindDoc="0" locked="0" layoutInCell="1" allowOverlap="1">
                      <wp:simplePos x="0" y="0"/>
                      <wp:positionH relativeFrom="column">
                        <wp:posOffset>-617855</wp:posOffset>
                      </wp:positionH>
                      <wp:positionV relativeFrom="paragraph">
                        <wp:posOffset>2493010</wp:posOffset>
                      </wp:positionV>
                      <wp:extent cx="320040" cy="908685"/>
                      <wp:effectExtent l="4445" t="4445" r="5715" b="13970"/>
                      <wp:wrapNone/>
                      <wp:docPr id="13" name="文本框 18"/>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BCEAFCC">
                                  <w:pPr>
                                    <w:snapToGrid w:val="0"/>
                                    <w:rPr>
                                      <w:rFonts w:ascii="宋体" w:cs="Times New Roman"/>
                                      <w:sz w:val="28"/>
                                      <w:szCs w:val="28"/>
                                    </w:rPr>
                                  </w:pPr>
                                  <w:r>
                                    <w:rPr>
                                      <w:rFonts w:ascii="宋体" w:hAnsi="宋体" w:cs="宋体"/>
                                      <w:sz w:val="28"/>
                                      <w:szCs w:val="28"/>
                                    </w:rPr>
                                    <w:t>— 17 —</w:t>
                                  </w:r>
                                </w:p>
                              </w:txbxContent>
                            </wps:txbx>
                            <wps:bodyPr vert="eaVert" lIns="0" tIns="0" rIns="0" bIns="0" upright="1"/>
                          </wps:wsp>
                        </a:graphicData>
                      </a:graphic>
                    </wp:anchor>
                  </w:drawing>
                </mc:Choice>
                <mc:Fallback>
                  <w:pict>
                    <v:shape id="文本框 18" o:spid="_x0000_s1026" o:spt="202" type="#_x0000_t202" style="position:absolute;left:0pt;margin-left:-48.65pt;margin-top:196.3pt;height:71.55pt;width:25.2pt;z-index:251670528;mso-width-relative:page;mso-height-relative:page;" fillcolor="#FFFFFF" filled="t" stroked="t" coordsize="21600,21600" o:gfxdata="UEsDBAoAAAAAAIdO4kAAAAAAAAAAAAAAAAAEAAAAZHJzL1BLAwQUAAAACACHTuJATvZa3t0AAAAL&#10;AQAADwAAAGRycy9kb3ducmV2LnhtbE2Py07DMBBF90j8gzVI7FKnDUlJyKSLSkjtggWlQrBz4iGJ&#10;iMdR7D7o12NWZTm6R/eeKVdnM4gjTa63jDCfxSCIG6t7bhH2b8/RIwjnFWs1WCaEH3Kwqm5vSlVo&#10;e+JXOu58K0IJu0IhdN6PhZSu6cgoN7Mjcci+7GSUD+fUSj2pUyg3g1zEcSaN6jksdGqkdUfN9+5g&#10;ENbt55ja7cZnF//e7+uXj4vebhDv7+bxEwhPZ3+F4U8/qEMVnGp7YO3EgBDlyySgCEm+yEAEInrI&#10;chA1QpqkS5BVKf//UP0CUEsDBBQAAAAIAIdO4kASKX5OHAIAAGkEAAAOAAAAZHJzL2Uyb0RvYy54&#10;bWytVM2O0zAQviPxDpbvbNouXZWo7UpQipAQIC1wdx0nseQ/2W6TvgC8AScu3Pe5+hx8dtouu1x6&#10;IIfksz3+Zuabmcxve63ITvggrVnQ8dWIEmG4raRpFvTrl/WLGSUhMlMxZY1Y0L0I9Hb5/Nm8c6WY&#10;2NaqSngCEhPKzi1oG6MriyLwVmgWrqwTBoe19ZpFLH1TVJ51YNeqmIxGN0VnfeW85SIE7K6GQ3pk&#10;9JcQ2rqWXKws32ph4sDqhWIRKYVWukCXOdq6Fjx+qusgIlELikxjfsMJ8Ca9i+WclY1nrpX8GAK7&#10;JIQnOWkmDZyeqVYsMrL18h8qLbm3wdbxiltdDIlkRZDFePREm7uWOZFzgdTBnUUP/4+Wf9x99kRW&#10;6IRrSgzTqPjh54/Dr/vD7+9kPEsCdS6UsLtzsIz9a9vD+LQfsJny7muv0xcZEZxD3v1ZXtFHwrF5&#10;jfK/xAnH0avR7GY2TSzFw2XnQ3wnrCYJLKhH9bKobPchxMH0ZJJ8BatktZZK5YVvNm+UJzuGSq/z&#10;c2R/ZKYM6eB9OpkiDob2rdE2gNpBgmCa7O/RjXAZcQpsxUI7BJAZkn9WahmFz6gVrHprKhL3Diob&#10;TBdNwWhRUaIEhjGhbBmZVJdYQjtlIGGq0FCJhGK/6UGT4MZWe1QN4w49BfuGL3y9N+igNA0n4E9g&#10;cwJb52XT4lKudHaADszVOk5LavG/1zmMhz/E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9lre&#10;3QAAAAsBAAAPAAAAAAAAAAEAIAAAACIAAABkcnMvZG93bnJldi54bWxQSwECFAAUAAAACACHTuJA&#10;Eil+ThwCAABpBAAADgAAAAAAAAABACAAAAAsAQAAZHJzL2Uyb0RvYy54bWxQSwUGAAAAAAYABgBZ&#10;AQAAugUAAAAA&#10;">
                      <v:fill on="t" focussize="0,0"/>
                      <v:stroke color="#FFFFFF" joinstyle="miter"/>
                      <v:imagedata o:title=""/>
                      <o:lock v:ext="edit" aspectratio="f"/>
                      <v:textbox inset="0mm,0mm,0mm,0mm" style="layout-flow:vertical-ideographic;">
                        <w:txbxContent>
                          <w:p w14:paraId="0BCEAFCC">
                            <w:pPr>
                              <w:snapToGrid w:val="0"/>
                              <w:rPr>
                                <w:rFonts w:ascii="宋体" w:cs="Times New Roman"/>
                                <w:sz w:val="28"/>
                                <w:szCs w:val="28"/>
                              </w:rPr>
                            </w:pPr>
                            <w:r>
                              <w:rPr>
                                <w:rFonts w:ascii="宋体" w:hAnsi="宋体" w:cs="宋体"/>
                                <w:sz w:val="28"/>
                                <w:szCs w:val="28"/>
                              </w:rPr>
                              <w:t>— 17 —</w:t>
                            </w:r>
                          </w:p>
                        </w:txbxContent>
                      </v:textbox>
                    </v:shape>
                  </w:pict>
                </mc:Fallback>
              </mc:AlternateContent>
            </w:r>
            <w:r>
              <w:rPr>
                <w:rFonts w:hint="eastAsia" w:ascii="方正仿宋_GBK" w:hAnsi="方正仿宋_GBK" w:eastAsia="方正仿宋_GBK" w:cs="方正仿宋_GBK"/>
                <w:sz w:val="24"/>
                <w:szCs w:val="24"/>
              </w:rPr>
              <w:t>四、紧扣政府信息公开条例实施深化政务公开</w:t>
            </w:r>
          </w:p>
        </w:tc>
        <w:tc>
          <w:tcPr>
            <w:tcW w:w="1105" w:type="dxa"/>
            <w:vMerge w:val="restart"/>
            <w:tcMar>
              <w:top w:w="0" w:type="dxa"/>
              <w:left w:w="0" w:type="dxa"/>
              <w:bottom w:w="0" w:type="dxa"/>
              <w:right w:w="0" w:type="dxa"/>
            </w:tcMar>
            <w:vAlign w:val="center"/>
          </w:tcPr>
          <w:p w14:paraId="5B505C0C">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（二）规范政府信息公开行政复议案件审理标准。</w:t>
            </w:r>
          </w:p>
        </w:tc>
        <w:tc>
          <w:tcPr>
            <w:tcW w:w="8066" w:type="dxa"/>
            <w:tcMar>
              <w:top w:w="0" w:type="dxa"/>
              <w:left w:w="0" w:type="dxa"/>
              <w:bottom w:w="0" w:type="dxa"/>
              <w:right w:w="0" w:type="dxa"/>
            </w:tcMar>
            <w:vAlign w:val="center"/>
          </w:tcPr>
          <w:p w14:paraId="2C74545F">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．严格执行国务院行政复议机构制定的政府信息公开行政复议案件审理规范，统一案件审理标准，切实解决同案不同判问题。</w:t>
            </w:r>
          </w:p>
          <w:p w14:paraId="27B5690E">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．发现政府信息公开工作中存在的共性问题以及行政不作为等突出问题的，及时报送区政府信息公开工作主管部门。</w:t>
            </w:r>
          </w:p>
          <w:p w14:paraId="528A9108">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．准确统计本年度全区各级行政机关政府信息公开行政复议情况，于次年</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月底前报送区政府信息公开工作主管部门。</w:t>
            </w:r>
          </w:p>
        </w:tc>
        <w:tc>
          <w:tcPr>
            <w:tcW w:w="1209" w:type="dxa"/>
            <w:vMerge w:val="restart"/>
            <w:tcMar>
              <w:top w:w="0" w:type="dxa"/>
              <w:left w:w="0" w:type="dxa"/>
              <w:bottom w:w="0" w:type="dxa"/>
              <w:right w:w="0" w:type="dxa"/>
            </w:tcMar>
            <w:vAlign w:val="center"/>
          </w:tcPr>
          <w:p w14:paraId="2964B725">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区司法局</w:t>
            </w:r>
          </w:p>
        </w:tc>
        <w:tc>
          <w:tcPr>
            <w:tcW w:w="1523" w:type="dxa"/>
            <w:vMerge w:val="restart"/>
            <w:tcMar>
              <w:top w:w="0" w:type="dxa"/>
              <w:left w:w="0" w:type="dxa"/>
              <w:bottom w:w="0" w:type="dxa"/>
              <w:right w:w="0" w:type="dxa"/>
            </w:tcMar>
            <w:vAlign w:val="center"/>
          </w:tcPr>
          <w:p w14:paraId="7EB17F82">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区司法局</w:t>
            </w:r>
          </w:p>
        </w:tc>
        <w:tc>
          <w:tcPr>
            <w:tcW w:w="890" w:type="dxa"/>
            <w:vMerge w:val="restart"/>
            <w:tcMar>
              <w:top w:w="0" w:type="dxa"/>
              <w:left w:w="0" w:type="dxa"/>
              <w:bottom w:w="0" w:type="dxa"/>
              <w:right w:w="0" w:type="dxa"/>
            </w:tcMar>
            <w:vAlign w:val="center"/>
          </w:tcPr>
          <w:p w14:paraId="56DDAA65">
            <w:pPr>
              <w:snapToGrid w:val="0"/>
              <w:jc w:val="center"/>
              <w:rPr>
                <w:rFonts w:ascii="方正仿宋_GBK" w:hAnsi="方正仿宋_GBK" w:eastAsia="方正仿宋_GBK" w:cs="Times New Roman"/>
                <w:sz w:val="24"/>
                <w:szCs w:val="24"/>
              </w:rPr>
            </w:pPr>
          </w:p>
        </w:tc>
      </w:tr>
      <w:tr w14:paraId="184FF4F2">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trHeight w:val="1073" w:hRule="atLeast"/>
          <w:jc w:val="center"/>
        </w:trPr>
        <w:tc>
          <w:tcPr>
            <w:tcW w:w="977" w:type="dxa"/>
            <w:vMerge w:val="continue"/>
            <w:tcMar>
              <w:top w:w="0" w:type="dxa"/>
              <w:left w:w="0" w:type="dxa"/>
              <w:bottom w:w="0" w:type="dxa"/>
              <w:right w:w="0" w:type="dxa"/>
            </w:tcMar>
            <w:vAlign w:val="center"/>
          </w:tcPr>
          <w:p w14:paraId="6B19990A">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12F10B62">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25700750">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充分发挥行政复议制度优势，司法行政部门要加大对政府信息公开的监督力度，强化责任追究，不断增强政府工作人员法治意识、公开意识、服务意识，更好保障人民群众合法权益。</w:t>
            </w:r>
          </w:p>
        </w:tc>
        <w:tc>
          <w:tcPr>
            <w:tcW w:w="1209" w:type="dxa"/>
            <w:vMerge w:val="continue"/>
            <w:tcMar>
              <w:top w:w="0" w:type="dxa"/>
              <w:left w:w="0" w:type="dxa"/>
              <w:bottom w:w="0" w:type="dxa"/>
              <w:right w:w="0" w:type="dxa"/>
            </w:tcMar>
            <w:vAlign w:val="center"/>
          </w:tcPr>
          <w:p w14:paraId="0E3F4101">
            <w:pPr>
              <w:snapToGrid w:val="0"/>
              <w:rPr>
                <w:rFonts w:ascii="方正仿宋_GBK" w:hAnsi="方正仿宋_GBK" w:eastAsia="方正仿宋_GBK" w:cs="Times New Roman"/>
                <w:sz w:val="24"/>
                <w:szCs w:val="24"/>
              </w:rPr>
            </w:pPr>
          </w:p>
        </w:tc>
        <w:tc>
          <w:tcPr>
            <w:tcW w:w="1523" w:type="dxa"/>
            <w:vMerge w:val="continue"/>
            <w:tcMar>
              <w:top w:w="0" w:type="dxa"/>
              <w:left w:w="0" w:type="dxa"/>
              <w:bottom w:w="0" w:type="dxa"/>
              <w:right w:w="0" w:type="dxa"/>
            </w:tcMar>
            <w:vAlign w:val="center"/>
          </w:tcPr>
          <w:p w14:paraId="6A7E8AB4">
            <w:pPr>
              <w:snapToGrid w:val="0"/>
              <w:rPr>
                <w:rFonts w:ascii="方正仿宋_GBK" w:hAnsi="方正仿宋_GBK" w:eastAsia="方正仿宋_GBK" w:cs="Times New Roman"/>
                <w:sz w:val="24"/>
                <w:szCs w:val="24"/>
              </w:rPr>
            </w:pPr>
          </w:p>
        </w:tc>
        <w:tc>
          <w:tcPr>
            <w:tcW w:w="890" w:type="dxa"/>
            <w:vMerge w:val="continue"/>
            <w:tcMar>
              <w:top w:w="0" w:type="dxa"/>
              <w:left w:w="0" w:type="dxa"/>
              <w:bottom w:w="0" w:type="dxa"/>
              <w:right w:w="0" w:type="dxa"/>
            </w:tcMar>
            <w:vAlign w:val="center"/>
          </w:tcPr>
          <w:p w14:paraId="4172C875">
            <w:pPr>
              <w:snapToGrid w:val="0"/>
              <w:jc w:val="center"/>
              <w:rPr>
                <w:rFonts w:ascii="方正仿宋_GBK" w:hAnsi="方正仿宋_GBK" w:eastAsia="方正仿宋_GBK" w:cs="Times New Roman"/>
                <w:sz w:val="24"/>
                <w:szCs w:val="24"/>
              </w:rPr>
            </w:pPr>
          </w:p>
        </w:tc>
      </w:tr>
      <w:tr w14:paraId="535EA980">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1BFC47A9">
            <w:pPr>
              <w:snapToGrid w:val="0"/>
              <w:rPr>
                <w:rFonts w:ascii="方正仿宋_GBK" w:hAnsi="方正仿宋_GBK" w:eastAsia="方正仿宋_GBK" w:cs="Times New Roman"/>
                <w:sz w:val="24"/>
                <w:szCs w:val="24"/>
              </w:rPr>
            </w:pPr>
          </w:p>
        </w:tc>
        <w:tc>
          <w:tcPr>
            <w:tcW w:w="1105" w:type="dxa"/>
            <w:vMerge w:val="restart"/>
            <w:tcMar>
              <w:top w:w="0" w:type="dxa"/>
              <w:left w:w="0" w:type="dxa"/>
              <w:bottom w:w="0" w:type="dxa"/>
              <w:right w:w="0" w:type="dxa"/>
            </w:tcMar>
            <w:vAlign w:val="center"/>
          </w:tcPr>
          <w:p w14:paraId="7A0D4646">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（三）加强配套制度建设。</w:t>
            </w:r>
          </w:p>
        </w:tc>
        <w:tc>
          <w:tcPr>
            <w:tcW w:w="8066" w:type="dxa"/>
            <w:tcMar>
              <w:top w:w="0" w:type="dxa"/>
              <w:left w:w="0" w:type="dxa"/>
              <w:bottom w:w="0" w:type="dxa"/>
              <w:right w:w="0" w:type="dxa"/>
            </w:tcMar>
            <w:vAlign w:val="center"/>
          </w:tcPr>
          <w:p w14:paraId="779AF8F8">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．公开本区中小学校、中职学校、特殊教育学校名称、办学性质、办学地址、办公时间、联系电话等基本信息。</w:t>
            </w:r>
          </w:p>
          <w:p w14:paraId="057B0351">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．公开投诉举报电话，及时受理社会公众对教育领域公共企事业单位的投诉举报。</w:t>
            </w:r>
          </w:p>
          <w:p w14:paraId="3BC7A52E">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区政府电子政务中心负责在政府网站归集有关信息（路径：政府网站</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公共企事业单位信息公开，下同）。</w:t>
            </w:r>
          </w:p>
          <w:p w14:paraId="30583493">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27FE654D">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区教委</w:t>
            </w:r>
          </w:p>
        </w:tc>
        <w:tc>
          <w:tcPr>
            <w:tcW w:w="1523" w:type="dxa"/>
            <w:tcMar>
              <w:top w:w="0" w:type="dxa"/>
              <w:left w:w="0" w:type="dxa"/>
              <w:bottom w:w="0" w:type="dxa"/>
              <w:right w:w="0" w:type="dxa"/>
            </w:tcMar>
            <w:vAlign w:val="center"/>
          </w:tcPr>
          <w:p w14:paraId="5C8D7EE1">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区教委</w:t>
            </w:r>
          </w:p>
        </w:tc>
        <w:tc>
          <w:tcPr>
            <w:tcW w:w="890" w:type="dxa"/>
            <w:tcMar>
              <w:top w:w="0" w:type="dxa"/>
              <w:left w:w="0" w:type="dxa"/>
              <w:bottom w:w="0" w:type="dxa"/>
              <w:right w:w="0" w:type="dxa"/>
            </w:tcMar>
            <w:vAlign w:val="center"/>
          </w:tcPr>
          <w:p w14:paraId="4052D5DB">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24CB096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363268DE">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1AF9768B">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3B16EB2D">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．公开区卫生健康领域公共企事业单位（例如：医疗、卫生防疫、血液、计划生育等事业单位）名称、资质或者等级、服务区域、办公地址、办公时间、联系电话等基本信息。</w:t>
            </w:r>
          </w:p>
          <w:p w14:paraId="1B61A644">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．公开投诉举报电话，及时受理社会公众对卫生健康领域公共企事业单位的投诉举报。</w:t>
            </w:r>
          </w:p>
        </w:tc>
        <w:tc>
          <w:tcPr>
            <w:tcW w:w="1209" w:type="dxa"/>
            <w:tcMar>
              <w:top w:w="0" w:type="dxa"/>
              <w:left w:w="0" w:type="dxa"/>
              <w:bottom w:w="0" w:type="dxa"/>
              <w:right w:w="0" w:type="dxa"/>
            </w:tcMar>
            <w:vAlign w:val="center"/>
          </w:tcPr>
          <w:p w14:paraId="586F5F8E">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区卫生健康委</w:t>
            </w:r>
          </w:p>
        </w:tc>
        <w:tc>
          <w:tcPr>
            <w:tcW w:w="1523" w:type="dxa"/>
            <w:tcMar>
              <w:top w:w="0" w:type="dxa"/>
              <w:left w:w="0" w:type="dxa"/>
              <w:bottom w:w="0" w:type="dxa"/>
              <w:right w:w="0" w:type="dxa"/>
            </w:tcMar>
            <w:vAlign w:val="center"/>
          </w:tcPr>
          <w:p w14:paraId="344823E9">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区卫生健康委</w:t>
            </w:r>
          </w:p>
        </w:tc>
        <w:tc>
          <w:tcPr>
            <w:tcW w:w="890" w:type="dxa"/>
            <w:tcMar>
              <w:top w:w="0" w:type="dxa"/>
              <w:left w:w="0" w:type="dxa"/>
              <w:bottom w:w="0" w:type="dxa"/>
              <w:right w:w="0" w:type="dxa"/>
            </w:tcMar>
            <w:vAlign w:val="center"/>
          </w:tcPr>
          <w:p w14:paraId="47EA371D">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1454E07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2EC5BBB6">
            <w:pPr>
              <w:snapToGrid w:val="0"/>
              <w:rPr>
                <w:rFonts w:ascii="方正仿宋_GBK" w:hAnsi="方正仿宋_GBK" w:eastAsia="方正仿宋_GBK" w:cs="方正仿宋_GBK"/>
                <w:sz w:val="24"/>
                <w:szCs w:val="24"/>
              </w:rPr>
            </w:pPr>
            <w:r>
              <mc:AlternateContent>
                <mc:Choice Requires="wps">
                  <w:drawing>
                    <wp:anchor distT="0" distB="0" distL="114300" distR="114300" simplePos="0" relativeHeight="251668480" behindDoc="0" locked="0" layoutInCell="1" allowOverlap="1">
                      <wp:simplePos x="0" y="0"/>
                      <wp:positionH relativeFrom="column">
                        <wp:posOffset>-524510</wp:posOffset>
                      </wp:positionH>
                      <wp:positionV relativeFrom="paragraph">
                        <wp:posOffset>-427990</wp:posOffset>
                      </wp:positionV>
                      <wp:extent cx="320040" cy="908685"/>
                      <wp:effectExtent l="4445" t="4445" r="5715" b="13970"/>
                      <wp:wrapNone/>
                      <wp:docPr id="11" name="文本框 19"/>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195BF82">
                                  <w:pPr>
                                    <w:snapToGrid w:val="0"/>
                                    <w:rPr>
                                      <w:rFonts w:ascii="宋体" w:cs="Times New Roman"/>
                                      <w:sz w:val="28"/>
                                      <w:szCs w:val="28"/>
                                    </w:rPr>
                                  </w:pPr>
                                  <w:r>
                                    <w:rPr>
                                      <w:rFonts w:ascii="宋体" w:hAnsi="宋体" w:cs="宋体"/>
                                      <w:sz w:val="28"/>
                                      <w:szCs w:val="28"/>
                                    </w:rPr>
                                    <w:t>— 18 —</w:t>
                                  </w:r>
                                </w:p>
                              </w:txbxContent>
                            </wps:txbx>
                            <wps:bodyPr vert="eaVert" lIns="0" tIns="0" rIns="0" bIns="0" upright="1"/>
                          </wps:wsp>
                        </a:graphicData>
                      </a:graphic>
                    </wp:anchor>
                  </w:drawing>
                </mc:Choice>
                <mc:Fallback>
                  <w:pict>
                    <v:shape id="文本框 19" o:spid="_x0000_s1026" o:spt="202" type="#_x0000_t202" style="position:absolute;left:0pt;margin-left:-41.3pt;margin-top:-33.7pt;height:71.55pt;width:25.2pt;z-index:251668480;mso-width-relative:page;mso-height-relative:page;" fillcolor="#FFFFFF" filled="t" stroked="t" coordsize="21600,21600" o:gfxdata="UEsDBAoAAAAAAIdO4kAAAAAAAAAAAAAAAAAEAAAAZHJzL1BLAwQUAAAACACHTuJAmL2d49wAAAAK&#10;AQAADwAAAGRycy9kb3ducmV2LnhtbE2PTW/CMAyG75P2HyIj7VZSutGirikHpElw2GGA0HZLG6+t&#10;aJyqCR/j1887jZstP3r9vMXyantxxtF3jhTMpjEIpNqZjhoF+91btADhgyaje0eo4Ac9LMvHh0Ln&#10;xl3oA8/b0AgOIZ9rBW0IQy6lr1u02k/dgMS3bzdaHXgdG2lGfeFw28skjlNpdUf8odUDrlqsj9uT&#10;VbBqvoa526xDeguHbl+9f97MZq3U02QWv4IIeA3/MPzpszqU7FS5ExkvegXRIkkZ5SHNXkAwET0n&#10;CYhKQTbPQJaFvK9Q/gJQSwMEFAAAAAgAh07iQAfaBxEcAgAAaQQAAA4AAABkcnMvZTJvRG9jLnht&#10;bK1UzY7TMBC+I/EOlu80baGr3ajtSlCKkBAgLXB3HSex5D/ZbpO+ALwBJy7c97n6HHx22i67XHog&#10;h+SzPf5m5puZzG97rchO+CCtWdDJaEyJMNxW0jQL+vXL+sU1JSEyUzFljVjQvQj0dvn82bxzpZja&#10;1qpKeAISE8rOLWgboyuLIvBWaBZG1gmDw9p6zSKWvikqzzqwa1VMx+OrorO+ct5yEQJ2V8MhPTL6&#10;SwhtXUsuVpZvtTBxYPVCsYiUQitdoMscbV0LHj/VdRCRqAVFpjG/4QR4k97Fcs7KxjPXSn4MgV0S&#10;wpOcNJMGTs9UKxYZ2Xr5D5WW3Ntg6zjiVhdDIlkRZDEZP9HmrmVO5FwgdXBn0cP/o+Ufd589kRU6&#10;YUKJYRoVP/z8cfh1f/j9nUxukkCdCyXs7hwsY//a9jA+7Qdsprz72uv0RUYE55B3f5ZX9JFwbL5E&#10;+V/hhOPoZnx9dT1LLMXDZedDfCesJgksqEf1sqhs9yHEwfRkknwFq2S1lkrlhW82b5QnO4ZKr/Nz&#10;ZH9kpgzp4H02nSEOhvat0TaA2kGCYJrs79GNcBlxCmzFQjsEkBmSf1ZqGYXPqBWsemsqEvcOKhtM&#10;F03BaFFRogSGMaFsGZlUl1hCO2UgYarQUImEYr/pQZPgxlZ7VA3jDj0F+4YvfL036KA0DSfgT2Bz&#10;AlvnZdPiUq50doAOzNU6Tktq8b/XOYyHP8T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9nePc&#10;AAAACgEAAA8AAAAAAAAAAQAgAAAAIgAAAGRycy9kb3ducmV2LnhtbFBLAQIUABQAAAAIAIdO4kAH&#10;2gcRHAIAAGkEAAAOAAAAAAAAAAEAIAAAACsBAABkcnMvZTJvRG9jLnhtbFBLBQYAAAAABgAGAFkB&#10;AAC5BQAAAAA=&#10;">
                      <v:fill on="t" focussize="0,0"/>
                      <v:stroke color="#FFFFFF" joinstyle="miter"/>
                      <v:imagedata o:title=""/>
                      <o:lock v:ext="edit" aspectratio="f"/>
                      <v:textbox inset="0mm,0mm,0mm,0mm" style="layout-flow:vertical-ideographic;">
                        <w:txbxContent>
                          <w:p w14:paraId="7195BF82">
                            <w:pPr>
                              <w:snapToGrid w:val="0"/>
                              <w:rPr>
                                <w:rFonts w:ascii="宋体" w:cs="Times New Roman"/>
                                <w:sz w:val="28"/>
                                <w:szCs w:val="28"/>
                              </w:rPr>
                            </w:pPr>
                            <w:r>
                              <w:rPr>
                                <w:rFonts w:ascii="宋体" w:hAnsi="宋体" w:cs="宋体"/>
                                <w:sz w:val="28"/>
                                <w:szCs w:val="28"/>
                              </w:rPr>
                              <w:t>— 18 —</w:t>
                            </w:r>
                          </w:p>
                        </w:txbxContent>
                      </v:textbox>
                    </v:shape>
                  </w:pict>
                </mc:Fallback>
              </mc:AlternateContent>
            </w:r>
          </w:p>
          <w:p w14:paraId="479E6A32">
            <w:pPr>
              <w:snapToGrid w:val="0"/>
              <w:rPr>
                <w:rFonts w:ascii="方正仿宋_GBK" w:hAnsi="方正仿宋_GBK" w:eastAsia="方正仿宋_GBK" w:cs="方正仿宋_GBK"/>
                <w:sz w:val="24"/>
                <w:szCs w:val="24"/>
              </w:rPr>
            </w:pPr>
          </w:p>
          <w:p w14:paraId="2E54FAC3">
            <w:pPr>
              <w:snapToGrid w:val="0"/>
              <w:rPr>
                <w:rFonts w:ascii="方正仿宋_GBK" w:hAnsi="方正仿宋_GBK" w:eastAsia="方正仿宋_GBK" w:cs="方正仿宋_GBK"/>
                <w:sz w:val="24"/>
                <w:szCs w:val="24"/>
              </w:rPr>
            </w:pPr>
          </w:p>
          <w:p w14:paraId="179C0DA6">
            <w:pPr>
              <w:snapToGrid w:val="0"/>
              <w:rPr>
                <w:rFonts w:ascii="方正仿宋_GBK" w:hAnsi="方正仿宋_GBK" w:eastAsia="方正仿宋_GBK" w:cs="方正仿宋_GBK"/>
                <w:sz w:val="24"/>
                <w:szCs w:val="24"/>
              </w:rPr>
            </w:pPr>
          </w:p>
          <w:p w14:paraId="1DC603D8">
            <w:pPr>
              <w:snapToGrid w:val="0"/>
              <w:rPr>
                <w:rFonts w:ascii="方正仿宋_GBK" w:hAnsi="方正仿宋_GBK" w:eastAsia="方正仿宋_GBK" w:cs="方正仿宋_GBK"/>
                <w:sz w:val="24"/>
                <w:szCs w:val="24"/>
              </w:rPr>
            </w:pPr>
          </w:p>
          <w:p w14:paraId="71863004">
            <w:pPr>
              <w:snapToGrid w:val="0"/>
              <w:rPr>
                <w:rFonts w:ascii="方正仿宋_GBK" w:hAnsi="方正仿宋_GBK" w:eastAsia="方正仿宋_GBK" w:cs="方正仿宋_GBK"/>
                <w:sz w:val="24"/>
                <w:szCs w:val="24"/>
              </w:rPr>
            </w:pPr>
          </w:p>
          <w:p w14:paraId="11C4BF92">
            <w:pPr>
              <w:snapToGrid w:val="0"/>
              <w:rPr>
                <w:rFonts w:ascii="方正仿宋_GBK" w:hAnsi="方正仿宋_GBK" w:eastAsia="方正仿宋_GBK" w:cs="方正仿宋_GBK"/>
                <w:sz w:val="24"/>
                <w:szCs w:val="24"/>
              </w:rPr>
            </w:pPr>
          </w:p>
          <w:p w14:paraId="30686F82">
            <w:pPr>
              <w:snapToGrid w:val="0"/>
              <w:rPr>
                <w:rFonts w:ascii="方正仿宋_GBK" w:hAnsi="方正仿宋_GBK" w:eastAsia="方正仿宋_GBK" w:cs="方正仿宋_GBK"/>
                <w:sz w:val="24"/>
                <w:szCs w:val="24"/>
              </w:rPr>
            </w:pPr>
          </w:p>
          <w:p w14:paraId="227C3D87">
            <w:pPr>
              <w:snapToGrid w:val="0"/>
              <w:rPr>
                <w:rFonts w:ascii="方正仿宋_GBK" w:hAnsi="方正仿宋_GBK" w:eastAsia="方正仿宋_GBK" w:cs="方正仿宋_GBK"/>
                <w:sz w:val="24"/>
                <w:szCs w:val="24"/>
              </w:rPr>
            </w:pPr>
          </w:p>
          <w:p w14:paraId="61A0CC3E">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四、紧扣政府信息公开条例实施深化政务公开</w:t>
            </w:r>
          </w:p>
        </w:tc>
        <w:tc>
          <w:tcPr>
            <w:tcW w:w="1105" w:type="dxa"/>
            <w:vMerge w:val="restart"/>
            <w:tcMar>
              <w:top w:w="0" w:type="dxa"/>
              <w:left w:w="0" w:type="dxa"/>
              <w:bottom w:w="0" w:type="dxa"/>
              <w:right w:w="0" w:type="dxa"/>
            </w:tcMar>
            <w:vAlign w:val="center"/>
          </w:tcPr>
          <w:p w14:paraId="10594CC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（三）加强配套制度建设。</w:t>
            </w:r>
          </w:p>
        </w:tc>
        <w:tc>
          <w:tcPr>
            <w:tcW w:w="8066" w:type="dxa"/>
            <w:tcMar>
              <w:top w:w="0" w:type="dxa"/>
              <w:left w:w="0" w:type="dxa"/>
              <w:bottom w:w="0" w:type="dxa"/>
              <w:right w:w="0" w:type="dxa"/>
            </w:tcMar>
            <w:vAlign w:val="center"/>
          </w:tcPr>
          <w:p w14:paraId="6BF828CE">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3BD1C1F1">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2874F3F5">
            <w:pPr>
              <w:snapToGrid w:val="0"/>
              <w:jc w:val="center"/>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72EB7CA8">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3CAB501A">
            <w:pPr>
              <w:snapToGrid w:val="0"/>
              <w:jc w:val="center"/>
              <w:rPr>
                <w:rFonts w:ascii="方正仿宋_GBK" w:hAnsi="方正仿宋_GBK" w:eastAsia="方正仿宋_GBK" w:cs="Times New Roman"/>
                <w:sz w:val="24"/>
                <w:szCs w:val="24"/>
              </w:rPr>
            </w:pPr>
          </w:p>
        </w:tc>
      </w:tr>
      <w:tr w14:paraId="6D5C5E53">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6A79DB11">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01831039">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0E3505ED">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．公开全区城市管理领域公共企事业单位（例如：供水企业，环卫、城市公园、市政设施维护管理机构）名称、资质或者等级、服务区域、办公地址、办公时间、联系电话等基本信息。</w:t>
            </w:r>
          </w:p>
          <w:p w14:paraId="31DCA33A">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．公开投诉举报电话，及时受理社会公众对城市管理领域公共企事业单位的投诉举报。</w:t>
            </w:r>
          </w:p>
          <w:p w14:paraId="2C0DE350">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0FB10179">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08C3F1C5">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区城市管理局、区住房城乡建委</w:t>
            </w:r>
          </w:p>
        </w:tc>
        <w:tc>
          <w:tcPr>
            <w:tcW w:w="1523" w:type="dxa"/>
            <w:tcMar>
              <w:top w:w="0" w:type="dxa"/>
              <w:left w:w="0" w:type="dxa"/>
              <w:bottom w:w="0" w:type="dxa"/>
              <w:right w:w="0" w:type="dxa"/>
            </w:tcMar>
            <w:vAlign w:val="center"/>
          </w:tcPr>
          <w:p w14:paraId="0B193FA1">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区城市管理局</w:t>
            </w:r>
          </w:p>
        </w:tc>
        <w:tc>
          <w:tcPr>
            <w:tcW w:w="890" w:type="dxa"/>
            <w:tcMar>
              <w:top w:w="0" w:type="dxa"/>
              <w:left w:w="0" w:type="dxa"/>
              <w:bottom w:w="0" w:type="dxa"/>
              <w:right w:w="0" w:type="dxa"/>
            </w:tcMar>
            <w:vAlign w:val="center"/>
          </w:tcPr>
          <w:p w14:paraId="0A01891E">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585C0546">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171182BC">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4EBC7FDD">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1D611ADF">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．公开全区行政区域内供电、供气领域公共企事业单位名称、经营区域、办公地址、营业时间、联系电话等经营许可信息。</w:t>
            </w:r>
          </w:p>
          <w:p w14:paraId="1AF478B9">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．公开投诉举报电话，及时受理社会公众对供电、供气领域公共企事业单位的投诉举报。</w:t>
            </w:r>
          </w:p>
          <w:p w14:paraId="6299B3A3">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5C04E159">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11BC6B9C">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区经济信息委</w:t>
            </w:r>
          </w:p>
        </w:tc>
        <w:tc>
          <w:tcPr>
            <w:tcW w:w="1523" w:type="dxa"/>
            <w:tcMar>
              <w:top w:w="0" w:type="dxa"/>
              <w:left w:w="0" w:type="dxa"/>
              <w:bottom w:w="0" w:type="dxa"/>
              <w:right w:w="0" w:type="dxa"/>
            </w:tcMar>
            <w:vAlign w:val="center"/>
          </w:tcPr>
          <w:p w14:paraId="1C4EC956">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区经济信息委</w:t>
            </w:r>
          </w:p>
        </w:tc>
        <w:tc>
          <w:tcPr>
            <w:tcW w:w="890" w:type="dxa"/>
            <w:tcMar>
              <w:top w:w="0" w:type="dxa"/>
              <w:left w:w="0" w:type="dxa"/>
              <w:bottom w:w="0" w:type="dxa"/>
              <w:right w:w="0" w:type="dxa"/>
            </w:tcMar>
            <w:vAlign w:val="center"/>
          </w:tcPr>
          <w:p w14:paraId="00079D4E">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20EF8845">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274FA639">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2AF4284A">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704944BF">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1. </w:t>
            </w:r>
            <w:r>
              <w:rPr>
                <w:rFonts w:hint="eastAsia" w:ascii="方正仿宋_GBK" w:hAnsi="方正仿宋_GBK" w:eastAsia="方正仿宋_GBK" w:cs="方正仿宋_GBK"/>
                <w:sz w:val="24"/>
                <w:szCs w:val="24"/>
              </w:rPr>
              <w:t>公开全区生态环境领域公共企事业单位名称、办公地址、联系电话、联系人、类别等基本信息。</w:t>
            </w:r>
          </w:p>
          <w:p w14:paraId="4D0EC5AB">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．公开投诉举报电话，及时受理社会公众对生态环境领域公共企事业单位的投诉举报。</w:t>
            </w:r>
          </w:p>
        </w:tc>
        <w:tc>
          <w:tcPr>
            <w:tcW w:w="1209" w:type="dxa"/>
            <w:tcMar>
              <w:top w:w="0" w:type="dxa"/>
              <w:left w:w="0" w:type="dxa"/>
              <w:bottom w:w="0" w:type="dxa"/>
              <w:right w:w="0" w:type="dxa"/>
            </w:tcMar>
            <w:vAlign w:val="center"/>
          </w:tcPr>
          <w:p w14:paraId="41A5C20F">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区生态环境局</w:t>
            </w:r>
          </w:p>
        </w:tc>
        <w:tc>
          <w:tcPr>
            <w:tcW w:w="1523" w:type="dxa"/>
            <w:tcMar>
              <w:top w:w="0" w:type="dxa"/>
              <w:left w:w="0" w:type="dxa"/>
              <w:bottom w:w="0" w:type="dxa"/>
              <w:right w:w="0" w:type="dxa"/>
            </w:tcMar>
            <w:vAlign w:val="center"/>
          </w:tcPr>
          <w:p w14:paraId="31AE8BA5">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区生态环境局</w:t>
            </w:r>
          </w:p>
        </w:tc>
        <w:tc>
          <w:tcPr>
            <w:tcW w:w="890" w:type="dxa"/>
            <w:tcMar>
              <w:top w:w="0" w:type="dxa"/>
              <w:left w:w="0" w:type="dxa"/>
              <w:bottom w:w="0" w:type="dxa"/>
              <w:right w:w="0" w:type="dxa"/>
            </w:tcMar>
            <w:vAlign w:val="center"/>
          </w:tcPr>
          <w:p w14:paraId="1E54108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28D5E922">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214B339A">
            <w:pPr>
              <w:snapToGrid w:val="0"/>
              <w:rPr>
                <w:rFonts w:ascii="方正仿宋_GBK" w:hAnsi="方正仿宋_GBK" w:eastAsia="方正仿宋_GBK" w:cs="方正仿宋_GBK"/>
                <w:sz w:val="24"/>
                <w:szCs w:val="24"/>
              </w:rPr>
            </w:pPr>
          </w:p>
          <w:p w14:paraId="4535EBAE">
            <w:pPr>
              <w:snapToGrid w:val="0"/>
              <w:rPr>
                <w:rFonts w:ascii="方正仿宋_GBK" w:hAnsi="方正仿宋_GBK" w:eastAsia="方正仿宋_GBK" w:cs="方正仿宋_GBK"/>
                <w:sz w:val="24"/>
                <w:szCs w:val="24"/>
              </w:rPr>
            </w:pPr>
          </w:p>
          <w:p w14:paraId="0B4C6EC0">
            <w:pPr>
              <w:snapToGrid w:val="0"/>
              <w:rPr>
                <w:rFonts w:ascii="方正仿宋_GBK" w:hAnsi="方正仿宋_GBK" w:eastAsia="方正仿宋_GBK" w:cs="方正仿宋_GBK"/>
                <w:sz w:val="24"/>
                <w:szCs w:val="24"/>
              </w:rPr>
            </w:pPr>
          </w:p>
          <w:p w14:paraId="4AEE01E5">
            <w:pPr>
              <w:snapToGrid w:val="0"/>
              <w:rPr>
                <w:rFonts w:ascii="方正仿宋_GBK" w:hAnsi="方正仿宋_GBK" w:eastAsia="方正仿宋_GBK" w:cs="方正仿宋_GBK"/>
                <w:sz w:val="24"/>
                <w:szCs w:val="24"/>
              </w:rPr>
            </w:pPr>
          </w:p>
          <w:p w14:paraId="65B9ADB3">
            <w:pPr>
              <w:snapToGrid w:val="0"/>
              <w:rPr>
                <w:rFonts w:ascii="方正仿宋_GBK" w:hAnsi="方正仿宋_GBK" w:eastAsia="方正仿宋_GBK" w:cs="方正仿宋_GBK"/>
                <w:sz w:val="24"/>
                <w:szCs w:val="24"/>
              </w:rPr>
            </w:pPr>
          </w:p>
          <w:p w14:paraId="3AEC0985">
            <w:pPr>
              <w:snapToGrid w:val="0"/>
              <w:rPr>
                <w:rFonts w:ascii="方正仿宋_GBK" w:hAnsi="方正仿宋_GBK" w:eastAsia="方正仿宋_GBK" w:cs="方正仿宋_GBK"/>
                <w:sz w:val="24"/>
                <w:szCs w:val="24"/>
              </w:rPr>
            </w:pPr>
          </w:p>
          <w:p w14:paraId="09808F42">
            <w:pPr>
              <w:snapToGrid w:val="0"/>
              <w:rPr>
                <w:rFonts w:ascii="方正仿宋_GBK" w:hAnsi="方正仿宋_GBK" w:eastAsia="方正仿宋_GBK" w:cs="方正仿宋_GBK"/>
                <w:sz w:val="24"/>
                <w:szCs w:val="24"/>
              </w:rPr>
            </w:pPr>
          </w:p>
          <w:p w14:paraId="65D2BB02">
            <w:pPr>
              <w:snapToGrid w:val="0"/>
              <w:rPr>
                <w:rFonts w:ascii="方正仿宋_GBK" w:hAnsi="方正仿宋_GBK" w:eastAsia="方正仿宋_GBK" w:cs="方正仿宋_GBK"/>
                <w:sz w:val="24"/>
                <w:szCs w:val="24"/>
              </w:rPr>
            </w:pPr>
          </w:p>
          <w:p w14:paraId="280C7836">
            <w:pPr>
              <w:snapToGrid w:val="0"/>
              <w:rPr>
                <w:rFonts w:ascii="方正仿宋_GBK" w:hAnsi="方正仿宋_GBK" w:eastAsia="方正仿宋_GBK" w:cs="方正仿宋_GBK"/>
                <w:sz w:val="24"/>
                <w:szCs w:val="24"/>
              </w:rPr>
            </w:pPr>
          </w:p>
          <w:p w14:paraId="693D58F4">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9504" behindDoc="0" locked="0" layoutInCell="1" allowOverlap="1">
                      <wp:simplePos x="0" y="0"/>
                      <wp:positionH relativeFrom="column">
                        <wp:posOffset>-598170</wp:posOffset>
                      </wp:positionH>
                      <wp:positionV relativeFrom="paragraph">
                        <wp:posOffset>2160270</wp:posOffset>
                      </wp:positionV>
                      <wp:extent cx="320040" cy="908685"/>
                      <wp:effectExtent l="4445" t="4445" r="5715" b="13970"/>
                      <wp:wrapNone/>
                      <wp:docPr id="12" name="文本框 20"/>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C0496E2">
                                  <w:pPr>
                                    <w:snapToGrid w:val="0"/>
                                    <w:rPr>
                                      <w:rFonts w:ascii="宋体" w:cs="Times New Roman"/>
                                      <w:sz w:val="28"/>
                                      <w:szCs w:val="28"/>
                                    </w:rPr>
                                  </w:pPr>
                                  <w:r>
                                    <w:rPr>
                                      <w:rFonts w:ascii="宋体" w:hAnsi="宋体" w:cs="宋体"/>
                                      <w:sz w:val="28"/>
                                      <w:szCs w:val="28"/>
                                    </w:rPr>
                                    <w:t>— 19 —</w:t>
                                  </w:r>
                                </w:p>
                              </w:txbxContent>
                            </wps:txbx>
                            <wps:bodyPr vert="eaVert" lIns="0" tIns="0" rIns="0" bIns="0" upright="1"/>
                          </wps:wsp>
                        </a:graphicData>
                      </a:graphic>
                    </wp:anchor>
                  </w:drawing>
                </mc:Choice>
                <mc:Fallback>
                  <w:pict>
                    <v:shape id="文本框 20" o:spid="_x0000_s1026" o:spt="202" type="#_x0000_t202" style="position:absolute;left:0pt;margin-left:-47.1pt;margin-top:170.1pt;height:71.55pt;width:25.2pt;z-index:251669504;mso-width-relative:page;mso-height-relative:page;" fillcolor="#FFFFFF" filled="t" stroked="t" coordsize="21600,21600" o:gfxdata="UEsDBAoAAAAAAIdO4kAAAAAAAAAAAAAAAAAEAAAAZHJzL1BLAwQUAAAACACHTuJABZZ/E9wAAAAL&#10;AQAADwAAAGRycy9kb3ducmV2LnhtbE2PTU/DMAyG70j8h8hI3Lpka5m2rukOk5C2AwfGhOCWNqat&#10;aJyqyT7Yr8ec2M2WH71+3mJ9cb044Rg6TxqmEwUCqfa2o0bD4e05WYAI0ZA1vSfU8IMB1uX9XWFy&#10;68/0iqd9bASHUMiNhjbGIZcy1C06EyZ+QOLblx+dibyOjbSjOXO46+VMqbl0piP+0JoBNy3W3/uj&#10;07BpPocnv9vG+TW+d4fq5eNqd1utHx+magUi4iX+w/Cnz+pQslPlj2SD6DUky2zGqIY0UzwwkWQp&#10;l6k0ZIs0BVkW8rZD+QtQSwMEFAAAAAgAh07iQI/WbMAaAgAAaQQAAA4AAABkcnMvZTJvRG9jLnht&#10;bK1UzY7TMBC+I/EOlu803UJXpWq6EpQiJARIC9xdx0ks+U+226QvAG/AiQt3nqvPwWenP+xy6YEc&#10;7LFn/M3MNzNZ3PVakZ3wQVpT0pvRmBJhuK2kaUr65fP62YySEJmpmLJGlHQvAr1bPn2y6NxcTGxr&#10;VSU8AYgJ886VtI3RzYsi8FZoFkbWCQNlbb1mEUffFJVnHdC1Kibj8W3RWV85b7kIAberQUmPiP4a&#10;QFvXkouV5VstTBxQvVAsIqXQShfoMkdb14LHj3UdRCSqpMg05hVOIG/SWiwXbN545lrJjyGwa0J4&#10;lJNm0sDpGWrFIiNbL/+B0pJ7G2wdR9zqYkgkM4IsbsaPuLlvmRM5F1Ad3Jn08P9g+YfdJ09khU6Y&#10;UGKYRsUPP74ffv4+/PpGJpmgzoU57O4dLGP/yvYwTsSl+4DLlHdfe512ZESgB737M72ij4Tj8jnK&#10;/wIaDtXL8ex2Nk0oxeWx8yG+FVaTJJTUo3qZVLZ7H+JgejJJvoJVslpLpfLBN5vXypMdQ6XX+Tui&#10;PzBThnTwPp1MEQdD+9ZoG4jagYJgmuzvwYtwHXAKbMVCOwSQEYbm0jIKn9usFax6YyoS9w4sG0wX&#10;TcFoUVGiBIYxSdkyMqmusQR3yoDCSyWSFPtND5gkbmy1R9Uw7uBTsK/Y4eudQQelaTgJ/iRsTsLW&#10;edm0eJQrnR2gA3O1jtOSWvzvcw7j8od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Fln8T3AAA&#10;AAsBAAAPAAAAAAAAAAEAIAAAACIAAABkcnMvZG93bnJldi54bWxQSwECFAAUAAAACACHTuJAj9Zs&#10;wBoCAABpBAAADgAAAAAAAAABACAAAAArAQAAZHJzL2Uyb0RvYy54bWxQSwUGAAAAAAYABgBZAQAA&#10;twUAAAAA&#10;">
                      <v:fill on="t" focussize="0,0"/>
                      <v:stroke color="#FFFFFF" joinstyle="miter"/>
                      <v:imagedata o:title=""/>
                      <o:lock v:ext="edit" aspectratio="f"/>
                      <v:textbox inset="0mm,0mm,0mm,0mm" style="layout-flow:vertical-ideographic;">
                        <w:txbxContent>
                          <w:p w14:paraId="1C0496E2">
                            <w:pPr>
                              <w:snapToGrid w:val="0"/>
                              <w:rPr>
                                <w:rFonts w:ascii="宋体" w:cs="Times New Roman"/>
                                <w:sz w:val="28"/>
                                <w:szCs w:val="28"/>
                              </w:rPr>
                            </w:pPr>
                            <w:r>
                              <w:rPr>
                                <w:rFonts w:ascii="宋体" w:hAnsi="宋体" w:cs="宋体"/>
                                <w:sz w:val="28"/>
                                <w:szCs w:val="28"/>
                              </w:rPr>
                              <w:t>— 19 —</w:t>
                            </w:r>
                          </w:p>
                        </w:txbxContent>
                      </v:textbox>
                    </v:shape>
                  </w:pict>
                </mc:Fallback>
              </mc:AlternateContent>
            </w:r>
            <w:r>
              <w:rPr>
                <w:rFonts w:hint="eastAsia" w:ascii="方正仿宋_GBK" w:hAnsi="方正仿宋_GBK" w:eastAsia="方正仿宋_GBK" w:cs="方正仿宋_GBK"/>
                <w:sz w:val="24"/>
                <w:szCs w:val="24"/>
              </w:rPr>
              <w:t>四、紧扣政府信息公开条例实施深化政务公开</w:t>
            </w:r>
          </w:p>
        </w:tc>
        <w:tc>
          <w:tcPr>
            <w:tcW w:w="1105" w:type="dxa"/>
            <w:vMerge w:val="restart"/>
            <w:tcMar>
              <w:top w:w="0" w:type="dxa"/>
              <w:left w:w="0" w:type="dxa"/>
              <w:bottom w:w="0" w:type="dxa"/>
              <w:right w:w="0" w:type="dxa"/>
            </w:tcMar>
            <w:vAlign w:val="center"/>
          </w:tcPr>
          <w:p w14:paraId="75647A3C">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（三）加强配套制度建设。</w:t>
            </w:r>
          </w:p>
        </w:tc>
        <w:tc>
          <w:tcPr>
            <w:tcW w:w="8066" w:type="dxa"/>
            <w:tcMar>
              <w:top w:w="0" w:type="dxa"/>
              <w:left w:w="0" w:type="dxa"/>
              <w:bottom w:w="0" w:type="dxa"/>
              <w:right w:w="0" w:type="dxa"/>
            </w:tcMar>
            <w:vAlign w:val="center"/>
          </w:tcPr>
          <w:p w14:paraId="0BD7A346">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6CA6015B">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326CF225">
            <w:pPr>
              <w:snapToGrid w:val="0"/>
              <w:jc w:val="center"/>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160C1680">
            <w:pPr>
              <w:snapToGrid w:val="0"/>
              <w:rPr>
                <w:rFonts w:ascii="方正仿宋_GBK" w:hAnsi="方正仿宋_GBK" w:eastAsia="方正仿宋_GBK" w:cs="Times New Roman"/>
                <w:sz w:val="24"/>
                <w:szCs w:val="24"/>
              </w:rPr>
            </w:pPr>
          </w:p>
        </w:tc>
        <w:tc>
          <w:tcPr>
            <w:tcW w:w="890" w:type="dxa"/>
            <w:tcMar>
              <w:top w:w="0" w:type="dxa"/>
              <w:left w:w="0" w:type="dxa"/>
              <w:bottom w:w="0" w:type="dxa"/>
              <w:right w:w="0" w:type="dxa"/>
            </w:tcMar>
            <w:vAlign w:val="center"/>
          </w:tcPr>
          <w:p w14:paraId="4764FDDD">
            <w:pPr>
              <w:snapToGrid w:val="0"/>
              <w:jc w:val="center"/>
              <w:rPr>
                <w:rFonts w:ascii="方正仿宋_GBK" w:hAnsi="方正仿宋_GBK" w:eastAsia="方正仿宋_GBK" w:cs="Times New Roman"/>
                <w:sz w:val="24"/>
                <w:szCs w:val="24"/>
              </w:rPr>
            </w:pPr>
          </w:p>
        </w:tc>
      </w:tr>
      <w:tr w14:paraId="2C211557">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21E6C07E">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318F60EC">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2052CB67">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1. </w:t>
            </w:r>
            <w:r>
              <w:rPr>
                <w:rFonts w:hint="eastAsia" w:ascii="方正仿宋_GBK" w:hAnsi="方正仿宋_GBK" w:eastAsia="方正仿宋_GBK" w:cs="方正仿宋_GBK"/>
                <w:sz w:val="24"/>
                <w:szCs w:val="24"/>
              </w:rPr>
              <w:t>公开全区公共交通领域公共企事业单位名称、资质或者等级、业务范围、服务区域、办公地址、办公时间、联系电话等基本信息。</w:t>
            </w:r>
          </w:p>
          <w:p w14:paraId="3A08DD4A">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．公开投诉举报电话，及时受理社会公众对公共企事业单位的投诉举报。</w:t>
            </w:r>
          </w:p>
          <w:p w14:paraId="32E2ACB0">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05B1D2A1">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44AEFB33">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区交通局</w:t>
            </w:r>
          </w:p>
        </w:tc>
        <w:tc>
          <w:tcPr>
            <w:tcW w:w="1523" w:type="dxa"/>
            <w:tcMar>
              <w:top w:w="0" w:type="dxa"/>
              <w:left w:w="0" w:type="dxa"/>
              <w:bottom w:w="0" w:type="dxa"/>
              <w:right w:w="0" w:type="dxa"/>
            </w:tcMar>
            <w:vAlign w:val="center"/>
          </w:tcPr>
          <w:p w14:paraId="09B2C6E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区交通局</w:t>
            </w:r>
          </w:p>
        </w:tc>
        <w:tc>
          <w:tcPr>
            <w:tcW w:w="890" w:type="dxa"/>
            <w:tcMar>
              <w:top w:w="0" w:type="dxa"/>
              <w:left w:w="0" w:type="dxa"/>
              <w:bottom w:w="0" w:type="dxa"/>
              <w:right w:w="0" w:type="dxa"/>
            </w:tcMar>
            <w:vAlign w:val="center"/>
          </w:tcPr>
          <w:p w14:paraId="349B2316">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6379258C">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2F38B014">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52FEB6D3">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487FB8F1">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．公开全区民政领域公共企事业单位名称、资质或者等级、业务范围、服务区域、办公地址、办公时间、联系电话等基本信息。</w:t>
            </w:r>
          </w:p>
          <w:p w14:paraId="024F9AAF">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2. </w:t>
            </w:r>
            <w:r>
              <w:rPr>
                <w:rFonts w:hint="eastAsia" w:ascii="方正仿宋_GBK" w:hAnsi="方正仿宋_GBK" w:eastAsia="方正仿宋_GBK" w:cs="方正仿宋_GBK"/>
                <w:sz w:val="24"/>
                <w:szCs w:val="24"/>
              </w:rPr>
              <w:t>公开投诉举报电话，及时受理社会公众对民政领域公共企事业单位的投诉举报。</w:t>
            </w:r>
          </w:p>
          <w:p w14:paraId="7C5B4D7B">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2675470F">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7BE33804">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区民政局</w:t>
            </w:r>
          </w:p>
        </w:tc>
        <w:tc>
          <w:tcPr>
            <w:tcW w:w="1523" w:type="dxa"/>
            <w:tcMar>
              <w:top w:w="0" w:type="dxa"/>
              <w:left w:w="0" w:type="dxa"/>
              <w:bottom w:w="0" w:type="dxa"/>
              <w:right w:w="0" w:type="dxa"/>
            </w:tcMar>
            <w:vAlign w:val="center"/>
          </w:tcPr>
          <w:p w14:paraId="4B1EBCE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区民政局</w:t>
            </w:r>
          </w:p>
        </w:tc>
        <w:tc>
          <w:tcPr>
            <w:tcW w:w="890" w:type="dxa"/>
            <w:tcMar>
              <w:top w:w="0" w:type="dxa"/>
              <w:left w:w="0" w:type="dxa"/>
              <w:bottom w:w="0" w:type="dxa"/>
              <w:right w:w="0" w:type="dxa"/>
            </w:tcMar>
            <w:vAlign w:val="center"/>
          </w:tcPr>
          <w:p w14:paraId="398484AB">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281BA842">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3F6D47E8">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5F898A89">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61B952BA">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．公开全区文化旅游领域公共企事业单位名称、资质或者等级、业务范围、服务区域、地址、办公时间、联系电话等基本信息。</w:t>
            </w:r>
          </w:p>
          <w:p w14:paraId="7982453B">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．公开投诉举报电话，及时受理社会公众对公共企事业单位的投诉举报。</w:t>
            </w:r>
          </w:p>
          <w:p w14:paraId="6ACDB3E0">
            <w:pPr>
              <w:snapToGrid w:val="0"/>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 xml:space="preserve">3. </w:t>
            </w:r>
            <w:r>
              <w:rPr>
                <w:rFonts w:hint="eastAsia" w:ascii="方正仿宋_GBK" w:hAnsi="方正仿宋_GBK" w:eastAsia="方正仿宋_GBK" w:cs="方正仿宋_GBK"/>
                <w:sz w:val="24"/>
                <w:szCs w:val="24"/>
              </w:rPr>
              <w:t>区政府电子政务中心负责在政府网站归集有关信息。</w:t>
            </w:r>
          </w:p>
          <w:p w14:paraId="7AD8E75F">
            <w:pPr>
              <w:snapToGrid w:val="0"/>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（公开路径：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．本部门网页</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政务公开</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政府信息公开目录</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公共企事业单位信息公开，</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．其他渠道）。</w:t>
            </w:r>
          </w:p>
        </w:tc>
        <w:tc>
          <w:tcPr>
            <w:tcW w:w="1209" w:type="dxa"/>
            <w:tcMar>
              <w:top w:w="0" w:type="dxa"/>
              <w:left w:w="0" w:type="dxa"/>
              <w:bottom w:w="0" w:type="dxa"/>
              <w:right w:w="0" w:type="dxa"/>
            </w:tcMar>
            <w:vAlign w:val="center"/>
          </w:tcPr>
          <w:p w14:paraId="3098E97A">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区文化旅游委</w:t>
            </w:r>
          </w:p>
        </w:tc>
        <w:tc>
          <w:tcPr>
            <w:tcW w:w="1523" w:type="dxa"/>
            <w:tcMar>
              <w:top w:w="0" w:type="dxa"/>
              <w:left w:w="0" w:type="dxa"/>
              <w:bottom w:w="0" w:type="dxa"/>
              <w:right w:w="0" w:type="dxa"/>
            </w:tcMar>
            <w:vAlign w:val="center"/>
          </w:tcPr>
          <w:p w14:paraId="4E28509C">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区文化旅游委</w:t>
            </w:r>
          </w:p>
        </w:tc>
        <w:tc>
          <w:tcPr>
            <w:tcW w:w="890" w:type="dxa"/>
            <w:tcMar>
              <w:top w:w="0" w:type="dxa"/>
              <w:left w:w="0" w:type="dxa"/>
              <w:bottom w:w="0" w:type="dxa"/>
              <w:right w:w="0" w:type="dxa"/>
            </w:tcMar>
            <w:vAlign w:val="center"/>
          </w:tcPr>
          <w:p w14:paraId="5814C836">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区政府电子政务中心</w:t>
            </w:r>
          </w:p>
        </w:tc>
      </w:tr>
      <w:tr w14:paraId="48834401">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restart"/>
            <w:tcMar>
              <w:top w:w="0" w:type="dxa"/>
              <w:left w:w="0" w:type="dxa"/>
              <w:bottom w:w="0" w:type="dxa"/>
              <w:right w:w="0" w:type="dxa"/>
            </w:tcMar>
            <w:vAlign w:val="center"/>
          </w:tcPr>
          <w:p w14:paraId="0EA9F833">
            <w:pPr>
              <w:snapToGrid w:val="0"/>
              <w:rPr>
                <w:rFonts w:ascii="方正仿宋_GBK" w:hAnsi="方正仿宋_GBK" w:eastAsia="方正仿宋_GBK" w:cs="Times New Roman"/>
                <w:sz w:val="24"/>
                <w:szCs w:val="24"/>
              </w:rPr>
            </w:pPr>
            <w:r>
              <mc:AlternateContent>
                <mc:Choice Requires="wps">
                  <w:drawing>
                    <wp:anchor distT="0" distB="0" distL="114300" distR="114300" simplePos="0" relativeHeight="251664384" behindDoc="0" locked="0" layoutInCell="1" allowOverlap="1">
                      <wp:simplePos x="0" y="0"/>
                      <wp:positionH relativeFrom="column">
                        <wp:posOffset>-492760</wp:posOffset>
                      </wp:positionH>
                      <wp:positionV relativeFrom="paragraph">
                        <wp:posOffset>-540385</wp:posOffset>
                      </wp:positionV>
                      <wp:extent cx="320040" cy="908685"/>
                      <wp:effectExtent l="4445" t="4445" r="5715" b="13970"/>
                      <wp:wrapNone/>
                      <wp:docPr id="6" name="文本框 21"/>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973FC0E">
                                  <w:pPr>
                                    <w:snapToGrid w:val="0"/>
                                    <w:ind w:firstLine="140" w:firstLineChars="50"/>
                                    <w:rPr>
                                      <w:rFonts w:ascii="宋体" w:cs="Times New Roman"/>
                                      <w:sz w:val="28"/>
                                      <w:szCs w:val="28"/>
                                    </w:rPr>
                                  </w:pPr>
                                  <w:r>
                                    <w:rPr>
                                      <w:rFonts w:ascii="宋体" w:hAnsi="宋体" w:cs="宋体"/>
                                      <w:sz w:val="28"/>
                                      <w:szCs w:val="28"/>
                                    </w:rPr>
                                    <w:t>— 20 —</w:t>
                                  </w:r>
                                </w:p>
                              </w:txbxContent>
                            </wps:txbx>
                            <wps:bodyPr vert="eaVert" lIns="0" tIns="0" rIns="0" bIns="0" upright="1"/>
                          </wps:wsp>
                        </a:graphicData>
                      </a:graphic>
                    </wp:anchor>
                  </w:drawing>
                </mc:Choice>
                <mc:Fallback>
                  <w:pict>
                    <v:shape id="文本框 21" o:spid="_x0000_s1026" o:spt="202" type="#_x0000_t202" style="position:absolute;left:0pt;margin-left:-38.8pt;margin-top:-42.55pt;height:71.55pt;width:25.2pt;z-index:251664384;mso-width-relative:page;mso-height-relative:page;" fillcolor="#FFFFFF" filled="t" stroked="t" coordsize="21600,21600" o:gfxdata="UEsDBAoAAAAAAIdO4kAAAAAAAAAAAAAAAAAEAAAAZHJzL1BLAwQUAAAACACHTuJAJS35p9sAAAAK&#10;AQAADwAAAGRycy9kb3ducmV2LnhtbE2PTUvDQBCG74L/YRnBW7pJIB/EbHooCO3Bg7UUvW2yYxLM&#10;zobs9sP+eseT3maYh3eet15f7STOuPjRkYJkFYNA6pwZqVdweHuOShA+aDJ6coQKvtHDurm/q3Vl&#10;3IVe8bwPveAQ8pVWMIQwV1L6bkCr/crNSHz7dIvVgdell2bRFw63k0zjOJdWj8QfBj3jZsDua3+y&#10;Cjb9x5y53Tbkt3AcD+3L+83stko9PiTxE4iA1/AHw68+q0PDTq07kfFiUhAVRc4oD2WWgGAiSosU&#10;RKsgK2OQTS3/V2h+AFBLAwQUAAAACACHTuJAMHP5DRsCAABoBAAADgAAAGRycy9lMm9Eb2MueG1s&#10;rVTNjtMwEL4j8Q6W7zRtodUSNV0JShESAqQF7q7jJJb8J9tt0xeAN+DEhTvP1efgs9N22eXSAzkk&#10;n+3xNzPfzGRx22tFdsIHaU1FJ6MxJcJwW0vTVvTL5/WzG0pCZKZmyhpR0YMI9Hb59Mli70oxtZ1V&#10;tfAEJCaUe1fRLkZXFkXgndAsjKwTBoeN9ZpFLH1b1J7twa5VMR2P58Xe+tp5y0UI2F0Nh/TE6K8h&#10;tE0juVhZvtXCxIHVC8UiUgqddIEuc7RNI3j82DRBRKIqikxjfsMJ8Ca9i+WCla1nrpP8FAK7JoRH&#10;OWkmDZxeqFYsMrL18h8qLbm3wTZxxK0uhkSyIshiMn6kzV3HnMi5QOrgLqKH/0fLP+w+eSLris4p&#10;MUyj4Mcf348/fx9/fSPTSdJn70IJszsHw9i/sj265rwfsJnS7huv0xcJEZxD3cNFXdFHwrH5HNV/&#10;gROOo5fjm/nNLLEU95edD/GtsJokUFGP4mVN2e59iIPp2ST5ClbJei2Vygvfbl4rT3YMhV7n58T+&#10;wEwZsof32XSGOBi6t0HXAGoHBYJps78HN8J1xCmwFQvdEEBmSP5ZqWUUPqNOsPqNqUk8OKhsMFw0&#10;BaNFTYkSmMWEsmVkUl1jCe2UgYSpQkMlEor9pgdNghtbH1A1TDv0FOwrvvD1zqCB0jCcgT+DzRls&#10;nZdth0u50tkBGjBX6zQsqcP/Xucw7n8Q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Lfmn2wAA&#10;AAoBAAAPAAAAAAAAAAEAIAAAACIAAABkcnMvZG93bnJldi54bWxQSwECFAAUAAAACACHTuJAMHP5&#10;DRsCAABoBAAADgAAAAAAAAABACAAAAAqAQAAZHJzL2Uyb0RvYy54bWxQSwUGAAAAAAYABgBZAQAA&#10;twUAAAAA&#10;">
                      <v:fill on="t" focussize="0,0"/>
                      <v:stroke color="#FFFFFF" joinstyle="miter"/>
                      <v:imagedata o:title=""/>
                      <o:lock v:ext="edit" aspectratio="f"/>
                      <v:textbox inset="0mm,0mm,0mm,0mm" style="layout-flow:vertical-ideographic;">
                        <w:txbxContent>
                          <w:p w14:paraId="7973FC0E">
                            <w:pPr>
                              <w:snapToGrid w:val="0"/>
                              <w:ind w:firstLine="140" w:firstLineChars="50"/>
                              <w:rPr>
                                <w:rFonts w:ascii="宋体" w:cs="Times New Roman"/>
                                <w:sz w:val="28"/>
                                <w:szCs w:val="28"/>
                              </w:rPr>
                            </w:pPr>
                            <w:r>
                              <w:rPr>
                                <w:rFonts w:ascii="宋体" w:hAnsi="宋体" w:cs="宋体"/>
                                <w:sz w:val="28"/>
                                <w:szCs w:val="28"/>
                              </w:rPr>
                              <w:t>— 20 —</w:t>
                            </w:r>
                          </w:p>
                        </w:txbxContent>
                      </v:textbox>
                    </v:shape>
                  </w:pict>
                </mc:Fallback>
              </mc:AlternateContent>
            </w:r>
          </w:p>
          <w:p w14:paraId="4B44BD20">
            <w:pPr>
              <w:snapToGrid w:val="0"/>
              <w:rPr>
                <w:rFonts w:ascii="方正仿宋_GBK" w:hAnsi="方正仿宋_GBK" w:eastAsia="方正仿宋_GBK" w:cs="Times New Roman"/>
                <w:sz w:val="24"/>
                <w:szCs w:val="24"/>
              </w:rPr>
            </w:pPr>
          </w:p>
          <w:p w14:paraId="44D09103">
            <w:pPr>
              <w:snapToGrid w:val="0"/>
              <w:rPr>
                <w:rFonts w:ascii="方正仿宋_GBK" w:hAnsi="方正仿宋_GBK" w:eastAsia="方正仿宋_GBK" w:cs="Times New Roman"/>
                <w:sz w:val="24"/>
                <w:szCs w:val="24"/>
              </w:rPr>
            </w:pPr>
          </w:p>
          <w:p w14:paraId="5D40DC13">
            <w:pPr>
              <w:snapToGrid w:val="0"/>
              <w:rPr>
                <w:rFonts w:ascii="方正仿宋_GBK" w:hAnsi="方正仿宋_GBK" w:eastAsia="方正仿宋_GBK" w:cs="Times New Roman"/>
                <w:sz w:val="24"/>
                <w:szCs w:val="24"/>
              </w:rPr>
            </w:pPr>
          </w:p>
          <w:p w14:paraId="1D34CFC2">
            <w:pPr>
              <w:snapToGrid w:val="0"/>
              <w:rPr>
                <w:rFonts w:ascii="方正仿宋_GBK" w:hAnsi="方正仿宋_GBK" w:eastAsia="方正仿宋_GBK" w:cs="Times New Roman"/>
                <w:sz w:val="24"/>
                <w:szCs w:val="24"/>
              </w:rPr>
            </w:pPr>
          </w:p>
          <w:p w14:paraId="6331EFD7">
            <w:pPr>
              <w:snapToGrid w:val="0"/>
              <w:rPr>
                <w:rFonts w:ascii="方正仿宋_GBK" w:hAnsi="方正仿宋_GBK" w:eastAsia="方正仿宋_GBK" w:cs="Times New Roman"/>
                <w:sz w:val="24"/>
                <w:szCs w:val="24"/>
              </w:rPr>
            </w:pPr>
          </w:p>
          <w:p w14:paraId="7F4E8EEE">
            <w:pPr>
              <w:snapToGrid w:val="0"/>
              <w:rPr>
                <w:rFonts w:ascii="方正仿宋_GBK" w:hAnsi="方正仿宋_GBK" w:eastAsia="方正仿宋_GBK" w:cs="Times New Roman"/>
                <w:sz w:val="24"/>
                <w:szCs w:val="24"/>
              </w:rPr>
            </w:pPr>
          </w:p>
          <w:p w14:paraId="4DEF6756">
            <w:pPr>
              <w:snapToGrid w:val="0"/>
              <w:rPr>
                <w:rFonts w:ascii="方正仿宋_GBK" w:hAnsi="方正仿宋_GBK" w:eastAsia="方正仿宋_GBK" w:cs="Times New Roman"/>
                <w:sz w:val="24"/>
                <w:szCs w:val="24"/>
              </w:rPr>
            </w:pPr>
          </w:p>
          <w:p w14:paraId="07D9E8D2">
            <w:pPr>
              <w:snapToGrid w:val="0"/>
              <w:rPr>
                <w:rFonts w:ascii="方正仿宋_GBK" w:hAnsi="方正仿宋_GBK" w:eastAsia="方正仿宋_GBK" w:cs="Times New Roman"/>
                <w:sz w:val="24"/>
                <w:szCs w:val="24"/>
              </w:rPr>
            </w:pPr>
          </w:p>
          <w:p w14:paraId="06C4A7F2">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五、紧扣抓保障促落实深化政务公开</w:t>
            </w:r>
          </w:p>
        </w:tc>
        <w:tc>
          <w:tcPr>
            <w:tcW w:w="1105" w:type="dxa"/>
            <w:vMerge w:val="restart"/>
            <w:tcMar>
              <w:top w:w="0" w:type="dxa"/>
              <w:left w:w="0" w:type="dxa"/>
              <w:bottom w:w="0" w:type="dxa"/>
              <w:right w:w="0" w:type="dxa"/>
            </w:tcMar>
            <w:vAlign w:val="center"/>
          </w:tcPr>
          <w:p w14:paraId="79F1FC6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（一）加强工作指导。</w:t>
            </w:r>
          </w:p>
        </w:tc>
        <w:tc>
          <w:tcPr>
            <w:tcW w:w="8066" w:type="dxa"/>
            <w:tcMar>
              <w:top w:w="0" w:type="dxa"/>
              <w:left w:w="0" w:type="dxa"/>
              <w:bottom w:w="0" w:type="dxa"/>
              <w:right w:w="0" w:type="dxa"/>
            </w:tcMar>
            <w:vAlign w:val="center"/>
          </w:tcPr>
          <w:p w14:paraId="1F901E39">
            <w:pPr>
              <w:snapToGrid w:val="0"/>
              <w:spacing w:line="330" w:lineRule="exact"/>
              <w:ind w:firstLine="480" w:firstLineChars="20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严格落实《中共中央办公厅国务院办公厅关于全面推进政务公开工作的意见》要求，强化激励和问责，对本系统政务公开工作落实好的，按照有关规定予以通报表扬。</w:t>
            </w:r>
          </w:p>
        </w:tc>
        <w:tc>
          <w:tcPr>
            <w:tcW w:w="1209" w:type="dxa"/>
            <w:vMerge w:val="restart"/>
            <w:tcMar>
              <w:top w:w="0" w:type="dxa"/>
              <w:left w:w="0" w:type="dxa"/>
              <w:bottom w:w="0" w:type="dxa"/>
              <w:right w:w="0" w:type="dxa"/>
            </w:tcMar>
            <w:vAlign w:val="center"/>
          </w:tcPr>
          <w:p w14:paraId="19FF507A">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tcMar>
              <w:top w:w="0" w:type="dxa"/>
              <w:left w:w="0" w:type="dxa"/>
              <w:bottom w:w="0" w:type="dxa"/>
              <w:right w:w="0" w:type="dxa"/>
            </w:tcMar>
            <w:vAlign w:val="center"/>
          </w:tcPr>
          <w:p w14:paraId="3810AB7B">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w:t>
            </w:r>
          </w:p>
        </w:tc>
        <w:tc>
          <w:tcPr>
            <w:tcW w:w="890" w:type="dxa"/>
            <w:tcMar>
              <w:top w:w="0" w:type="dxa"/>
              <w:left w:w="0" w:type="dxa"/>
              <w:bottom w:w="0" w:type="dxa"/>
              <w:right w:w="0" w:type="dxa"/>
            </w:tcMar>
            <w:vAlign w:val="center"/>
          </w:tcPr>
          <w:p w14:paraId="6E402CC3">
            <w:pPr>
              <w:snapToGrid w:val="0"/>
              <w:jc w:val="center"/>
              <w:rPr>
                <w:rFonts w:ascii="方正仿宋_GBK" w:hAnsi="方正仿宋_GBK" w:eastAsia="方正仿宋_GBK" w:cs="Times New Roman"/>
                <w:sz w:val="24"/>
                <w:szCs w:val="24"/>
              </w:rPr>
            </w:pPr>
          </w:p>
        </w:tc>
      </w:tr>
      <w:tr w14:paraId="74DE8802">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49B072BF">
            <w:pPr>
              <w:snapToGrid w:val="0"/>
              <w:rPr>
                <w:rFonts w:ascii="方正仿宋_GBK" w:hAnsi="方正仿宋_GBK" w:eastAsia="方正仿宋_GBK" w:cs="Times New Roman"/>
                <w:sz w:val="24"/>
                <w:szCs w:val="24"/>
              </w:rPr>
            </w:pPr>
          </w:p>
        </w:tc>
        <w:tc>
          <w:tcPr>
            <w:tcW w:w="1105" w:type="dxa"/>
            <w:vMerge w:val="continue"/>
            <w:tcMar>
              <w:top w:w="0" w:type="dxa"/>
              <w:left w:w="0" w:type="dxa"/>
              <w:bottom w:w="0" w:type="dxa"/>
              <w:right w:w="0" w:type="dxa"/>
            </w:tcMar>
            <w:vAlign w:val="center"/>
          </w:tcPr>
          <w:p w14:paraId="059B0BA7">
            <w:pPr>
              <w:snapToGrid w:val="0"/>
              <w:rPr>
                <w:rFonts w:ascii="方正仿宋_GBK" w:hAnsi="方正仿宋_GBK" w:eastAsia="方正仿宋_GBK" w:cs="Times New Roman"/>
                <w:sz w:val="24"/>
                <w:szCs w:val="24"/>
              </w:rPr>
            </w:pPr>
          </w:p>
        </w:tc>
        <w:tc>
          <w:tcPr>
            <w:tcW w:w="8066" w:type="dxa"/>
            <w:tcMar>
              <w:top w:w="0" w:type="dxa"/>
              <w:left w:w="0" w:type="dxa"/>
              <w:bottom w:w="0" w:type="dxa"/>
              <w:right w:w="0" w:type="dxa"/>
            </w:tcMar>
            <w:vAlign w:val="center"/>
          </w:tcPr>
          <w:p w14:paraId="7353D5B5">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．加强队伍建设，每年至少开展</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次本区政务公开工作培训，不定期开展政务公开研讨交流。</w:t>
            </w:r>
          </w:p>
          <w:p w14:paraId="0DACD2C4">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．严格落实《国务院办公厅关于印发</w:t>
            </w:r>
            <w:r>
              <w:rPr>
                <w:rFonts w:ascii="方正仿宋_GBK" w:hAnsi="方正仿宋_GBK" w:eastAsia="方正仿宋_GBK" w:cs="方正仿宋_GBK"/>
                <w:sz w:val="24"/>
                <w:szCs w:val="24"/>
              </w:rPr>
              <w:t>2020</w:t>
            </w:r>
            <w:r>
              <w:rPr>
                <w:rFonts w:hint="eastAsia" w:ascii="方正仿宋_GBK" w:hAnsi="方正仿宋_GBK" w:eastAsia="方正仿宋_GBK" w:cs="方正仿宋_GBK"/>
                <w:sz w:val="24"/>
                <w:szCs w:val="24"/>
              </w:rPr>
              <w:t>年政务公开工作要点的通知》要求，把《政府信息公开条例》作为落实领导干部学法制度的重要内容，并列入公务员初任培训必修课程。</w:t>
            </w:r>
          </w:p>
          <w:p w14:paraId="4E70EED7">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．依法规范开展政府信息公开工作考核评估，每年对区政府部门、各镇街开展</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次考核评估。</w:t>
            </w:r>
          </w:p>
        </w:tc>
        <w:tc>
          <w:tcPr>
            <w:tcW w:w="1209" w:type="dxa"/>
            <w:vMerge w:val="continue"/>
            <w:tcMar>
              <w:top w:w="0" w:type="dxa"/>
              <w:left w:w="0" w:type="dxa"/>
              <w:bottom w:w="0" w:type="dxa"/>
              <w:right w:w="0" w:type="dxa"/>
            </w:tcMar>
            <w:vAlign w:val="center"/>
          </w:tcPr>
          <w:p w14:paraId="3B361298">
            <w:pPr>
              <w:snapToGrid w:val="0"/>
              <w:rPr>
                <w:rFonts w:ascii="方正仿宋_GBK" w:hAnsi="方正仿宋_GBK" w:eastAsia="方正仿宋_GBK" w:cs="Times New Roman"/>
                <w:sz w:val="24"/>
                <w:szCs w:val="24"/>
              </w:rPr>
            </w:pPr>
          </w:p>
        </w:tc>
        <w:tc>
          <w:tcPr>
            <w:tcW w:w="1523" w:type="dxa"/>
            <w:tcMar>
              <w:top w:w="0" w:type="dxa"/>
              <w:left w:w="0" w:type="dxa"/>
              <w:bottom w:w="0" w:type="dxa"/>
              <w:right w:w="0" w:type="dxa"/>
            </w:tcMar>
            <w:vAlign w:val="center"/>
          </w:tcPr>
          <w:p w14:paraId="433318DC">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区行政学院</w:t>
            </w:r>
          </w:p>
        </w:tc>
        <w:tc>
          <w:tcPr>
            <w:tcW w:w="890" w:type="dxa"/>
            <w:tcMar>
              <w:top w:w="0" w:type="dxa"/>
              <w:left w:w="0" w:type="dxa"/>
              <w:bottom w:w="0" w:type="dxa"/>
              <w:right w:w="0" w:type="dxa"/>
            </w:tcMar>
            <w:vAlign w:val="center"/>
          </w:tcPr>
          <w:p w14:paraId="39F2A812">
            <w:pPr>
              <w:snapToGrid w:val="0"/>
              <w:jc w:val="center"/>
              <w:rPr>
                <w:rFonts w:ascii="方正仿宋_GBK" w:hAnsi="方正仿宋_GBK" w:eastAsia="方正仿宋_GBK" w:cs="Times New Roman"/>
                <w:sz w:val="24"/>
                <w:szCs w:val="24"/>
              </w:rPr>
            </w:pPr>
          </w:p>
        </w:tc>
      </w:tr>
      <w:tr w14:paraId="43A330CD">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Mar>
              <w:top w:w="0" w:type="dxa"/>
              <w:left w:w="0" w:type="dxa"/>
              <w:bottom w:w="0" w:type="dxa"/>
              <w:right w:w="0" w:type="dxa"/>
            </w:tcMar>
            <w:vAlign w:val="center"/>
          </w:tcPr>
          <w:p w14:paraId="40AB1D36">
            <w:pPr>
              <w:snapToGrid w:val="0"/>
              <w:rPr>
                <w:rFonts w:ascii="方正仿宋_GBK" w:hAnsi="方正仿宋_GBK" w:eastAsia="方正仿宋_GBK" w:cs="Times New Roman"/>
                <w:sz w:val="24"/>
                <w:szCs w:val="24"/>
              </w:rPr>
            </w:pPr>
          </w:p>
        </w:tc>
        <w:tc>
          <w:tcPr>
            <w:tcW w:w="1105" w:type="dxa"/>
            <w:vMerge w:val="restart"/>
            <w:tcMar>
              <w:top w:w="0" w:type="dxa"/>
              <w:left w:w="0" w:type="dxa"/>
              <w:bottom w:w="0" w:type="dxa"/>
              <w:right w:w="0" w:type="dxa"/>
            </w:tcMar>
            <w:vAlign w:val="center"/>
          </w:tcPr>
          <w:p w14:paraId="72F9E29D">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（二）狠抓任务落实。</w:t>
            </w:r>
          </w:p>
        </w:tc>
        <w:tc>
          <w:tcPr>
            <w:tcW w:w="8066" w:type="dxa"/>
            <w:tcMar>
              <w:top w:w="0" w:type="dxa"/>
              <w:left w:w="0" w:type="dxa"/>
              <w:bottom w:w="0" w:type="dxa"/>
              <w:right w:w="0" w:type="dxa"/>
            </w:tcMar>
            <w:vAlign w:val="center"/>
          </w:tcPr>
          <w:p w14:paraId="7B122E70">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．严格落实《中共中央办公厅国务院办公厅关于全面推进政务公开工作的意见》要求，强化区政府办公室的政务公开工作主管部门职责，健全工作机制，落实工作经费，配齐配强专职工作人员。</w:t>
            </w:r>
          </w:p>
          <w:p w14:paraId="1C7B8E19">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．严格落实《政府信息公开条例》和《国务院办公厅印发〈关于全面推进政务公开工作的意见〉实施细则的通知》要求，把政务公开纳入政府绩效考核体系且分值权重不低于</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w:t>
            </w:r>
          </w:p>
        </w:tc>
        <w:tc>
          <w:tcPr>
            <w:tcW w:w="1209" w:type="dxa"/>
            <w:vMerge w:val="restart"/>
            <w:tcMar>
              <w:top w:w="0" w:type="dxa"/>
              <w:left w:w="0" w:type="dxa"/>
              <w:bottom w:w="0" w:type="dxa"/>
              <w:right w:w="0" w:type="dxa"/>
            </w:tcMar>
            <w:vAlign w:val="center"/>
          </w:tcPr>
          <w:p w14:paraId="52DB1967">
            <w:pPr>
              <w:snapToGrid w:val="0"/>
              <w:jc w:val="center"/>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区政府办公室</w:t>
            </w:r>
          </w:p>
        </w:tc>
        <w:tc>
          <w:tcPr>
            <w:tcW w:w="1523" w:type="dxa"/>
            <w:vMerge w:val="restart"/>
            <w:tcMar>
              <w:top w:w="0" w:type="dxa"/>
              <w:left w:w="0" w:type="dxa"/>
              <w:bottom w:w="0" w:type="dxa"/>
              <w:right w:w="0" w:type="dxa"/>
            </w:tcMar>
            <w:vAlign w:val="center"/>
          </w:tcPr>
          <w:p w14:paraId="50A3B67A">
            <w:pPr>
              <w:snapToGrid w:val="0"/>
              <w:rPr>
                <w:rFonts w:ascii="方正仿宋_GBK" w:hAnsi="方正仿宋_GBK" w:eastAsia="方正仿宋_GBK" w:cs="Times New Roman"/>
                <w:sz w:val="24"/>
                <w:szCs w:val="24"/>
              </w:rPr>
            </w:pPr>
            <w:r>
              <w:rPr>
                <w:rFonts w:hint="eastAsia" w:ascii="方正仿宋_GBK" w:hAnsi="方正仿宋_GBK" w:eastAsia="方正仿宋_GBK" w:cs="方正仿宋_GBK"/>
                <w:sz w:val="24"/>
                <w:szCs w:val="24"/>
              </w:rPr>
              <w:t>区政府各部门、各镇街</w:t>
            </w:r>
          </w:p>
        </w:tc>
        <w:tc>
          <w:tcPr>
            <w:tcW w:w="890" w:type="dxa"/>
            <w:tcMar>
              <w:top w:w="0" w:type="dxa"/>
              <w:left w:w="0" w:type="dxa"/>
              <w:bottom w:w="0" w:type="dxa"/>
              <w:right w:w="0" w:type="dxa"/>
            </w:tcMar>
            <w:vAlign w:val="center"/>
          </w:tcPr>
          <w:p w14:paraId="5EC2B59C">
            <w:pPr>
              <w:snapToGrid w:val="0"/>
              <w:jc w:val="center"/>
              <w:rPr>
                <w:rFonts w:ascii="方正仿宋_GBK" w:hAnsi="方正仿宋_GBK" w:eastAsia="方正仿宋_GBK" w:cs="Times New Roman"/>
                <w:sz w:val="24"/>
                <w:szCs w:val="24"/>
              </w:rPr>
            </w:pPr>
          </w:p>
        </w:tc>
      </w:tr>
      <w:tr w14:paraId="4927E44B">
        <w:tblPrEx>
          <w:tblBorders>
            <w:top w:val="single" w:color="auto" w:sz="6" w:space="0"/>
            <w:left w:val="single" w:color="auto" w:sz="6" w:space="0"/>
            <w:bottom w:val="single" w:color="auto" w:sz="6" w:space="0"/>
            <w:right w:val="single" w:color="auto" w:sz="6" w:space="0"/>
            <w:insideH w:val="single" w:color="808080" w:sz="6" w:space="0"/>
            <w:insideV w:val="single" w:color="808080" w:sz="6" w:space="0"/>
          </w:tblBorders>
          <w:tblCellMar>
            <w:top w:w="0" w:type="dxa"/>
            <w:left w:w="28" w:type="dxa"/>
            <w:bottom w:w="0" w:type="dxa"/>
            <w:right w:w="28" w:type="dxa"/>
          </w:tblCellMar>
        </w:tblPrEx>
        <w:trPr>
          <w:jc w:val="center"/>
        </w:trPr>
        <w:tc>
          <w:tcPr>
            <w:tcW w:w="977" w:type="dxa"/>
            <w:vMerge w:val="continue"/>
            <w:tcBorders>
              <w:bottom w:val="single" w:color="auto" w:sz="6" w:space="0"/>
            </w:tcBorders>
            <w:tcMar>
              <w:top w:w="0" w:type="dxa"/>
              <w:left w:w="0" w:type="dxa"/>
              <w:bottom w:w="0" w:type="dxa"/>
              <w:right w:w="0" w:type="dxa"/>
            </w:tcMar>
            <w:vAlign w:val="center"/>
          </w:tcPr>
          <w:p w14:paraId="606E32F5">
            <w:pPr>
              <w:snapToGrid w:val="0"/>
              <w:rPr>
                <w:rFonts w:ascii="方正仿宋_GBK" w:hAnsi="方正仿宋_GBK" w:eastAsia="方正仿宋_GBK" w:cs="Times New Roman"/>
                <w:sz w:val="24"/>
                <w:szCs w:val="24"/>
              </w:rPr>
            </w:pPr>
          </w:p>
        </w:tc>
        <w:tc>
          <w:tcPr>
            <w:tcW w:w="1105" w:type="dxa"/>
            <w:vMerge w:val="continue"/>
            <w:tcBorders>
              <w:bottom w:val="single" w:color="auto" w:sz="6" w:space="0"/>
            </w:tcBorders>
            <w:tcMar>
              <w:top w:w="0" w:type="dxa"/>
              <w:left w:w="0" w:type="dxa"/>
              <w:bottom w:w="0" w:type="dxa"/>
              <w:right w:w="0" w:type="dxa"/>
            </w:tcMar>
            <w:vAlign w:val="center"/>
          </w:tcPr>
          <w:p w14:paraId="4B4DC2FA">
            <w:pPr>
              <w:snapToGrid w:val="0"/>
              <w:rPr>
                <w:rFonts w:ascii="方正仿宋_GBK" w:hAnsi="方正仿宋_GBK" w:eastAsia="方正仿宋_GBK" w:cs="Times New Roman"/>
                <w:sz w:val="24"/>
                <w:szCs w:val="24"/>
              </w:rPr>
            </w:pPr>
          </w:p>
        </w:tc>
        <w:tc>
          <w:tcPr>
            <w:tcW w:w="8066" w:type="dxa"/>
            <w:tcBorders>
              <w:bottom w:val="single" w:color="auto" w:sz="6" w:space="0"/>
            </w:tcBorders>
            <w:tcMar>
              <w:top w:w="0" w:type="dxa"/>
              <w:left w:w="0" w:type="dxa"/>
              <w:bottom w:w="0" w:type="dxa"/>
              <w:right w:w="0" w:type="dxa"/>
            </w:tcMar>
            <w:vAlign w:val="center"/>
          </w:tcPr>
          <w:p w14:paraId="49AFD268">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．对</w:t>
            </w:r>
            <w:r>
              <w:rPr>
                <w:rFonts w:ascii="方正仿宋_GBK" w:hAnsi="方正仿宋_GBK" w:eastAsia="方正仿宋_GBK" w:cs="方正仿宋_GBK"/>
                <w:sz w:val="24"/>
                <w:szCs w:val="24"/>
              </w:rPr>
              <w:t>2020</w:t>
            </w:r>
            <w:r>
              <w:rPr>
                <w:rFonts w:hint="eastAsia" w:ascii="方正仿宋_GBK" w:hAnsi="方正仿宋_GBK" w:eastAsia="方正仿宋_GBK" w:cs="方正仿宋_GBK"/>
                <w:sz w:val="24"/>
                <w:szCs w:val="24"/>
              </w:rPr>
              <w:t>年政务公开工作要点任务分工落实情况开展“回头看”，重点针对有明确责任主体和时限要求的工作任务，逐项核查落实情况，对未完成的要建立工作台账，实行打表推进、销号管理，确保全面督促整改到位。</w:t>
            </w:r>
          </w:p>
          <w:p w14:paraId="6AC22F7E">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．将《任务分工》完成情况作为</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年政务公开第三方评估和日常巡查检查的主要内容。</w:t>
            </w:r>
          </w:p>
          <w:p w14:paraId="120438E1">
            <w:pPr>
              <w:snapToGrid w:val="0"/>
              <w:spacing w:line="330" w:lineRule="exact"/>
              <w:ind w:firstLine="480" w:firstLineChars="200"/>
              <w:rPr>
                <w:rFonts w:ascii="方正仿宋_GBK" w:hAnsi="方正仿宋_GBK" w:eastAsia="方正仿宋_GBK" w:cs="Times New Roman"/>
                <w:sz w:val="24"/>
                <w:szCs w:val="24"/>
              </w:rPr>
            </w:pP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．按照全国政府信息公开工作主管部门最新出台的政府信息公开工作年度报告格式，在法定期限内编制并公开本机关的政府信息公开工作年度报告。</w:t>
            </w:r>
          </w:p>
        </w:tc>
        <w:tc>
          <w:tcPr>
            <w:tcW w:w="1209" w:type="dxa"/>
            <w:vMerge w:val="continue"/>
            <w:tcBorders>
              <w:bottom w:val="single" w:color="auto" w:sz="6" w:space="0"/>
            </w:tcBorders>
            <w:tcMar>
              <w:top w:w="0" w:type="dxa"/>
              <w:left w:w="0" w:type="dxa"/>
              <w:bottom w:w="0" w:type="dxa"/>
              <w:right w:w="0" w:type="dxa"/>
            </w:tcMar>
            <w:vAlign w:val="center"/>
          </w:tcPr>
          <w:p w14:paraId="5AC8F112">
            <w:pPr>
              <w:snapToGrid w:val="0"/>
              <w:rPr>
                <w:rFonts w:ascii="方正仿宋_GBK" w:hAnsi="方正仿宋_GBK" w:eastAsia="方正仿宋_GBK" w:cs="Times New Roman"/>
                <w:sz w:val="24"/>
                <w:szCs w:val="24"/>
              </w:rPr>
            </w:pPr>
          </w:p>
        </w:tc>
        <w:tc>
          <w:tcPr>
            <w:tcW w:w="1523" w:type="dxa"/>
            <w:vMerge w:val="continue"/>
            <w:tcBorders>
              <w:bottom w:val="single" w:color="auto" w:sz="6" w:space="0"/>
            </w:tcBorders>
            <w:tcMar>
              <w:top w:w="0" w:type="dxa"/>
              <w:left w:w="0" w:type="dxa"/>
              <w:bottom w:w="0" w:type="dxa"/>
              <w:right w:w="0" w:type="dxa"/>
            </w:tcMar>
            <w:vAlign w:val="center"/>
          </w:tcPr>
          <w:p w14:paraId="710FC921">
            <w:pPr>
              <w:snapToGrid w:val="0"/>
              <w:rPr>
                <w:rFonts w:ascii="方正仿宋_GBK" w:hAnsi="方正仿宋_GBK" w:eastAsia="方正仿宋_GBK" w:cs="Times New Roman"/>
                <w:sz w:val="24"/>
                <w:szCs w:val="24"/>
              </w:rPr>
            </w:pPr>
          </w:p>
        </w:tc>
        <w:tc>
          <w:tcPr>
            <w:tcW w:w="890" w:type="dxa"/>
            <w:tcBorders>
              <w:bottom w:val="single" w:color="auto" w:sz="6" w:space="0"/>
            </w:tcBorders>
            <w:tcMar>
              <w:top w:w="0" w:type="dxa"/>
              <w:left w:w="0" w:type="dxa"/>
              <w:bottom w:w="0" w:type="dxa"/>
              <w:right w:w="0" w:type="dxa"/>
            </w:tcMar>
            <w:vAlign w:val="center"/>
          </w:tcPr>
          <w:p w14:paraId="4C21CCC5">
            <w:pPr>
              <w:snapToGrid w:val="0"/>
              <w:jc w:val="center"/>
              <w:rPr>
                <w:rFonts w:ascii="方正仿宋_GBK" w:hAnsi="方正仿宋_GBK" w:eastAsia="方正仿宋_GBK" w:cs="Times New Roman"/>
                <w:sz w:val="24"/>
                <w:szCs w:val="24"/>
              </w:rPr>
            </w:pPr>
          </w:p>
        </w:tc>
      </w:tr>
    </w:tbl>
    <w:p w14:paraId="0CAA5B29">
      <w:pPr>
        <w:widowControl/>
        <w:jc w:val="left"/>
        <w:rPr>
          <w:rFonts w:cs="Times New Roman"/>
          <w:sz w:val="20"/>
          <w:szCs w:val="20"/>
        </w:rPr>
      </w:pPr>
      <w:r>
        <w:rPr>
          <w:rFonts w:hint="eastAsia" w:ascii="方正黑体_GBK" w:hAnsi="方正黑体_GBK" w:eastAsia="方正黑体_GBK" w:cs="方正黑体_GBK"/>
          <w:sz w:val="28"/>
          <w:szCs w:val="28"/>
        </w:rPr>
        <w:t>特别提醒：</w:t>
      </w:r>
      <w:r>
        <w:rPr>
          <w:rFonts w:hint="eastAsia" w:ascii="Times New Roman" w:hAnsi="Times New Roman" w:eastAsia="方正仿宋_GBK" w:cs="方正仿宋_GBK"/>
          <w:sz w:val="28"/>
          <w:szCs w:val="28"/>
        </w:rPr>
        <w:t>技术保障单位（区政府电子政务中心）正在对区政府网站优化升级，部分板块未上线。各牵头单位、内容保障单位可根据工作需要在其他板块进行信息发布，网站（页）相应板块建好后进行数据转移。</w:t>
      </w:r>
    </w:p>
    <w:p w14:paraId="3482A92A">
      <w:pPr>
        <w:snapToGrid w:val="0"/>
        <w:jc w:val="center"/>
        <w:rPr>
          <w:rFonts w:ascii="宋体" w:hAnsi="宋体" w:eastAsia="方正小标宋_GBK" w:cs="Times New Roman"/>
          <w:color w:val="000000"/>
          <w:sz w:val="11"/>
          <w:szCs w:val="11"/>
        </w:rPr>
      </w:pPr>
    </w:p>
    <w:p w14:paraId="11DF138C">
      <w:pPr>
        <w:rPr>
          <w:rFonts w:ascii="宋体" w:hAnsi="宋体" w:eastAsia="方正仿宋_GBK" w:cs="Times New Roman"/>
          <w:sz w:val="32"/>
          <w:szCs w:val="32"/>
        </w:rPr>
      </w:pPr>
    </w:p>
    <w:p w14:paraId="436A62D5">
      <w:pPr>
        <w:rPr>
          <w:rFonts w:ascii="宋体" w:hAnsi="宋体" w:eastAsia="方正仿宋_GBK" w:cs="Times New Roman"/>
          <w:sz w:val="32"/>
          <w:szCs w:val="32"/>
        </w:rPr>
        <w:sectPr>
          <w:footerReference r:id="rId9" w:type="default"/>
          <w:footerReference r:id="rId10" w:type="even"/>
          <w:pgSz w:w="16838" w:h="11906" w:orient="landscape"/>
          <w:pgMar w:top="1531" w:right="1531" w:bottom="1531" w:left="1531" w:header="907" w:footer="907" w:gutter="0"/>
          <w:cols w:space="720" w:num="1"/>
          <w:docGrid w:type="linesAndChars" w:linePitch="579" w:charSpace="0"/>
        </w:sectPr>
      </w:pPr>
      <w:r>
        <mc:AlternateContent>
          <mc:Choice Requires="wps">
            <w:drawing>
              <wp:anchor distT="0" distB="0" distL="114300" distR="114300" simplePos="0" relativeHeight="251660288" behindDoc="0" locked="0" layoutInCell="1" allowOverlap="1">
                <wp:simplePos x="0" y="0"/>
                <wp:positionH relativeFrom="column">
                  <wp:posOffset>-474345</wp:posOffset>
                </wp:positionH>
                <wp:positionV relativeFrom="paragraph">
                  <wp:posOffset>3614420</wp:posOffset>
                </wp:positionV>
                <wp:extent cx="320040" cy="908685"/>
                <wp:effectExtent l="4445" t="4445" r="5715" b="13970"/>
                <wp:wrapNone/>
                <wp:docPr id="2" name="文本框 22"/>
                <wp:cNvGraphicFramePr/>
                <a:graphic xmlns:a="http://schemas.openxmlformats.org/drawingml/2006/main">
                  <a:graphicData uri="http://schemas.microsoft.com/office/word/2010/wordprocessingShape">
                    <wps:wsp>
                      <wps:cNvSpPr txBox="1"/>
                      <wps:spPr>
                        <a:xfrm>
                          <a:off x="0" y="0"/>
                          <a:ext cx="320040" cy="9086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664E046">
                            <w:pPr>
                              <w:snapToGrid w:val="0"/>
                              <w:rPr>
                                <w:rFonts w:ascii="宋体" w:cs="Times New Roman"/>
                                <w:sz w:val="28"/>
                                <w:szCs w:val="28"/>
                              </w:rPr>
                            </w:pPr>
                            <w:r>
                              <w:rPr>
                                <w:rFonts w:ascii="宋体" w:hAnsi="宋体" w:cs="宋体"/>
                                <w:sz w:val="28"/>
                                <w:szCs w:val="28"/>
                              </w:rPr>
                              <w:t>— 21 —</w:t>
                            </w:r>
                          </w:p>
                        </w:txbxContent>
                      </wps:txbx>
                      <wps:bodyPr vert="eaVert" lIns="0" tIns="0" rIns="0" bIns="0" upright="1"/>
                    </wps:wsp>
                  </a:graphicData>
                </a:graphic>
              </wp:anchor>
            </w:drawing>
          </mc:Choice>
          <mc:Fallback>
            <w:pict>
              <v:shape id="文本框 22" o:spid="_x0000_s1026" o:spt="202" type="#_x0000_t202" style="position:absolute;left:0pt;margin-left:-37.35pt;margin-top:284.6pt;height:71.55pt;width:25.2pt;z-index:251660288;mso-width-relative:page;mso-height-relative:page;" fillcolor="#FFFFFF" filled="t" stroked="t" coordsize="21600,21600" o:gfxdata="UEsDBAoAAAAAAIdO4kAAAAAAAAAAAAAAAAAEAAAAZHJzL1BLAwQUAAAACACHTuJAaK5bk90AAAAL&#10;AQAADwAAAGRycy9kb3ducmV2LnhtbE2Py07DMBBF90j8gzVI7FInaZtAyKSLSkjtggWlQrBz4iGJ&#10;iMdR7D7o12NWZTm6R/eeKVdnM4gjTa63jJDMYhDEjdU9twj7t+foAYTzirUaLBPCDzlYVbc3pSq0&#10;PfErHXe+FaGEXaEQOu/HQkrXdGSUm9mROGRfdjLKh3NqpZ7UKZSbQaZxnEmjeg4LnRpp3VHzvTsY&#10;hHX7OS7tduOzi3/v9/XLx0VvN4j3d0n8BMLT2V9h+NMP6lAFp9oeWDsxIET5Ig8owjJ7TEEEIkoX&#10;cxA1Qp6kc5BVKf//UP0CUEsDBBQAAAAIAIdO4kD2GLnPGwIAAGgEAAAOAAAAZHJzL2Uyb0RvYy54&#10;bWytVM2O0zAQviPxDpbvNN1AV0vUdCUoRUgIkBa4u46TWPKfbLdNXwDegBMX7jxXn4PPTttll0sP&#10;5JB8tsffzHwzk/ntoBXZCh+kNTW9mkwpEYbbRpqupl8+r57dUBIiMw1T1oia7kWgt4unT+Y7V4nS&#10;9lY1whOQmFDtXE37GF1VFIH3QrMwsU4YHLbWaxax9F3ReLYDu1ZFOZ1eFzvrG+ctFyFgdzke0iOj&#10;v4TQtq3kYmn5RgsTR1YvFItIKfTSBbrI0bat4PFj2wYRiaopMo35DSfA6/QuFnNWdZ65XvJjCOyS&#10;EB7lpJk0cHqmWrLIyMbLf6i05N4G28YJt7oYE8mKIIur6SNt7nrmRM4FUgd3Fj38P1r+YfvJE9nU&#10;tKTEMI2CH358P/z8ffj1jZRl0mfnQgWzOwfDOLyyA7rmtB+wmdIeWq/TFwkRnEPd/VldMUTCsfkc&#10;1X+BE46jl9Ob65tZYinuLzsf4lthNUmgph7Fy5qy7fsQR9OTSfIVrJLNSiqVF75bv1aebBkKvcrP&#10;kf2BmTJkB++zcoY4GLq3RdcAagcFgumyvwc3wmXEKbAlC/0YQGZI/lmlZRQ+o16w5o1pSNw7qGww&#10;XDQFo0VDiRKYxYSyZWRSXWIJ7ZSBhKlCYyUSisN6AE2Ca9vsUTVMO/QU7Cu+8PXOoIHSMJyAP4H1&#10;CWycl12PS7nS2QEaMFfrOCypw/9e5zDufxC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iuW5Pd&#10;AAAACwEAAA8AAAAAAAAAAQAgAAAAIgAAAGRycy9kb3ducmV2LnhtbFBLAQIUABQAAAAIAIdO4kD2&#10;GLnPGwIAAGgEAAAOAAAAAAAAAAEAIAAAACwBAABkcnMvZTJvRG9jLnhtbFBLBQYAAAAABgAGAFkB&#10;AAC5BQAAAAA=&#10;">
                <v:fill on="t" focussize="0,0"/>
                <v:stroke color="#FFFFFF" joinstyle="miter"/>
                <v:imagedata o:title=""/>
                <o:lock v:ext="edit" aspectratio="f"/>
                <v:textbox inset="0mm,0mm,0mm,0mm" style="layout-flow:vertical-ideographic;">
                  <w:txbxContent>
                    <w:p w14:paraId="2664E046">
                      <w:pPr>
                        <w:snapToGrid w:val="0"/>
                        <w:rPr>
                          <w:rFonts w:ascii="宋体" w:cs="Times New Roman"/>
                          <w:sz w:val="28"/>
                          <w:szCs w:val="28"/>
                        </w:rPr>
                      </w:pPr>
                      <w:r>
                        <w:rPr>
                          <w:rFonts w:ascii="宋体" w:hAnsi="宋体" w:cs="宋体"/>
                          <w:sz w:val="28"/>
                          <w:szCs w:val="28"/>
                        </w:rPr>
                        <w:t>— 21 —</w:t>
                      </w:r>
                    </w:p>
                  </w:txbxContent>
                </v:textbox>
              </v:shape>
            </w:pict>
          </mc:Fallback>
        </mc:AlternateContent>
      </w:r>
    </w:p>
    <w:p w14:paraId="4BE343CC">
      <w:pPr>
        <w:ind w:firstLine="412" w:firstLineChars="200"/>
        <w:rPr>
          <w:rFonts w:ascii="宋体" w:hAnsi="宋体" w:eastAsia="方正仿宋_GBK" w:cs="Times New Roman"/>
        </w:rPr>
      </w:pPr>
    </w:p>
    <w:p w14:paraId="4F9E31E9">
      <w:pPr>
        <w:autoSpaceDE w:val="0"/>
        <w:autoSpaceDN w:val="0"/>
        <w:adjustRightInd w:val="0"/>
        <w:ind w:firstLine="552" w:firstLineChars="200"/>
        <w:rPr>
          <w:rFonts w:ascii="宋体" w:hAnsi="宋体" w:eastAsia="方正仿宋_GBK" w:cs="Times New Roman"/>
          <w:kern w:val="0"/>
          <w:sz w:val="28"/>
          <w:szCs w:val="28"/>
        </w:rPr>
      </w:pPr>
    </w:p>
    <w:p w14:paraId="4E682A55">
      <w:pPr>
        <w:rPr>
          <w:rFonts w:ascii="宋体" w:hAnsi="宋体" w:eastAsia="方正仿宋_GBK" w:cs="Times New Roman"/>
        </w:rPr>
      </w:pPr>
    </w:p>
    <w:p w14:paraId="202EB8F0">
      <w:pPr>
        <w:rPr>
          <w:rFonts w:ascii="宋体" w:hAnsi="宋体" w:eastAsia="方正仿宋_GBK" w:cs="Times New Roman"/>
        </w:rPr>
      </w:pPr>
    </w:p>
    <w:p w14:paraId="445E6015">
      <w:pPr>
        <w:rPr>
          <w:rFonts w:ascii="宋体" w:hAnsi="宋体" w:eastAsia="方正仿宋_GBK" w:cs="Times New Roman"/>
        </w:rPr>
      </w:pPr>
    </w:p>
    <w:p w14:paraId="5C0A5C7F">
      <w:pPr>
        <w:rPr>
          <w:rFonts w:ascii="宋体" w:hAnsi="宋体" w:eastAsia="方正仿宋_GBK" w:cs="Times New Roman"/>
        </w:rPr>
      </w:pPr>
    </w:p>
    <w:p w14:paraId="537341F8">
      <w:pPr>
        <w:rPr>
          <w:rFonts w:ascii="宋体" w:hAnsi="宋体" w:eastAsia="方正仿宋_GBK" w:cs="Times New Roman"/>
        </w:rPr>
      </w:pPr>
    </w:p>
    <w:p w14:paraId="44AEBF6B">
      <w:pPr>
        <w:rPr>
          <w:rFonts w:ascii="宋体" w:hAnsi="宋体" w:eastAsia="方正仿宋_GBK" w:cs="Times New Roman"/>
        </w:rPr>
      </w:pPr>
    </w:p>
    <w:p w14:paraId="5795A257">
      <w:pPr>
        <w:rPr>
          <w:rFonts w:ascii="宋体" w:hAnsi="宋体" w:eastAsia="方正仿宋_GBK" w:cs="Times New Roman"/>
        </w:rPr>
      </w:pPr>
    </w:p>
    <w:p w14:paraId="232B4EC9">
      <w:pPr>
        <w:rPr>
          <w:rFonts w:ascii="宋体" w:hAnsi="宋体" w:eastAsia="方正仿宋_GBK" w:cs="Times New Roman"/>
        </w:rPr>
      </w:pPr>
    </w:p>
    <w:p w14:paraId="55319DA4">
      <w:pPr>
        <w:rPr>
          <w:rFonts w:ascii="宋体" w:hAnsi="宋体" w:eastAsia="方正仿宋_GBK" w:cs="Times New Roman"/>
        </w:rPr>
      </w:pPr>
    </w:p>
    <w:p w14:paraId="33671BFC">
      <w:pPr>
        <w:rPr>
          <w:rFonts w:ascii="宋体" w:hAnsi="宋体" w:eastAsia="方正仿宋_GBK" w:cs="Times New Roman"/>
        </w:rPr>
      </w:pPr>
    </w:p>
    <w:p w14:paraId="16DAD7F2">
      <w:pPr>
        <w:rPr>
          <w:rFonts w:ascii="宋体" w:hAnsi="宋体" w:eastAsia="方正仿宋_GBK" w:cs="Times New Roman"/>
        </w:rPr>
      </w:pPr>
    </w:p>
    <w:p w14:paraId="4CD1164F">
      <w:pPr>
        <w:rPr>
          <w:rFonts w:ascii="宋体" w:hAnsi="宋体" w:eastAsia="方正仿宋_GBK" w:cs="Times New Roman"/>
        </w:rPr>
      </w:pPr>
    </w:p>
    <w:p w14:paraId="189F81DC">
      <w:pPr>
        <w:rPr>
          <w:rFonts w:ascii="宋体" w:hAnsi="宋体" w:eastAsia="方正仿宋_GBK" w:cs="Times New Roman"/>
        </w:rPr>
      </w:pPr>
    </w:p>
    <w:p w14:paraId="297A6420">
      <w:pPr>
        <w:rPr>
          <w:rFonts w:ascii="宋体" w:hAnsi="宋体" w:eastAsia="方正仿宋_GBK" w:cs="Times New Roman"/>
        </w:rPr>
      </w:pPr>
    </w:p>
    <w:p w14:paraId="452A6AC7">
      <w:pPr>
        <w:snapToGrid w:val="0"/>
        <w:rPr>
          <w:rFonts w:ascii="宋体" w:hAnsi="宋体" w:eastAsia="方正仿宋_GBK" w:cs="Times New Roman"/>
        </w:rPr>
      </w:pPr>
    </w:p>
    <w:p w14:paraId="23D270C1">
      <w:pPr>
        <w:rPr>
          <w:rFonts w:ascii="宋体" w:hAnsi="宋体" w:eastAsia="方正仿宋简体" w:cs="Times New Roman"/>
        </w:rPr>
      </w:pPr>
    </w:p>
    <w:p w14:paraId="5D73BADC">
      <w:pPr>
        <w:spacing w:line="560" w:lineRule="exact"/>
        <w:jc w:val="right"/>
        <w:rPr>
          <w:rFonts w:ascii="宋体" w:hAnsi="宋体" w:eastAsia="方正小标宋_GBK" w:cs="Times New Roman"/>
        </w:rPr>
      </w:pPr>
    </w:p>
    <w:p w14:paraId="693F16AE">
      <w:pPr>
        <w:pBdr>
          <w:top w:val="single" w:color="auto" w:sz="8" w:space="1"/>
        </w:pBdr>
        <w:adjustRightInd w:val="0"/>
        <w:rPr>
          <w:rFonts w:ascii="宋体" w:hAnsi="宋体" w:eastAsia="方正仿宋_GBK" w:cs="Times New Roman"/>
          <w:sz w:val="28"/>
          <w:szCs w:val="28"/>
        </w:rPr>
      </w:pPr>
      <w:r>
        <w:rPr>
          <w:rFonts w:hint="eastAsia" w:ascii="宋体" w:hAnsi="宋体" w:eastAsia="方正仿宋_GBK" w:cs="方正仿宋_GBK"/>
          <w:sz w:val="28"/>
          <w:szCs w:val="28"/>
        </w:rPr>
        <w:t>　抄送：区纪委监委机关，区法院，区检察院，区人武部，区委办公室，</w:t>
      </w:r>
    </w:p>
    <w:p w14:paraId="7D867A22">
      <w:pPr>
        <w:pBdr>
          <w:top w:val="single" w:color="auto" w:sz="8" w:space="1"/>
        </w:pBdr>
        <w:adjustRightInd w:val="0"/>
        <w:ind w:firstLine="1102" w:firstLineChars="399"/>
        <w:rPr>
          <w:rFonts w:ascii="宋体" w:hAnsi="宋体" w:eastAsia="方正仿宋_GBK" w:cs="Times New Roman"/>
          <w:sz w:val="28"/>
          <w:szCs w:val="28"/>
        </w:rPr>
      </w:pPr>
      <w:r>
        <w:rPr>
          <w:rFonts w:hint="eastAsia" w:ascii="宋体" w:hAnsi="宋体" w:eastAsia="方正仿宋_GBK" w:cs="方正仿宋_GBK"/>
          <w:sz w:val="28"/>
          <w:szCs w:val="28"/>
          <w:lang w:eastAsia="zh-CN"/>
        </w:rPr>
        <w:t>区人大常委会办公室</w:t>
      </w:r>
      <w:r>
        <w:rPr>
          <w:rFonts w:hint="eastAsia" w:ascii="宋体" w:hAnsi="宋体" w:eastAsia="方正仿宋_GBK" w:cs="方正仿宋_GBK"/>
          <w:sz w:val="28"/>
          <w:szCs w:val="28"/>
        </w:rPr>
        <w:t>，区政协办公室。</w:t>
      </w:r>
    </w:p>
    <w:p w14:paraId="7669B22A">
      <w:pPr>
        <w:pBdr>
          <w:top w:val="single" w:color="auto" w:sz="6" w:space="1"/>
          <w:bottom w:val="single" w:color="auto" w:sz="8" w:space="1"/>
        </w:pBdr>
        <w:tabs>
          <w:tab w:val="right" w:pos="8844"/>
        </w:tabs>
        <w:adjustRightInd w:val="0"/>
        <w:ind w:firstLine="276" w:firstLineChars="100"/>
        <w:rPr>
          <w:rFonts w:cs="Times New Roman"/>
        </w:rPr>
      </w:pPr>
      <w:r>
        <w:rPr>
          <w:rFonts w:hint="eastAsia" w:ascii="宋体" w:hAnsi="宋体" w:eastAsia="方正仿宋_GBK" w:cs="方正仿宋_GBK"/>
          <w:sz w:val="28"/>
          <w:szCs w:val="28"/>
        </w:rPr>
        <w:t>重庆市荣昌区人民政府办公室　　　　　　　</w:t>
      </w:r>
      <w:r>
        <w:rPr>
          <w:rFonts w:ascii="宋体" w:hAnsi="宋体" w:eastAsia="方正仿宋_GBK" w:cs="宋体"/>
          <w:sz w:val="28"/>
          <w:szCs w:val="28"/>
        </w:rPr>
        <w:t>2021</w:t>
      </w:r>
      <w:r>
        <w:rPr>
          <w:rFonts w:hint="eastAsia" w:ascii="宋体" w:hAnsi="宋体" w:eastAsia="方正仿宋_GBK" w:cs="方正仿宋_GBK"/>
          <w:sz w:val="28"/>
          <w:szCs w:val="28"/>
        </w:rPr>
        <w:t>年</w:t>
      </w:r>
      <w:r>
        <w:rPr>
          <w:rFonts w:ascii="宋体" w:hAnsi="宋体" w:eastAsia="方正仿宋_GBK" w:cs="宋体"/>
          <w:sz w:val="28"/>
          <w:szCs w:val="28"/>
        </w:rPr>
        <w:t>7</w:t>
      </w:r>
      <w:r>
        <w:rPr>
          <w:rFonts w:hint="eastAsia" w:ascii="宋体" w:hAnsi="宋体" w:eastAsia="方正仿宋_GBK" w:cs="方正仿宋_GBK"/>
          <w:sz w:val="28"/>
          <w:szCs w:val="28"/>
        </w:rPr>
        <w:t>月</w:t>
      </w:r>
      <w:r>
        <w:rPr>
          <w:rFonts w:ascii="宋体" w:hAnsi="宋体" w:eastAsia="方正仿宋_GBK" w:cs="宋体"/>
          <w:sz w:val="28"/>
          <w:szCs w:val="28"/>
        </w:rPr>
        <w:t>13</w:t>
      </w:r>
      <w:r>
        <w:rPr>
          <w:rFonts w:hint="eastAsia" w:ascii="宋体" w:hAnsi="宋体" w:eastAsia="方正仿宋_GBK" w:cs="方正仿宋_GBK"/>
          <w:sz w:val="28"/>
          <w:szCs w:val="28"/>
        </w:rPr>
        <w:t>日印发</w:t>
      </w:r>
    </w:p>
    <w:sectPr>
      <w:footerReference r:id="rId11" w:type="default"/>
      <w:footerReference r:id="rId12" w:type="even"/>
      <w:pgSz w:w="11906" w:h="16838"/>
      <w:pgMar w:top="2098" w:right="1531" w:bottom="1985" w:left="1531" w:header="851" w:footer="1474" w:gutter="0"/>
      <w:cols w:space="720" w:num="1"/>
      <w:rtlGutter w:val="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54A4">
    <w:pPr>
      <w:pStyle w:val="4"/>
      <w:rPr>
        <w:rFonts w:cs="Times New Roman"/>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014730" cy="393065"/>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014730" cy="393065"/>
                      </a:xfrm>
                      <a:prstGeom prst="rect">
                        <a:avLst/>
                      </a:prstGeom>
                      <a:noFill/>
                      <a:ln w="6350">
                        <a:noFill/>
                      </a:ln>
                    </wps:spPr>
                    <wps:txbx>
                      <w:txbxContent>
                        <w:p w14:paraId="19F11D15">
                          <w:pPr>
                            <w:snapToGrid w:val="0"/>
                            <w:ind w:firstLine="280" w:firstLineChars="10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w:t>
                          </w:r>
                        </w:p>
                        <w:p w14:paraId="38280D97">
                          <w:pPr>
                            <w:snapToGrid w:val="0"/>
                            <w:rPr>
                              <w:rFonts w:cs="Times New Roman"/>
                            </w:rPr>
                          </w:pPr>
                        </w:p>
                      </w:txbxContent>
                    </wps:txbx>
                    <wps:bodyPr lIns="0" tIns="0" rIns="0" bIns="0" upright="1">
                      <a:spAutoFit/>
                    </wps:bodyPr>
                  </wps:wsp>
                </a:graphicData>
              </a:graphic>
            </wp:anchor>
          </w:drawing>
        </mc:Choice>
        <mc:Fallback>
          <w:pict>
            <v:shape id="文本框 2" o:spid="_x0000_s1026" o:spt="202" type="#_x0000_t202" style="position:absolute;left:0pt;margin-top:0pt;height:30.95pt;width:79.9pt;mso-position-horizontal:outside;mso-position-horizontal-relative:margin;z-index:251666432;mso-width-relative:page;mso-height-relative:page;" filled="f" stroked="f" coordsize="21600,21600" o:gfxdata="UEsDBAoAAAAAAIdO4kAAAAAAAAAAAAAAAAAEAAAAZHJzL1BLAwQUAAAACACHTuJASBd+H9MAAAAE&#10;AQAADwAAAGRycy9kb3ducmV2LnhtbE2PQU/DMAyF70j8h8hI3FhaJCZWmu6AYAc40SHE0WvcptA4&#10;VZN1g1+PxwUulqz3/Py9cn30g5ppin1gA/kiA0XcBNtzZ+B1+3h1CyomZItDYDLwRRHW1flZiYUN&#10;B36huU6dkhCOBRpwKY2F1rFx5DEuwkgsWhsmj0nWqdN2woOE+0FfZ9lSe+xZPjgc6d5R81nvvWC8&#10;PWd+8926d/+Ebazddt48fBhzeZFnd6ASHdOfGU74cgOVMO3Cnm1UgwEpkn7nSbtZSY2dgWW+Al2V&#10;+j989QNQSwMEFAAAAAgAh07iQL/ROjfOAQAAlgMAAA4AAABkcnMvZTJvRG9jLnhtbK1TzY7TMBC+&#10;I/EOlu80acsWNmq6AlWLkBAgLTyA69iNJf/J4zbpC8AbcOLCnefqc+zYSbqr5bIHLs7YM/7m+75x&#10;1je90eQoAihnazqflZQIy12j7L6m37/dvnpLCURmG6adFTU9CaA3m5cv1p2vxMK1TjciEASxUHW+&#10;pm2MvioK4K0wDGbOC4tJ6YJhEbdhXzSBdYhudLEoy1XRudD44LgAwNPtkKQjYngOoJNScbF1/GCE&#10;jQNqEJpFlASt8kA3ma2UgscvUoKIRNcUlca8YhOMd2ktNmtW7QPzreIjBfYcCk80GaYsNr1AbVlk&#10;5BDUP1BG8eDAyTjjzhSDkOwIqpiXT7y5a5kXWQtaDf5iOvw/WP75+DUQ1dR0gZZYZnDi518/z7//&#10;nv/8IIvkT+ehwrI7j4Wxf+96fDXTOeBhkt3LYNIXBRHMI9Tp4q7oI+HpUjl//WaJKY655fWyXF0l&#10;mOLhtg8QPwhnSApqGnB62VR2/ARxKJ1KUjPrbpXWeYLakq6mq+VVmS9cMgiuLfZIGgauKYr9rh+F&#10;7VxzQl36o0VTkVucgjAFuyk4+KD2LfKa5x7g3x0iMsjEEuoANTbDcWVp49NK7+HxPlc9/E6b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gXfh/TAAAABAEAAA8AAAAAAAAAAQAgAAAAIgAAAGRycy9k&#10;b3ducmV2LnhtbFBLAQIUABQAAAAIAIdO4kC/0To3zgEAAJYDAAAOAAAAAAAAAAEAIAAAACIBAABk&#10;cnMvZTJvRG9jLnhtbFBLBQYAAAAABgAGAFkBAABiBQAAAAA=&#10;">
              <v:fill on="f" focussize="0,0"/>
              <v:stroke on="f" weight="0.5pt"/>
              <v:imagedata o:title=""/>
              <o:lock v:ext="edit" aspectratio="f"/>
              <v:textbox inset="0mm,0mm,0mm,0mm" style="mso-fit-shape-to-text:t;">
                <w:txbxContent>
                  <w:p w14:paraId="19F11D15">
                    <w:pPr>
                      <w:snapToGrid w:val="0"/>
                      <w:ind w:firstLine="280" w:firstLineChars="10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w:t>
                    </w:r>
                  </w:p>
                  <w:p w14:paraId="38280D97">
                    <w:pPr>
                      <w:snapToGrid w:val="0"/>
                      <w:rPr>
                        <w:rFonts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4F0D">
    <w:pPr>
      <w:pStyle w:val="4"/>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E7459">
                          <w:pPr>
                            <w:snapToGrid w:val="0"/>
                            <w:ind w:firstLine="280" w:firstLineChars="100"/>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hkkvTAQAAowMAAA4AAABkcnMvZTJvRG9jLnhtbK1TS27bMBDdF8gd&#10;CO5jSS4aGILloIWRIEDRFkhzAJoiLQL8gUNb8gXaG3TVTfc9l8/RISU5RbrJohtqhjN8M+/NaH07&#10;GE2OIoBytqHVoqREWO5aZfcNffp6d72iBCKzLdPOioaeBNDbzdWbde9rsXSd060IBEEs1L1vaBej&#10;r4sCeCcMg4XzwmJQumBYRDfsizawHtGNLpZleVP0LrQ+OC4A8HY7BumEGF4D6KRUXGwdPxhh44ga&#10;hGYRKUGnPNBN7lZKweNnKUFEohuKTGM+sQjau3QWmzWr94H5TvGpBfaaFl5wMkxZLHqB2rLIyCGo&#10;f6CM4sGBk3HBnSlGIlkRZFGVL7R57JgXmQtKDf4iOvw/WP7p+CUQ1TZ0WVFimcGJn398P//8ff71&#10;jVRJn95DjWmPHhPj8MENuDXzPeBloj3IYNIXCRGMo7qni7piiISnR6vlalViiGNsdhC/eH7uA8R7&#10;4QxJRkMDji+ryo4fIY6pc0qqZt2d0jqPUFvSN/Tm7bsyP7hEEFxbrJFIjM0mKw67YWK2c+0JifW4&#10;Ag21uPGU6AeLCqdtmY0wG7vZOPig9h32WOV64N8fInaTm0wVRtipMM4u05z2LC3H337Oev63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FRhkkvTAQAAowMAAA4AAAAAAAAAAQAgAAAAHwEA&#10;AGRycy9lMm9Eb2MueG1sUEsFBgAAAAAGAAYAWQEAAGQFAAAAAA==&#10;">
              <v:fill on="f" focussize="0,0"/>
              <v:stroke on="f" weight="0.5pt"/>
              <v:imagedata o:title=""/>
              <o:lock v:ext="edit" aspectratio="f"/>
              <v:textbox inset="0mm,0mm,0mm,0mm" style="mso-fit-shape-to-text:t;">
                <w:txbxContent>
                  <w:p w14:paraId="6DFE7459">
                    <w:pPr>
                      <w:snapToGrid w:val="0"/>
                      <w:ind w:firstLine="280" w:firstLineChars="100"/>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D2E1">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CF7F2">
    <w:pPr>
      <w:pStyle w:val="4"/>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A19E">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B850">
    <w:pPr>
      <w:pStyle w:val="4"/>
      <w:rPr>
        <w:rFonts w:cs="Times New Roman"/>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800735"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800735" cy="1828800"/>
                      </a:xfrm>
                      <a:prstGeom prst="rect">
                        <a:avLst/>
                      </a:prstGeom>
                      <a:noFill/>
                      <a:ln w="6350">
                        <a:noFill/>
                      </a:ln>
                    </wps:spPr>
                    <wps:txbx>
                      <w:txbxContent>
                        <w:p w14:paraId="635D6B1F">
                          <w:pPr>
                            <w:snapToGrid w:val="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w:t>
                          </w:r>
                        </w:p>
                        <w:p w14:paraId="28C83617">
                          <w:pPr>
                            <w:snapToGrid w:val="0"/>
                            <w:rPr>
                              <w:rFonts w:cs="Times New Roman"/>
                            </w:rPr>
                          </w:pPr>
                        </w:p>
                      </w:txbxContent>
                    </wps:txbx>
                    <wps:bodyPr lIns="0" tIns="0" rIns="0" bIns="0" upright="1">
                      <a:spAutoFit/>
                    </wps:bodyPr>
                  </wps:wsp>
                </a:graphicData>
              </a:graphic>
            </wp:anchor>
          </w:drawing>
        </mc:Choice>
        <mc:Fallback>
          <w:pict>
            <v:shape id="文本框 4" o:spid="_x0000_s1026" o:spt="202" type="#_x0000_t202" style="position:absolute;left:0pt;margin-top:0pt;height:144pt;width:63.05pt;mso-position-horizontal:outside;mso-position-horizontal-relative:margin;z-index:251668480;mso-width-relative:page;mso-height-relative:page;" filled="f" stroked="f" coordsize="21600,21600" o:gfxdata="UEsDBAoAAAAAAIdO4kAAAAAAAAAAAAAAAAAEAAAAZHJzL1BLAwQUAAAACACHTuJASxcrBtMAAAAF&#10;AQAADwAAAGRycy9kb3ducmV2LnhtbE2PMU/DMBCFdyT+g3VIbNROhioKcTog6AATKUIdr/ElDsTn&#10;KHbTwq/HZYHlpKd399531ebsRrHQHAbPGrKVAkHcejNwr+Ft93RXgAgR2eDomTR8UYBNfX1VYWn8&#10;iV9paWIvUgiHEjXYGKdSytBachhWfiJOXudnhzHJuZdmxlMKd6PMlVpLhwOnBosTPVhqP5ujSxjv&#10;L8ptvzu7d8/Yhcbulu3jh9a3N5m6BxHpHP+W4YKfbqBOTAd/ZBPEqCE9En/nxcvXGYiDhrwoFMi6&#10;kv/p6x9QSwMEFAAAAAgAh07iQMdthTrPAQAAlgMAAA4AAABkcnMvZTJvRG9jLnhtbK1TzY7TMBC+&#10;I/EOlu80aZZdqqjpClQtQkKAtPAArmM3lvwnj9ukLwBvwIkLd56rz7FjJ+mi5bIHLs54ZvzNfN9M&#10;1reD0eQoAihnG7pclJQIy12r7L6h377evVpRApHZlmlnRUNPAujt5uWLde9rUbnO6VYEgiAW6t43&#10;tIvR10UBvBOGwcJ5YTEoXTAs4jXsizawHtGNLqqyvCl6F1ofHBcA6N2OQTohhucAOikVF1vHD0bY&#10;OKIGoVlEStApD3STu5VS8PhZShCR6IYi05hPLIL2Lp3FZs3qfWC+U3xqgT2nhSecDFMWi16gtiwy&#10;cgjqHyijeHDgZFxwZ4qRSFYEWSzLJ9rcd8yLzAWlBn8RHf4fLP90/BKIahtaVZRYZnDi558/zr/+&#10;nH9/J6+TPr2HGtPuPSbG4Z0bcGtmP6Az0R5kMOmLhAjGUd3TRV0xRMLRuSrLN1fXlHAMLVfVCu8J&#10;pnh87QPE98IZkoyGBpxeFpUdP0IcU+eUVMy6O6V1nqC2pG/ozdV1mR9cIgiuLdZIHMZekxWH3TAR&#10;27n2hLz0B4uipgWZjTAbu9k4+KD2Hfa1zDXAvz1E7CA3llBHqKkYjitTm1Yr7cPf95z1+Dtt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FysG0wAAAAUBAAAPAAAAAAAAAAEAIAAAACIAAABkcnMv&#10;ZG93bnJldi54bWxQSwECFAAUAAAACACHTuJAx22FOs8BAACWAwAADgAAAAAAAAABACAAAAAiAQAA&#10;ZHJzL2Uyb0RvYy54bWxQSwUGAAAAAAYABgBZAQAAYwUAAAAA&#10;">
              <v:fill on="f" focussize="0,0"/>
              <v:stroke on="f" weight="0.5pt"/>
              <v:imagedata o:title=""/>
              <o:lock v:ext="edit" aspectratio="f"/>
              <v:textbox inset="0mm,0mm,0mm,0mm" style="mso-fit-shape-to-text:t;">
                <w:txbxContent>
                  <w:p w14:paraId="635D6B1F">
                    <w:pPr>
                      <w:snapToGrid w:val="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w:t>
                    </w:r>
                  </w:p>
                  <w:p w14:paraId="28C83617">
                    <w:pPr>
                      <w:snapToGrid w:val="0"/>
                      <w:rPr>
                        <w:rFonts w:cs="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5D48">
    <w:pPr>
      <w:pStyle w:val="4"/>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BD57E2">
                          <w:pPr>
                            <w:snapToGrid w:val="0"/>
                            <w:ind w:firstLine="280" w:firstLineChars="100"/>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4LLLTAQAAowMAAA4AAABkcnMvZTJvRG9jLnhtbK1TS27bMBDdF8gd&#10;CO5jyTYaGILpIIGRokCRFkh7AJqiLAL8gUNb8gXSG3TVTfc9l8/RISU5RbrJohtqhjN8M+/NaH3b&#10;G02OMoByltH5rKREWuFqZfeMfvv6cL2iBCK3NdfOSkZPEujt5urduvOVXLjW6VoGgiAWqs4z2sbo&#10;q6IA0UrDYea8tBhsXDA8ohv2RR14h+hGF4uyvCk6F2ofnJAAeLsdgnREDG8BdE2jhNw6cTDSxgE1&#10;SM0jUoJWeaCb3G3TSBE/Nw3ISDSjyDTmE4ugvUtnsVnzah+4b5UYW+BvaeEVJ8OVxaIXqC2PnByC&#10;+gfKKBEcuCbOhDPFQCQrgizm5SttnlruZeaCUoO/iA7/D1Y8Hr8EompGF0tKLDc48fOP7+efv8+/&#10;nsky6dN5qDDtyWNi7O9dj1sz3QNeJtp9E0z6IiGCcVT3dFFX9pGI9Gi1WK1KDAmMTQ7iFy/PfYD4&#10;QTpDksFowPFlVfnxE8QhdUpJ1ax7UFrnEWpLOkZvlu/L/OASQXBtsUYiMTSbrNjv+pHZztUnJNbh&#10;CjB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G44LLLTAQAAowMAAA4AAAAAAAAAAQAgAAAAHwEA&#10;AGRycy9lMm9Eb2MueG1sUEsFBgAAAAAGAAYAWQEAAGQFAAAAAA==&#10;">
              <v:fill on="f" focussize="0,0"/>
              <v:stroke on="f" weight="0.5pt"/>
              <v:imagedata o:title=""/>
              <o:lock v:ext="edit" aspectratio="f"/>
              <v:textbox inset="0mm,0mm,0mm,0mm" style="mso-fit-shape-to-text:t;">
                <w:txbxContent>
                  <w:p w14:paraId="43BD57E2">
                    <w:pPr>
                      <w:snapToGrid w:val="0"/>
                      <w:ind w:firstLine="280" w:firstLineChars="100"/>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0F05">
    <w:pPr>
      <w:pStyle w:val="5"/>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F96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C3A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33012"/>
    <w:rsid w:val="00083148"/>
    <w:rsid w:val="00154140"/>
    <w:rsid w:val="0024638C"/>
    <w:rsid w:val="00395041"/>
    <w:rsid w:val="0045001A"/>
    <w:rsid w:val="004C6419"/>
    <w:rsid w:val="004D358B"/>
    <w:rsid w:val="00525224"/>
    <w:rsid w:val="00565425"/>
    <w:rsid w:val="005838E5"/>
    <w:rsid w:val="005E1E7A"/>
    <w:rsid w:val="0060282D"/>
    <w:rsid w:val="00623BCE"/>
    <w:rsid w:val="006734A4"/>
    <w:rsid w:val="006A3187"/>
    <w:rsid w:val="007874B4"/>
    <w:rsid w:val="007C1689"/>
    <w:rsid w:val="008C70AB"/>
    <w:rsid w:val="00A64FED"/>
    <w:rsid w:val="00A9438A"/>
    <w:rsid w:val="00AB1EEF"/>
    <w:rsid w:val="00AD205E"/>
    <w:rsid w:val="00C27068"/>
    <w:rsid w:val="00D721B9"/>
    <w:rsid w:val="00DA6E74"/>
    <w:rsid w:val="00DF00DC"/>
    <w:rsid w:val="00E03CDD"/>
    <w:rsid w:val="00E46918"/>
    <w:rsid w:val="00EA5C8D"/>
    <w:rsid w:val="00EE5C8C"/>
    <w:rsid w:val="00F54B29"/>
    <w:rsid w:val="00F947FD"/>
    <w:rsid w:val="00FA58C8"/>
    <w:rsid w:val="01445BFF"/>
    <w:rsid w:val="01691A3E"/>
    <w:rsid w:val="01827AAC"/>
    <w:rsid w:val="0247336A"/>
    <w:rsid w:val="02A0639C"/>
    <w:rsid w:val="03732263"/>
    <w:rsid w:val="03AA5861"/>
    <w:rsid w:val="04BD27B0"/>
    <w:rsid w:val="05880752"/>
    <w:rsid w:val="064618AC"/>
    <w:rsid w:val="06ED5F28"/>
    <w:rsid w:val="07C13AF7"/>
    <w:rsid w:val="08BA444D"/>
    <w:rsid w:val="091C63C3"/>
    <w:rsid w:val="09BB7ADA"/>
    <w:rsid w:val="0B16550B"/>
    <w:rsid w:val="0B881CC7"/>
    <w:rsid w:val="0B9C2A67"/>
    <w:rsid w:val="0BA85C31"/>
    <w:rsid w:val="0C1E4EF3"/>
    <w:rsid w:val="0C593004"/>
    <w:rsid w:val="0CAE6E31"/>
    <w:rsid w:val="0D8B14C6"/>
    <w:rsid w:val="0E7C443C"/>
    <w:rsid w:val="0E80097B"/>
    <w:rsid w:val="0F651AC6"/>
    <w:rsid w:val="0F73226A"/>
    <w:rsid w:val="0F756434"/>
    <w:rsid w:val="0F7A2C5B"/>
    <w:rsid w:val="0FC60D75"/>
    <w:rsid w:val="10366FC3"/>
    <w:rsid w:val="10A01104"/>
    <w:rsid w:val="10E54CBC"/>
    <w:rsid w:val="11111BA8"/>
    <w:rsid w:val="111E19AD"/>
    <w:rsid w:val="116E35F6"/>
    <w:rsid w:val="12392C24"/>
    <w:rsid w:val="125844ED"/>
    <w:rsid w:val="125B7589"/>
    <w:rsid w:val="126320F8"/>
    <w:rsid w:val="12EA79E9"/>
    <w:rsid w:val="14421C8E"/>
    <w:rsid w:val="14BD793B"/>
    <w:rsid w:val="15233012"/>
    <w:rsid w:val="155850EB"/>
    <w:rsid w:val="15A15288"/>
    <w:rsid w:val="15D068AB"/>
    <w:rsid w:val="15F739A2"/>
    <w:rsid w:val="16612729"/>
    <w:rsid w:val="16A844CE"/>
    <w:rsid w:val="16E80019"/>
    <w:rsid w:val="17122F9F"/>
    <w:rsid w:val="1809594F"/>
    <w:rsid w:val="187B23CF"/>
    <w:rsid w:val="19134EC3"/>
    <w:rsid w:val="19234327"/>
    <w:rsid w:val="193B0D7C"/>
    <w:rsid w:val="195818B5"/>
    <w:rsid w:val="19AF045F"/>
    <w:rsid w:val="19ED383B"/>
    <w:rsid w:val="19F302FA"/>
    <w:rsid w:val="1BB378DC"/>
    <w:rsid w:val="1BB95B03"/>
    <w:rsid w:val="1BE76AEF"/>
    <w:rsid w:val="1D1176C2"/>
    <w:rsid w:val="1D752464"/>
    <w:rsid w:val="1DAD35DE"/>
    <w:rsid w:val="1DC232AA"/>
    <w:rsid w:val="1DD61579"/>
    <w:rsid w:val="1E5260A7"/>
    <w:rsid w:val="1F1E6A77"/>
    <w:rsid w:val="1F377B49"/>
    <w:rsid w:val="1FB22304"/>
    <w:rsid w:val="207235A2"/>
    <w:rsid w:val="20D80772"/>
    <w:rsid w:val="20E42CE5"/>
    <w:rsid w:val="21E26978"/>
    <w:rsid w:val="22A2752B"/>
    <w:rsid w:val="232C0F85"/>
    <w:rsid w:val="23517443"/>
    <w:rsid w:val="23A56DEB"/>
    <w:rsid w:val="24220691"/>
    <w:rsid w:val="24F013E3"/>
    <w:rsid w:val="263E1A6A"/>
    <w:rsid w:val="26B30AE9"/>
    <w:rsid w:val="26DB27D6"/>
    <w:rsid w:val="29AC21BA"/>
    <w:rsid w:val="2AF40904"/>
    <w:rsid w:val="2B174625"/>
    <w:rsid w:val="2BCA43FB"/>
    <w:rsid w:val="2BEE3114"/>
    <w:rsid w:val="2C051441"/>
    <w:rsid w:val="2CEC3DE6"/>
    <w:rsid w:val="2D0A3AF8"/>
    <w:rsid w:val="2D2B097F"/>
    <w:rsid w:val="2D450F4A"/>
    <w:rsid w:val="2E3B1828"/>
    <w:rsid w:val="2F3D7E8D"/>
    <w:rsid w:val="2F750F1D"/>
    <w:rsid w:val="2FC1487B"/>
    <w:rsid w:val="304A1440"/>
    <w:rsid w:val="30D23ED4"/>
    <w:rsid w:val="31200B7A"/>
    <w:rsid w:val="320126BD"/>
    <w:rsid w:val="3298233F"/>
    <w:rsid w:val="33431D8E"/>
    <w:rsid w:val="33A74E2A"/>
    <w:rsid w:val="33CE5D00"/>
    <w:rsid w:val="35541C90"/>
    <w:rsid w:val="358443E0"/>
    <w:rsid w:val="359F7E74"/>
    <w:rsid w:val="362B1465"/>
    <w:rsid w:val="36384540"/>
    <w:rsid w:val="36803275"/>
    <w:rsid w:val="36844554"/>
    <w:rsid w:val="36BC175A"/>
    <w:rsid w:val="36D60E69"/>
    <w:rsid w:val="36D729A0"/>
    <w:rsid w:val="37810F30"/>
    <w:rsid w:val="39284DE8"/>
    <w:rsid w:val="394D4165"/>
    <w:rsid w:val="397D7865"/>
    <w:rsid w:val="39992245"/>
    <w:rsid w:val="39CE1D4E"/>
    <w:rsid w:val="3A284150"/>
    <w:rsid w:val="3A527B54"/>
    <w:rsid w:val="3AED3DAE"/>
    <w:rsid w:val="3B194182"/>
    <w:rsid w:val="3B255598"/>
    <w:rsid w:val="3B37185E"/>
    <w:rsid w:val="3B543798"/>
    <w:rsid w:val="3CA815ED"/>
    <w:rsid w:val="3D7F168C"/>
    <w:rsid w:val="3EF51E2A"/>
    <w:rsid w:val="3FA051C7"/>
    <w:rsid w:val="40326DDD"/>
    <w:rsid w:val="40407BFD"/>
    <w:rsid w:val="408A131F"/>
    <w:rsid w:val="40F63E07"/>
    <w:rsid w:val="411D4FBF"/>
    <w:rsid w:val="414A52C0"/>
    <w:rsid w:val="41BB505C"/>
    <w:rsid w:val="41BB5D68"/>
    <w:rsid w:val="42975981"/>
    <w:rsid w:val="42B72C1C"/>
    <w:rsid w:val="43614D8A"/>
    <w:rsid w:val="43893628"/>
    <w:rsid w:val="438A0284"/>
    <w:rsid w:val="439A4C9A"/>
    <w:rsid w:val="44182E81"/>
    <w:rsid w:val="442503DA"/>
    <w:rsid w:val="442B14BE"/>
    <w:rsid w:val="44D37B60"/>
    <w:rsid w:val="44F17B83"/>
    <w:rsid w:val="45464160"/>
    <w:rsid w:val="45596D29"/>
    <w:rsid w:val="455C7AA4"/>
    <w:rsid w:val="46503054"/>
    <w:rsid w:val="46F51D0F"/>
    <w:rsid w:val="4748256F"/>
    <w:rsid w:val="47BE6D62"/>
    <w:rsid w:val="482363D3"/>
    <w:rsid w:val="48535AC7"/>
    <w:rsid w:val="491A2AAB"/>
    <w:rsid w:val="491C31A8"/>
    <w:rsid w:val="49261992"/>
    <w:rsid w:val="492836BC"/>
    <w:rsid w:val="49743C36"/>
    <w:rsid w:val="4A261382"/>
    <w:rsid w:val="4A2C5F02"/>
    <w:rsid w:val="4A777292"/>
    <w:rsid w:val="4B490636"/>
    <w:rsid w:val="4B5657E5"/>
    <w:rsid w:val="4B9D5F90"/>
    <w:rsid w:val="4C1923D5"/>
    <w:rsid w:val="4D02345F"/>
    <w:rsid w:val="4D0922D8"/>
    <w:rsid w:val="4D4A1FC2"/>
    <w:rsid w:val="4D5F5B5E"/>
    <w:rsid w:val="4E036B51"/>
    <w:rsid w:val="4EB2104E"/>
    <w:rsid w:val="4EC14237"/>
    <w:rsid w:val="511722FC"/>
    <w:rsid w:val="516A2784"/>
    <w:rsid w:val="52244C09"/>
    <w:rsid w:val="53086A36"/>
    <w:rsid w:val="53957B96"/>
    <w:rsid w:val="53C9234E"/>
    <w:rsid w:val="53D04121"/>
    <w:rsid w:val="53E53CC9"/>
    <w:rsid w:val="54375F47"/>
    <w:rsid w:val="54490835"/>
    <w:rsid w:val="54707C79"/>
    <w:rsid w:val="54A9539C"/>
    <w:rsid w:val="557C3217"/>
    <w:rsid w:val="55992BCE"/>
    <w:rsid w:val="55E56047"/>
    <w:rsid w:val="56404C88"/>
    <w:rsid w:val="565226A9"/>
    <w:rsid w:val="568710AE"/>
    <w:rsid w:val="56876520"/>
    <w:rsid w:val="576E2417"/>
    <w:rsid w:val="58455942"/>
    <w:rsid w:val="586C28BD"/>
    <w:rsid w:val="59014F08"/>
    <w:rsid w:val="593C1408"/>
    <w:rsid w:val="59713695"/>
    <w:rsid w:val="597B5BB9"/>
    <w:rsid w:val="5A113BDD"/>
    <w:rsid w:val="5A2352DB"/>
    <w:rsid w:val="5A520218"/>
    <w:rsid w:val="5AB87C62"/>
    <w:rsid w:val="5AC71FEC"/>
    <w:rsid w:val="5AED5847"/>
    <w:rsid w:val="5B8B38BC"/>
    <w:rsid w:val="5B8C4600"/>
    <w:rsid w:val="5B931C95"/>
    <w:rsid w:val="5B9414B4"/>
    <w:rsid w:val="5CC90FBE"/>
    <w:rsid w:val="5CEB0EF5"/>
    <w:rsid w:val="5CFC6762"/>
    <w:rsid w:val="5D26350E"/>
    <w:rsid w:val="5D6E527B"/>
    <w:rsid w:val="5DFD09AC"/>
    <w:rsid w:val="5E6E2559"/>
    <w:rsid w:val="5F7773AA"/>
    <w:rsid w:val="5FDC260A"/>
    <w:rsid w:val="602D6289"/>
    <w:rsid w:val="60540828"/>
    <w:rsid w:val="60B51756"/>
    <w:rsid w:val="61072EB2"/>
    <w:rsid w:val="61276BFA"/>
    <w:rsid w:val="616E3726"/>
    <w:rsid w:val="61803928"/>
    <w:rsid w:val="61A81733"/>
    <w:rsid w:val="61B36DB7"/>
    <w:rsid w:val="62A32D3F"/>
    <w:rsid w:val="62C74A6A"/>
    <w:rsid w:val="64867F95"/>
    <w:rsid w:val="65F92775"/>
    <w:rsid w:val="66660DC1"/>
    <w:rsid w:val="667D355E"/>
    <w:rsid w:val="6743120B"/>
    <w:rsid w:val="67D25273"/>
    <w:rsid w:val="68291D4A"/>
    <w:rsid w:val="684042DD"/>
    <w:rsid w:val="68FD51FC"/>
    <w:rsid w:val="693C3934"/>
    <w:rsid w:val="69597D7D"/>
    <w:rsid w:val="696571B4"/>
    <w:rsid w:val="69D35224"/>
    <w:rsid w:val="6A23689D"/>
    <w:rsid w:val="6ADD702B"/>
    <w:rsid w:val="6AEC0AC4"/>
    <w:rsid w:val="6B606201"/>
    <w:rsid w:val="6C3A0FD5"/>
    <w:rsid w:val="6D48059A"/>
    <w:rsid w:val="6D8550D1"/>
    <w:rsid w:val="6DEB4A01"/>
    <w:rsid w:val="6E1D0F16"/>
    <w:rsid w:val="6F262C45"/>
    <w:rsid w:val="7188045D"/>
    <w:rsid w:val="71E930B6"/>
    <w:rsid w:val="7212036D"/>
    <w:rsid w:val="728F4DF2"/>
    <w:rsid w:val="72B755D9"/>
    <w:rsid w:val="73926B50"/>
    <w:rsid w:val="73BD57E6"/>
    <w:rsid w:val="73D46B30"/>
    <w:rsid w:val="743B42B6"/>
    <w:rsid w:val="744027B0"/>
    <w:rsid w:val="74415FCA"/>
    <w:rsid w:val="745A4EB3"/>
    <w:rsid w:val="7464170F"/>
    <w:rsid w:val="74C16A40"/>
    <w:rsid w:val="752D1688"/>
    <w:rsid w:val="7704042E"/>
    <w:rsid w:val="773662E2"/>
    <w:rsid w:val="778118A4"/>
    <w:rsid w:val="781C7E03"/>
    <w:rsid w:val="784F3799"/>
    <w:rsid w:val="79262C33"/>
    <w:rsid w:val="79D65056"/>
    <w:rsid w:val="7A1918DC"/>
    <w:rsid w:val="7A6475A6"/>
    <w:rsid w:val="7A797F2D"/>
    <w:rsid w:val="7AEE08AA"/>
    <w:rsid w:val="7B44425E"/>
    <w:rsid w:val="7BAF7829"/>
    <w:rsid w:val="7C057BA1"/>
    <w:rsid w:val="7C600F60"/>
    <w:rsid w:val="7C812C4C"/>
    <w:rsid w:val="7CFF4E3D"/>
    <w:rsid w:val="7D080E91"/>
    <w:rsid w:val="7D6E2095"/>
    <w:rsid w:val="7D7374E5"/>
    <w:rsid w:val="7DE71B23"/>
    <w:rsid w:val="7EA46F0D"/>
    <w:rsid w:val="7EE92744"/>
    <w:rsid w:val="7EF05589"/>
    <w:rsid w:val="7FD769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99"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before="100" w:beforeAutospacing="1" w:after="120"/>
    </w:pPr>
    <w:rPr>
      <w:rFonts w:ascii="Times New Roman" w:hAnsi="Times New Roman" w:cs="Times New Roman"/>
      <w:sz w:val="32"/>
      <w:szCs w:val="32"/>
    </w:rPr>
  </w:style>
  <w:style w:type="paragraph" w:styleId="3">
    <w:name w:val="toc 5"/>
    <w:basedOn w:val="1"/>
    <w:next w:val="1"/>
    <w:semiHidden/>
    <w:uiPriority w:val="99"/>
    <w:pPr>
      <w:ind w:left="1680" w:leftChars="8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Body Text Char"/>
    <w:basedOn w:val="8"/>
    <w:link w:val="2"/>
    <w:semiHidden/>
    <w:locked/>
    <w:uiPriority w:val="99"/>
    <w:rPr>
      <w:rFonts w:ascii="Calibri" w:hAnsi="Calibri" w:cs="Calibri"/>
      <w:sz w:val="21"/>
      <w:szCs w:val="21"/>
    </w:rPr>
  </w:style>
  <w:style w:type="character" w:customStyle="1" w:styleId="10">
    <w:name w:val="Footer Char"/>
    <w:basedOn w:val="8"/>
    <w:link w:val="4"/>
    <w:semiHidden/>
    <w:locked/>
    <w:uiPriority w:val="99"/>
    <w:rPr>
      <w:rFonts w:ascii="Calibri" w:hAnsi="Calibri" w:cs="Calibri"/>
      <w:sz w:val="18"/>
      <w:szCs w:val="18"/>
    </w:rPr>
  </w:style>
  <w:style w:type="character" w:customStyle="1" w:styleId="11">
    <w:name w:val="Header Char"/>
    <w:basedOn w:val="8"/>
    <w:link w:val="5"/>
    <w:semiHidden/>
    <w:qFormat/>
    <w:locked/>
    <w:uiPriority w:val="99"/>
    <w:rPr>
      <w:rFonts w:ascii="Calibri" w:hAnsi="Calibri" w:cs="Calibri"/>
      <w:sz w:val="18"/>
      <w:szCs w:val="18"/>
    </w:rPr>
  </w:style>
  <w:style w:type="paragraph" w:customStyle="1" w:styleId="12">
    <w:name w:val="List Paragraph1"/>
    <w:basedOn w:val="1"/>
    <w:qFormat/>
    <w:uiPriority w:val="99"/>
    <w:pPr>
      <w:ind w:firstLine="420" w:firstLineChars="200"/>
    </w:pPr>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office6\templates\wps\zh_CN\&#21452;&#27178;&#31446;.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双横竖.wpt</Template>
  <Company>微软中国</Company>
  <Pages>22</Pages>
  <Words>13057</Words>
  <Characters>13153</Characters>
  <Lines>0</Lines>
  <Paragraphs>0</Paragraphs>
  <TotalTime>4</TotalTime>
  <ScaleCrop>false</ScaleCrop>
  <LinksUpToDate>false</LinksUpToDate>
  <CharactersWithSpaces>13183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2021-07-13T09:04:00Z</dcterms:created>
  <dc:creator>Administrator</dc:creator>
  <cp:lastModifiedBy>林倩</cp:lastModifiedBy>
  <dcterms:modified xsi:type="dcterms:W3CDTF">2024-12-24T01:57:11Z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098D0DCE409B48EB952A5A092F9E0198_13</vt:lpwstr>
  </property>
</Properties>
</file>