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重庆市荣昌区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盘龙镇人民政府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修改盘龙镇C04-2-02等地块控制性详细规划的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、修改原因：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为加快推进盘龙镇工业项目及供电设施建设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二、修改依据：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《中华人民共和国城乡规划法》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《重庆市城乡规划条例》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《重庆市城市规划管理技术规定》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（四）《重庆市控制性详细规划编制技术规定》；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（五）《荣昌县盘龙镇镇区控制性详细规划》（2012）。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三、编制单位：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北京世纪千府国际工程设计有限公司。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四、修改内容：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详见附图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五、公示单位：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荣昌区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  <w:t>盘龙镇人民政府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六、公示时间：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七、公示地点：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重庆市荣昌区人民政府网站。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（二）盘龙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eastAsia="zh-CN"/>
        </w:rPr>
        <w:t>镇政府办公楼公示栏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八、意见反馈：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若您对该城乡规划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修改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意见，应在意见反馈期限届满前向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荣昌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区盘龙镇人民政府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提交书面意见，同时提供身份证明材料、联系方式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书面意见可当面提交也可通过邮寄方式提交，以邮寄方式提交的，请在信封正面注明“公示反馈意见”字样，提交时间以邮局收件邮戳载明的时间为准。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若您是该城乡规划方案的利害关系人，在提交书面意见时，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注明是否要求听证，并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提供该城乡规划方案直接涉及您利益的证明材料。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意见反馈期限截止至公示期届满后5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个工作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日内，规定期限内未反馈意见的，视为同意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修改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方案或自动放弃权利。渝期未提出听证的，视为自动放弃听证权利。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通讯地址：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荣昌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盘龙镇人民政府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刘作海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13896026596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3520" w:firstLineChars="11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荣昌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盘龙镇人民政府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2021年1月9日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1.修改前土地利用规划图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150" cy="3724275"/>
            <wp:effectExtent l="0" t="0" r="12700" b="9525"/>
            <wp:docPr id="2" name="图片 2" descr="01用地布局规划图（修改前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用地布局规划图（修改前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2.修改后土地利用规划图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150" cy="3724275"/>
            <wp:effectExtent l="0" t="0" r="12700" b="9525"/>
            <wp:docPr id="1" name="图片 1" descr="02用地布局规划图（修改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用地布局规划图（修改后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3.修改前后用地面积变化情况</w:t>
      </w:r>
    </w:p>
    <w:tbl>
      <w:tblPr>
        <w:tblStyle w:val="1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236"/>
        <w:gridCol w:w="1977"/>
        <w:gridCol w:w="1887"/>
        <w:gridCol w:w="19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用地性质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用地代码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修改前用地面积（ha)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修改后用地面积(ha)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增减情况(ha)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公园绿地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防护绿地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25.16 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23.64 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-1.52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市政设施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总面积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30.52 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30.52 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1FC4"/>
    <w:rsid w:val="03524130"/>
    <w:rsid w:val="03F61D22"/>
    <w:rsid w:val="04643D0C"/>
    <w:rsid w:val="047778A6"/>
    <w:rsid w:val="0AA57D09"/>
    <w:rsid w:val="0BFA39C5"/>
    <w:rsid w:val="0FBB34DF"/>
    <w:rsid w:val="10794639"/>
    <w:rsid w:val="12646228"/>
    <w:rsid w:val="12F10097"/>
    <w:rsid w:val="18FA4378"/>
    <w:rsid w:val="19902840"/>
    <w:rsid w:val="199D2874"/>
    <w:rsid w:val="1A3054C6"/>
    <w:rsid w:val="1B5B2C3E"/>
    <w:rsid w:val="1B5C1AF3"/>
    <w:rsid w:val="1EF83C4A"/>
    <w:rsid w:val="27FB1B25"/>
    <w:rsid w:val="28FE5845"/>
    <w:rsid w:val="2B164BEA"/>
    <w:rsid w:val="2CFE3276"/>
    <w:rsid w:val="30314752"/>
    <w:rsid w:val="31396666"/>
    <w:rsid w:val="313A7143"/>
    <w:rsid w:val="325733F4"/>
    <w:rsid w:val="33447CCA"/>
    <w:rsid w:val="35C112B5"/>
    <w:rsid w:val="37E84CD8"/>
    <w:rsid w:val="4466743D"/>
    <w:rsid w:val="44CC5996"/>
    <w:rsid w:val="45527FC2"/>
    <w:rsid w:val="45701845"/>
    <w:rsid w:val="48600126"/>
    <w:rsid w:val="492A7EDC"/>
    <w:rsid w:val="4A7E6ACF"/>
    <w:rsid w:val="4A9C0129"/>
    <w:rsid w:val="4ADE5F2D"/>
    <w:rsid w:val="4E7F3ED6"/>
    <w:rsid w:val="534F544C"/>
    <w:rsid w:val="536D551A"/>
    <w:rsid w:val="53C934A0"/>
    <w:rsid w:val="569E1806"/>
    <w:rsid w:val="58EC000B"/>
    <w:rsid w:val="5BD322E7"/>
    <w:rsid w:val="5D841CEF"/>
    <w:rsid w:val="5E751DE2"/>
    <w:rsid w:val="5EAC65C4"/>
    <w:rsid w:val="607A0AE1"/>
    <w:rsid w:val="61E11F01"/>
    <w:rsid w:val="634D79A1"/>
    <w:rsid w:val="693714DB"/>
    <w:rsid w:val="69953E38"/>
    <w:rsid w:val="6A8801BB"/>
    <w:rsid w:val="6AB44F4A"/>
    <w:rsid w:val="6D452BC7"/>
    <w:rsid w:val="6EA24444"/>
    <w:rsid w:val="703B3F41"/>
    <w:rsid w:val="733A500A"/>
    <w:rsid w:val="74C74089"/>
    <w:rsid w:val="760653F5"/>
    <w:rsid w:val="79064DEC"/>
    <w:rsid w:val="7D054BE1"/>
    <w:rsid w:val="7E52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button"/>
    <w:basedOn w:val="4"/>
    <w:qFormat/>
    <w:uiPriority w:val="0"/>
  </w:style>
  <w:style w:type="character" w:customStyle="1" w:styleId="14">
    <w:name w:val="hover7"/>
    <w:basedOn w:val="4"/>
    <w:qFormat/>
    <w:uiPriority w:val="0"/>
    <w:rPr>
      <w:color w:val="000000"/>
    </w:rPr>
  </w:style>
  <w:style w:type="character" w:customStyle="1" w:styleId="15">
    <w:name w:val="hover8"/>
    <w:basedOn w:val="4"/>
    <w:qFormat/>
    <w:uiPriority w:val="0"/>
    <w:rPr>
      <w:sz w:val="21"/>
      <w:szCs w:val="21"/>
    </w:rPr>
  </w:style>
  <w:style w:type="character" w:customStyle="1" w:styleId="16">
    <w:name w:val="tmpztreemove_arro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2019-09-30T01:14:00Z</cp:lastPrinted>
  <dcterms:modified xsi:type="dcterms:W3CDTF">2021-01-06T03:22:14Z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