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A1FF5">
      <w:pPr>
        <w:pStyle w:val="2"/>
        <w:spacing w:line="258" w:lineRule="auto"/>
      </w:pPr>
    </w:p>
    <w:p w14:paraId="7275B9E5">
      <w:pPr>
        <w:pStyle w:val="2"/>
        <w:spacing w:line="258" w:lineRule="auto"/>
      </w:pPr>
    </w:p>
    <w:p w14:paraId="37536B9A">
      <w:pPr>
        <w:pStyle w:val="2"/>
        <w:spacing w:line="258" w:lineRule="auto"/>
      </w:pPr>
    </w:p>
    <w:p w14:paraId="215B881C">
      <w:pPr>
        <w:spacing w:before="218" w:line="179" w:lineRule="auto"/>
        <w:ind w:left="788"/>
        <w:rPr>
          <w:rFonts w:ascii="宋体" w:hAnsi="宋体" w:eastAsia="宋体" w:cs="宋体"/>
          <w:sz w:val="67"/>
          <w:szCs w:val="67"/>
        </w:rPr>
      </w:pPr>
      <w:r>
        <w:rPr>
          <w:rFonts w:ascii="宋体" w:hAnsi="宋体" w:eastAsia="宋体" w:cs="宋体"/>
          <w:b/>
          <w:bCs/>
          <w:color w:val="FB0008"/>
          <w:spacing w:val="-40"/>
          <w:sz w:val="67"/>
          <w:szCs w:val="67"/>
        </w:rPr>
        <w:t>财</w:t>
      </w:r>
      <w:r>
        <w:rPr>
          <w:rFonts w:ascii="宋体" w:hAnsi="宋体" w:eastAsia="宋体" w:cs="宋体"/>
          <w:color w:val="FB0008"/>
          <w:spacing w:val="10"/>
          <w:sz w:val="67"/>
          <w:szCs w:val="67"/>
        </w:rPr>
        <w:t xml:space="preserve">     </w:t>
      </w:r>
      <w:r>
        <w:rPr>
          <w:rFonts w:ascii="宋体" w:hAnsi="宋体" w:eastAsia="宋体" w:cs="宋体"/>
          <w:b/>
          <w:bCs/>
          <w:color w:val="FB0008"/>
          <w:spacing w:val="-40"/>
          <w:sz w:val="67"/>
          <w:szCs w:val="67"/>
        </w:rPr>
        <w:t>政</w:t>
      </w:r>
      <w:r>
        <w:rPr>
          <w:rFonts w:ascii="宋体" w:hAnsi="宋体" w:eastAsia="宋体" w:cs="宋体"/>
          <w:color w:val="FB0008"/>
          <w:spacing w:val="13"/>
          <w:sz w:val="67"/>
          <w:szCs w:val="67"/>
        </w:rPr>
        <w:t xml:space="preserve">     </w:t>
      </w:r>
      <w:r>
        <w:rPr>
          <w:rFonts w:ascii="宋体" w:hAnsi="宋体" w:eastAsia="宋体" w:cs="宋体"/>
          <w:b/>
          <w:bCs/>
          <w:color w:val="FB0008"/>
          <w:spacing w:val="-40"/>
          <w:sz w:val="67"/>
          <w:szCs w:val="67"/>
        </w:rPr>
        <w:t>部</w:t>
      </w:r>
    </w:p>
    <w:p w14:paraId="2BBF6213">
      <w:pPr>
        <w:spacing w:before="2" w:line="175" w:lineRule="auto"/>
        <w:ind w:left="6520"/>
        <w:rPr>
          <w:rFonts w:ascii="宋体" w:hAnsi="宋体" w:eastAsia="宋体" w:cs="宋体"/>
          <w:sz w:val="74"/>
          <w:szCs w:val="74"/>
        </w:rPr>
      </w:pPr>
      <w:r>
        <w:rPr>
          <w:rFonts w:ascii="宋体" w:hAnsi="宋体" w:eastAsia="宋体" w:cs="宋体"/>
          <w:b/>
          <w:bCs/>
          <w:color w:val="FD0000"/>
          <w:spacing w:val="-20"/>
          <w:sz w:val="74"/>
          <w:szCs w:val="74"/>
        </w:rPr>
        <w:t>文</w:t>
      </w:r>
      <w:r>
        <w:rPr>
          <w:rFonts w:ascii="宋体" w:hAnsi="宋体" w:eastAsia="宋体" w:cs="宋体"/>
          <w:color w:val="FD0000"/>
          <w:spacing w:val="-20"/>
          <w:sz w:val="74"/>
          <w:szCs w:val="74"/>
        </w:rPr>
        <w:t xml:space="preserve"> </w:t>
      </w:r>
      <w:r>
        <w:rPr>
          <w:rFonts w:ascii="宋体" w:hAnsi="宋体" w:eastAsia="宋体" w:cs="宋体"/>
          <w:b/>
          <w:bCs/>
          <w:color w:val="FD0000"/>
          <w:spacing w:val="-20"/>
          <w:sz w:val="74"/>
          <w:szCs w:val="74"/>
        </w:rPr>
        <w:t>件</w:t>
      </w:r>
    </w:p>
    <w:p w14:paraId="555700D3">
      <w:pPr>
        <w:spacing w:line="214" w:lineRule="auto"/>
        <w:ind w:left="798"/>
        <w:rPr>
          <w:rFonts w:ascii="宋体" w:hAnsi="宋体" w:eastAsia="宋体" w:cs="宋体"/>
          <w:sz w:val="67"/>
          <w:szCs w:val="67"/>
        </w:rPr>
      </w:pPr>
      <w:r>
        <w:rPr>
          <w:rFonts w:hint="eastAsia" w:ascii="宋体" w:hAnsi="宋体" w:eastAsia="宋体" w:cs="宋体"/>
          <w:b/>
          <w:bCs/>
          <w:color w:val="FB0008"/>
          <w:spacing w:val="-59"/>
          <w:w w:val="98"/>
          <w:sz w:val="67"/>
          <w:szCs w:val="67"/>
          <w:lang w:eastAsia="zh-CN"/>
        </w:rPr>
        <w:t>人力资源和社会保障</w:t>
      </w:r>
      <w:r>
        <w:rPr>
          <w:rFonts w:ascii="宋体" w:hAnsi="宋体" w:eastAsia="宋体" w:cs="宋体"/>
          <w:b/>
          <w:bCs/>
          <w:color w:val="FB0008"/>
          <w:spacing w:val="-59"/>
          <w:w w:val="98"/>
          <w:sz w:val="67"/>
          <w:szCs w:val="67"/>
        </w:rPr>
        <w:t>部</w:t>
      </w:r>
    </w:p>
    <w:p w14:paraId="541126FB">
      <w:pPr>
        <w:pStyle w:val="2"/>
      </w:pPr>
    </w:p>
    <w:p w14:paraId="1BD78E1D">
      <w:pPr>
        <w:pStyle w:val="2"/>
      </w:pPr>
    </w:p>
    <w:p w14:paraId="3E4D8DEF">
      <w:pPr>
        <w:pStyle w:val="2"/>
      </w:pPr>
    </w:p>
    <w:p w14:paraId="03933CC7">
      <w:pPr>
        <w:pStyle w:val="2"/>
      </w:pPr>
    </w:p>
    <w:p w14:paraId="4F2FAD63">
      <w:pPr>
        <w:pStyle w:val="2"/>
        <w:spacing w:line="241" w:lineRule="auto"/>
      </w:pPr>
    </w:p>
    <w:p w14:paraId="0D335068">
      <w:pPr>
        <w:pStyle w:val="2"/>
        <w:spacing w:line="241" w:lineRule="auto"/>
      </w:pPr>
    </w:p>
    <w:p w14:paraId="2523E223">
      <w:pPr>
        <w:pStyle w:val="2"/>
        <w:spacing w:line="241" w:lineRule="auto"/>
      </w:pPr>
    </w:p>
    <w:p w14:paraId="4FDD18FE">
      <w:pPr>
        <w:spacing w:before="110" w:line="223" w:lineRule="auto"/>
        <w:ind w:left="300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20"/>
          <w:sz w:val="34"/>
          <w:szCs w:val="34"/>
        </w:rPr>
        <w:t>财社〔2023〕181 号</w:t>
      </w:r>
    </w:p>
    <w:p w14:paraId="1C8641FE">
      <w:pPr>
        <w:pStyle w:val="2"/>
        <w:spacing w:line="264" w:lineRule="auto"/>
      </w:pPr>
    </w:p>
    <w:p w14:paraId="2F5F2F85">
      <w:pPr>
        <w:spacing w:line="61" w:lineRule="exact"/>
      </w:pPr>
      <w:r>
        <w:rPr>
          <w:position w:val="-1"/>
        </w:rPr>
        <w:drawing>
          <wp:inline distT="0" distB="0" distL="0" distR="0">
            <wp:extent cx="5651500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5" cy="3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9F3DE">
      <w:pPr>
        <w:pStyle w:val="2"/>
        <w:spacing w:line="266" w:lineRule="auto"/>
      </w:pPr>
    </w:p>
    <w:p w14:paraId="2CA59049">
      <w:pPr>
        <w:pStyle w:val="2"/>
        <w:spacing w:line="266" w:lineRule="auto"/>
      </w:pPr>
    </w:p>
    <w:p w14:paraId="2855D411">
      <w:pPr>
        <w:pStyle w:val="2"/>
        <w:spacing w:line="267" w:lineRule="auto"/>
      </w:pPr>
    </w:p>
    <w:p w14:paraId="237D0DCA">
      <w:pPr>
        <w:pStyle w:val="2"/>
        <w:spacing w:line="267" w:lineRule="auto"/>
      </w:pPr>
    </w:p>
    <w:p w14:paraId="7F6A2C60">
      <w:pPr>
        <w:spacing w:before="146" w:line="219" w:lineRule="auto"/>
        <w:ind w:left="866"/>
        <w:rPr>
          <w:rFonts w:ascii="宋体" w:hAnsi="宋体" w:eastAsia="宋体" w:cs="宋体"/>
          <w:sz w:val="45"/>
          <w:szCs w:val="45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sz w:val="45"/>
          <w:szCs w:val="45"/>
        </w:rPr>
        <w:t>财政部</w:t>
      </w:r>
      <w:r>
        <w:rPr>
          <w:rFonts w:hint="eastAsia" w:ascii="宋体" w:hAnsi="宋体" w:eastAsia="宋体" w:cs="宋体"/>
          <w:b/>
          <w:bCs/>
          <w:spacing w:val="-11"/>
          <w:sz w:val="45"/>
          <w:szCs w:val="45"/>
          <w:lang w:eastAsia="zh-CN"/>
        </w:rPr>
        <w:t>人力资源和社会保障</w:t>
      </w:r>
      <w:r>
        <w:rPr>
          <w:rFonts w:ascii="宋体" w:hAnsi="宋体" w:eastAsia="宋体" w:cs="宋体"/>
          <w:b/>
          <w:bCs/>
          <w:spacing w:val="-11"/>
          <w:sz w:val="45"/>
          <w:szCs w:val="45"/>
        </w:rPr>
        <w:t>部关于印发</w:t>
      </w:r>
    </w:p>
    <w:p w14:paraId="03534500">
      <w:pPr>
        <w:spacing w:before="119" w:line="219" w:lineRule="auto"/>
        <w:ind w:left="114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22"/>
          <w:sz w:val="45"/>
          <w:szCs w:val="45"/>
        </w:rPr>
        <w:t>《就业补助资金管理办法》的通知</w:t>
      </w:r>
      <w:bookmarkEnd w:id="0"/>
    </w:p>
    <w:p w14:paraId="0C8DF9CD">
      <w:pPr>
        <w:pStyle w:val="2"/>
        <w:spacing w:line="259" w:lineRule="auto"/>
      </w:pPr>
    </w:p>
    <w:p w14:paraId="65C20883">
      <w:pPr>
        <w:pStyle w:val="2"/>
        <w:spacing w:line="260" w:lineRule="auto"/>
      </w:pPr>
    </w:p>
    <w:p w14:paraId="4B63D623">
      <w:pPr>
        <w:pStyle w:val="2"/>
        <w:spacing w:line="260" w:lineRule="auto"/>
      </w:pPr>
    </w:p>
    <w:p w14:paraId="471D0A97">
      <w:pPr>
        <w:pStyle w:val="2"/>
        <w:spacing w:line="260" w:lineRule="auto"/>
      </w:pPr>
    </w:p>
    <w:p w14:paraId="1464EF9D">
      <w:pPr>
        <w:spacing w:before="117" w:line="680" w:lineRule="exact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42"/>
          <w:position w:val="23"/>
          <w:sz w:val="36"/>
          <w:szCs w:val="36"/>
        </w:rPr>
        <w:t>各省、</w:t>
      </w:r>
      <w:r>
        <w:rPr>
          <w:rFonts w:ascii="仿宋" w:hAnsi="仿宋" w:eastAsia="仿宋" w:cs="仿宋"/>
          <w:spacing w:val="-41"/>
          <w:position w:val="23"/>
          <w:sz w:val="36"/>
          <w:szCs w:val="36"/>
        </w:rPr>
        <w:t>自治区、直辖市、计划单列市财政厅(</w:t>
      </w:r>
      <w:r>
        <w:rPr>
          <w:rFonts w:ascii="仿宋" w:hAnsi="仿宋" w:eastAsia="仿宋" w:cs="仿宋"/>
          <w:spacing w:val="-42"/>
          <w:position w:val="23"/>
          <w:sz w:val="36"/>
          <w:szCs w:val="36"/>
        </w:rPr>
        <w:t>局)、人力资源社</w:t>
      </w:r>
      <w:r>
        <w:rPr>
          <w:rFonts w:ascii="仿宋" w:hAnsi="仿宋" w:eastAsia="仿宋" w:cs="仿宋"/>
          <w:spacing w:val="-39"/>
          <w:position w:val="23"/>
          <w:sz w:val="36"/>
          <w:szCs w:val="36"/>
        </w:rPr>
        <w:t>会</w:t>
      </w:r>
    </w:p>
    <w:p w14:paraId="370A8A91">
      <w:pPr>
        <w:spacing w:before="2" w:line="220" w:lineRule="auto"/>
        <w:jc w:val="right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36"/>
          <w:sz w:val="36"/>
          <w:szCs w:val="36"/>
        </w:rPr>
        <w:t>保障厅(局),新疆生产建设兵团财政局、</w:t>
      </w:r>
      <w:r>
        <w:rPr>
          <w:rFonts w:hint="eastAsia" w:ascii="仿宋" w:hAnsi="仿宋" w:eastAsia="仿宋" w:cs="仿宋"/>
          <w:spacing w:val="-36"/>
          <w:sz w:val="36"/>
          <w:szCs w:val="36"/>
          <w:lang w:eastAsia="zh-CN"/>
        </w:rPr>
        <w:t>人力资源和社会保障</w:t>
      </w:r>
      <w:r>
        <w:rPr>
          <w:rFonts w:ascii="仿宋" w:hAnsi="仿宋" w:eastAsia="仿宋" w:cs="仿宋"/>
          <w:spacing w:val="-36"/>
          <w:sz w:val="36"/>
          <w:szCs w:val="36"/>
        </w:rPr>
        <w:t>局：</w:t>
      </w:r>
    </w:p>
    <w:p w14:paraId="1D9376F9">
      <w:pPr>
        <w:spacing w:before="273" w:line="348" w:lineRule="auto"/>
        <w:ind w:right="56" w:firstLine="639"/>
        <w:jc w:val="both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45"/>
          <w:sz w:val="36"/>
          <w:szCs w:val="36"/>
        </w:rPr>
        <w:t>为推动实施就业优先战略，落实各项就业创业扶持政策，规</w:t>
      </w:r>
      <w:r>
        <w:rPr>
          <w:rFonts w:ascii="仿宋" w:hAnsi="仿宋" w:eastAsia="仿宋" w:cs="仿宋"/>
          <w:spacing w:val="12"/>
          <w:sz w:val="36"/>
          <w:szCs w:val="36"/>
        </w:rPr>
        <w:t xml:space="preserve"> </w:t>
      </w:r>
      <w:r>
        <w:rPr>
          <w:rFonts w:ascii="仿宋" w:hAnsi="仿宋" w:eastAsia="仿宋" w:cs="仿宋"/>
          <w:spacing w:val="-45"/>
          <w:sz w:val="36"/>
          <w:szCs w:val="36"/>
        </w:rPr>
        <w:t>范就业补助资金管理，提高资金使用效益，我们对《就业补助资</w:t>
      </w:r>
      <w:r>
        <w:rPr>
          <w:rFonts w:ascii="仿宋" w:hAnsi="仿宋" w:eastAsia="仿宋" w:cs="仿宋"/>
          <w:spacing w:val="2"/>
          <w:sz w:val="36"/>
          <w:szCs w:val="36"/>
        </w:rPr>
        <w:t xml:space="preserve"> </w:t>
      </w:r>
      <w:r>
        <w:rPr>
          <w:rFonts w:ascii="仿宋" w:hAnsi="仿宋" w:eastAsia="仿宋" w:cs="仿宋"/>
          <w:spacing w:val="-33"/>
          <w:sz w:val="36"/>
          <w:szCs w:val="36"/>
        </w:rPr>
        <w:t>金管理办法》(财社〔2017〕164号)进行了修订。现予印</w:t>
      </w:r>
      <w:r>
        <w:rPr>
          <w:rFonts w:ascii="仿宋" w:hAnsi="仿宋" w:eastAsia="仿宋" w:cs="仿宋"/>
          <w:spacing w:val="-34"/>
          <w:sz w:val="36"/>
          <w:szCs w:val="36"/>
        </w:rPr>
        <w:t>发，请</w:t>
      </w:r>
    </w:p>
    <w:p w14:paraId="75FC4E39">
      <w:pPr>
        <w:spacing w:before="2" w:line="220" w:lineRule="auto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44"/>
          <w:sz w:val="36"/>
          <w:szCs w:val="36"/>
        </w:rPr>
        <w:t>遵照执行。</w:t>
      </w:r>
    </w:p>
    <w:p w14:paraId="69323AC9">
      <w:pPr>
        <w:spacing w:before="319" w:line="184" w:lineRule="auto"/>
        <w:ind w:left="759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—1—</w:t>
      </w:r>
    </w:p>
    <w:p w14:paraId="53315CC5">
      <w:pPr>
        <w:spacing w:line="184" w:lineRule="auto"/>
        <w:rPr>
          <w:rFonts w:ascii="宋体" w:hAnsi="宋体" w:eastAsia="宋体" w:cs="宋体"/>
          <w:sz w:val="30"/>
          <w:szCs w:val="30"/>
        </w:rPr>
        <w:sectPr>
          <w:pgSz w:w="11900" w:h="16840"/>
          <w:pgMar w:top="1431" w:right="1529" w:bottom="0" w:left="1470" w:header="0" w:footer="0" w:gutter="0"/>
          <w:cols w:space="720" w:num="1"/>
        </w:sectPr>
      </w:pPr>
    </w:p>
    <w:p w14:paraId="0E7EDFFC">
      <w:pPr>
        <w:pStyle w:val="2"/>
        <w:spacing w:line="468" w:lineRule="auto"/>
      </w:pPr>
      <w:r>
        <w:pict>
          <v:shape id="_x0000_s1026" o:spid="_x0000_s1026" o:spt="202" type="#_x0000_t202" style="position:absolute;left:0pt;margin-left:236pt;margin-top:216pt;height:20.7pt;width:16.45pt;mso-position-horizontal-relative:page;mso-position-vertical-relative:page;z-index:-25165721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42CEAFA">
                  <w:pPr>
                    <w:spacing w:before="20" w:line="222" w:lineRule="auto"/>
                    <w:jc w:val="right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-13"/>
                      <w:w w:val="97"/>
                      <w:sz w:val="31"/>
                      <w:szCs w:val="31"/>
                    </w:rPr>
                    <w:t>部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336.5pt;margin-top:215.35pt;height:48.7pt;width:130.35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20D03CB">
                  <w:pPr>
                    <w:spacing w:before="19" w:line="221" w:lineRule="auto"/>
                    <w:jc w:val="right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宋体" w:hAnsi="宋体" w:eastAsia="宋体" w:cs="宋体"/>
                      <w:spacing w:val="-28"/>
                      <w:sz w:val="31"/>
                      <w:szCs w:val="31"/>
                    </w:rPr>
                    <w:t>人</w:t>
                  </w:r>
                  <w:r>
                    <w:rPr>
                      <w:rFonts w:ascii="宋体" w:hAnsi="宋体" w:eastAsia="宋体" w:cs="宋体"/>
                      <w:spacing w:val="-27"/>
                      <w:sz w:val="31"/>
                      <w:szCs w:val="31"/>
                    </w:rPr>
                    <w:t>力</w:t>
                  </w:r>
                  <w:r>
                    <w:rPr>
                      <w:rFonts w:ascii="仿宋" w:hAnsi="仿宋" w:eastAsia="仿宋" w:cs="仿宋"/>
                      <w:spacing w:val="-27"/>
                      <w:sz w:val="31"/>
                      <w:szCs w:val="31"/>
                    </w:rPr>
                    <w:t>资豪社会保障</w:t>
                  </w:r>
                  <w:r>
                    <w:rPr>
                      <w:rFonts w:ascii="仿宋" w:hAnsi="仿宋" w:eastAsia="仿宋" w:cs="仿宋"/>
                      <w:spacing w:val="-8"/>
                      <w:sz w:val="31"/>
                      <w:szCs w:val="31"/>
                    </w:rPr>
                    <w:t>部</w:t>
                  </w:r>
                </w:p>
                <w:p w14:paraId="18FD2A24">
                  <w:pPr>
                    <w:spacing w:before="250" w:line="222" w:lineRule="auto"/>
                    <w:ind w:left="249"/>
                    <w:rPr>
                      <w:rFonts w:ascii="仿宋" w:hAnsi="仿宋" w:eastAsia="仿宋" w:cs="仿宋"/>
                      <w:sz w:val="26"/>
                      <w:szCs w:val="26"/>
                    </w:rPr>
                  </w:pPr>
                  <w:r>
                    <w:rPr>
                      <w:rFonts w:ascii="仿宋" w:hAnsi="仿宋" w:eastAsia="仿宋" w:cs="仿宋"/>
                      <w:spacing w:val="32"/>
                      <w:sz w:val="26"/>
                      <w:szCs w:val="26"/>
                    </w:rPr>
                    <w:t>2023年12月20日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4184015</wp:posOffset>
            </wp:positionH>
            <wp:positionV relativeFrom="page">
              <wp:posOffset>1593850</wp:posOffset>
            </wp:positionV>
            <wp:extent cx="1828800" cy="18351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8824" cy="183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1B0D7">
      <w:pPr>
        <w:spacing w:before="101" w:line="222" w:lineRule="auto"/>
        <w:ind w:left="3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附件：就业补助资金管理办法</w:t>
      </w:r>
    </w:p>
    <w:p w14:paraId="04A62CD9">
      <w:pPr>
        <w:spacing w:before="193" w:line="2920" w:lineRule="exact"/>
        <w:ind w:firstLine="495"/>
      </w:pPr>
      <w:r>
        <w:rPr>
          <w:position w:val="-58"/>
        </w:rPr>
        <w:drawing>
          <wp:inline distT="0" distB="0" distL="0" distR="0">
            <wp:extent cx="1853565" cy="18542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54138" cy="185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5FA84">
      <w:pPr>
        <w:spacing w:line="2920" w:lineRule="exact"/>
        <w:sectPr>
          <w:footerReference r:id="rId5" w:type="default"/>
          <w:pgSz w:w="11900" w:h="16840"/>
          <w:pgMar w:top="1431" w:right="1785" w:bottom="1967" w:left="1785" w:header="0" w:footer="1660" w:gutter="0"/>
          <w:cols w:space="720" w:num="1"/>
        </w:sectPr>
      </w:pPr>
    </w:p>
    <w:p w14:paraId="4974D391">
      <w:pPr>
        <w:pStyle w:val="2"/>
        <w:spacing w:line="298" w:lineRule="auto"/>
      </w:pPr>
    </w:p>
    <w:p w14:paraId="48CBE436">
      <w:pPr>
        <w:pStyle w:val="2"/>
        <w:spacing w:line="298" w:lineRule="auto"/>
      </w:pPr>
    </w:p>
    <w:p w14:paraId="1D290DA1">
      <w:pPr>
        <w:pStyle w:val="2"/>
        <w:spacing w:line="298" w:lineRule="auto"/>
      </w:pPr>
    </w:p>
    <w:p w14:paraId="36905E8B">
      <w:pPr>
        <w:spacing w:before="101" w:line="224" w:lineRule="auto"/>
        <w:ind w:left="1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附件</w:t>
      </w:r>
    </w:p>
    <w:p w14:paraId="0B7971F1">
      <w:pPr>
        <w:pStyle w:val="2"/>
        <w:spacing w:line="306" w:lineRule="auto"/>
      </w:pPr>
    </w:p>
    <w:p w14:paraId="76660CF5">
      <w:pPr>
        <w:pStyle w:val="2"/>
        <w:spacing w:line="306" w:lineRule="auto"/>
      </w:pPr>
    </w:p>
    <w:p w14:paraId="44A9AFD9">
      <w:pPr>
        <w:spacing w:before="137" w:line="219" w:lineRule="auto"/>
        <w:ind w:left="2220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4"/>
          <w:sz w:val="42"/>
          <w:szCs w:val="42"/>
        </w:rPr>
        <w:t>就业补助资金管理办法</w:t>
      </w:r>
    </w:p>
    <w:p w14:paraId="33E68568">
      <w:pPr>
        <w:pStyle w:val="2"/>
        <w:spacing w:line="340" w:lineRule="auto"/>
      </w:pPr>
    </w:p>
    <w:p w14:paraId="23C606C0">
      <w:pPr>
        <w:pStyle w:val="2"/>
        <w:spacing w:line="341" w:lineRule="auto"/>
      </w:pPr>
    </w:p>
    <w:p w14:paraId="7AE1F48D">
      <w:pPr>
        <w:spacing w:before="101" w:line="222" w:lineRule="auto"/>
        <w:ind w:left="326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第一章</w:t>
      </w:r>
      <w:r>
        <w:rPr>
          <w:rFonts w:ascii="黑体" w:hAnsi="黑体" w:eastAsia="黑体" w:cs="黑体"/>
          <w:spacing w:val="7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总</w:t>
      </w:r>
      <w:r>
        <w:rPr>
          <w:rFonts w:ascii="黑体" w:hAnsi="黑体" w:eastAsia="黑体" w:cs="黑体"/>
          <w:spacing w:val="-6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则</w:t>
      </w:r>
    </w:p>
    <w:p w14:paraId="3484F938">
      <w:pPr>
        <w:spacing w:before="160" w:line="370" w:lineRule="auto"/>
        <w:ind w:left="144" w:firstLine="7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0"/>
          <w:sz w:val="31"/>
          <w:szCs w:val="31"/>
        </w:rPr>
        <w:t>第一条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为推动实施就业优先战略，落实各项就业创业 </w:t>
      </w:r>
      <w:r>
        <w:rPr>
          <w:rFonts w:ascii="仿宋" w:hAnsi="仿宋" w:eastAsia="仿宋" w:cs="仿宋"/>
          <w:spacing w:val="6"/>
          <w:sz w:val="31"/>
          <w:szCs w:val="31"/>
        </w:rPr>
        <w:t>扶持政策，规范就业补助资金管理，提高资</w:t>
      </w:r>
      <w:r>
        <w:rPr>
          <w:rFonts w:ascii="仿宋" w:hAnsi="仿宋" w:eastAsia="仿宋" w:cs="仿宋"/>
          <w:spacing w:val="5"/>
          <w:sz w:val="31"/>
          <w:szCs w:val="31"/>
        </w:rPr>
        <w:t>金使用效益，根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据《中华人民共和国预算法》、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8"/>
          <w:sz w:val="31"/>
          <w:szCs w:val="31"/>
        </w:rPr>
        <w:t>《中华人民共和国就业促进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法》、《中华人民共和国预算法实施条例》、《中共中央国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务院关于全面实施预算绩效管理的意见》、《国务院办公厅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关于印发基本公共服务领域中央与地方共同财政事权和支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出责任划分改革方案的通知》(国办发〔2018〕6号)等相</w:t>
      </w:r>
    </w:p>
    <w:p w14:paraId="5976A680">
      <w:pPr>
        <w:spacing w:before="1" w:line="221" w:lineRule="auto"/>
        <w:ind w:left="1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关法律法规和规定，制定本办法。</w:t>
      </w:r>
    </w:p>
    <w:p w14:paraId="6C086C67">
      <w:pPr>
        <w:spacing w:before="285" w:line="376" w:lineRule="auto"/>
        <w:ind w:left="144" w:right="27" w:firstLine="6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1"/>
          <w:sz w:val="31"/>
          <w:szCs w:val="31"/>
        </w:rPr>
        <w:t>第二条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本办法所称就业补助资金是由县级以上人民政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府设立，由本级财政部门会同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人力资源和社会保障</w:t>
      </w:r>
      <w:r>
        <w:rPr>
          <w:rFonts w:ascii="仿宋" w:hAnsi="仿宋" w:eastAsia="仿宋" w:cs="仿宋"/>
          <w:spacing w:val="4"/>
          <w:sz w:val="31"/>
          <w:szCs w:val="31"/>
        </w:rPr>
        <w:t>部门管理，</w:t>
      </w:r>
    </w:p>
    <w:p w14:paraId="685E98A4">
      <w:pPr>
        <w:spacing w:before="1" w:line="221" w:lineRule="auto"/>
        <w:ind w:left="1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通过一般公共预算安排用于促进就业创业的专项资金。</w:t>
      </w:r>
    </w:p>
    <w:p w14:paraId="5FA50702">
      <w:pPr>
        <w:spacing w:before="244" w:line="222" w:lineRule="auto"/>
        <w:ind w:left="8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第三条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就业补助资金管理应遵循以下原则：</w:t>
      </w:r>
    </w:p>
    <w:p w14:paraId="4AA284F7">
      <w:pPr>
        <w:spacing w:before="267" w:line="370" w:lineRule="auto"/>
        <w:ind w:left="144" w:right="71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(一)注重普惠，重点倾斜。落实国家普惠性的就业创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业扶持政策，重点支持就业困难群体就业创业，中央财政就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业补助资金分配适度向中西部地区、就业工作任务重</w:t>
      </w:r>
      <w:r>
        <w:rPr>
          <w:rFonts w:ascii="仿宋" w:hAnsi="仿宋" w:eastAsia="仿宋" w:cs="仿宋"/>
          <w:spacing w:val="5"/>
          <w:sz w:val="31"/>
          <w:szCs w:val="31"/>
        </w:rPr>
        <w:t>地区倾</w:t>
      </w:r>
    </w:p>
    <w:p w14:paraId="728DF74A">
      <w:pPr>
        <w:spacing w:before="1" w:line="221" w:lineRule="auto"/>
        <w:ind w:left="1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斜，促进各类劳动者公平就业，推动地区间就业协同发展。</w:t>
      </w:r>
    </w:p>
    <w:p w14:paraId="6C331338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0" w:h="16840"/>
          <w:pgMar w:top="1431" w:right="1669" w:bottom="925" w:left="1785" w:header="0" w:footer="776" w:gutter="0"/>
          <w:cols w:space="720" w:num="1"/>
        </w:sectPr>
      </w:pPr>
    </w:p>
    <w:p w14:paraId="362807DE">
      <w:pPr>
        <w:pStyle w:val="2"/>
        <w:spacing w:line="264" w:lineRule="auto"/>
      </w:pPr>
    </w:p>
    <w:p w14:paraId="6B503C80">
      <w:pPr>
        <w:spacing w:before="101" w:line="658" w:lineRule="exact"/>
        <w:ind w:left="8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26"/>
          <w:sz w:val="31"/>
          <w:szCs w:val="31"/>
        </w:rPr>
        <w:t>(二)奖补结合，激励相容。优化机制设计，奖补结合，</w:t>
      </w:r>
    </w:p>
    <w:p w14:paraId="21BB96A2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充分调动各级政策执行部门、政策对象等积极性。</w:t>
      </w:r>
    </w:p>
    <w:p w14:paraId="4689CF59">
      <w:pPr>
        <w:spacing w:before="242" w:line="369" w:lineRule="auto"/>
        <w:ind w:right="300" w:firstLine="8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(三)科学合理，提升质效。提高政策可操作性和精准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性，优化资金支出方向，加强监督与控制，以绩效导向、结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果导向强化就业补助资金管理，并结合就业形势和工作任务</w:t>
      </w:r>
    </w:p>
    <w:p w14:paraId="6BA8BE19"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变化对政策进行动态调整。</w:t>
      </w:r>
    </w:p>
    <w:p w14:paraId="74B477F3">
      <w:pPr>
        <w:pStyle w:val="2"/>
        <w:spacing w:line="273" w:lineRule="auto"/>
      </w:pPr>
    </w:p>
    <w:p w14:paraId="31046886">
      <w:pPr>
        <w:pStyle w:val="2"/>
        <w:spacing w:line="274" w:lineRule="auto"/>
      </w:pPr>
    </w:p>
    <w:p w14:paraId="116B3C52">
      <w:pPr>
        <w:pStyle w:val="2"/>
        <w:spacing w:line="274" w:lineRule="auto"/>
      </w:pPr>
    </w:p>
    <w:p w14:paraId="38B397F2">
      <w:pPr>
        <w:spacing w:before="101" w:line="222" w:lineRule="auto"/>
        <w:ind w:left="25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第二章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资金支出范围</w:t>
      </w:r>
    </w:p>
    <w:p w14:paraId="0572B5FF">
      <w:pPr>
        <w:spacing w:before="197" w:line="643" w:lineRule="exact"/>
        <w:ind w:left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position w:val="24"/>
          <w:sz w:val="31"/>
          <w:szCs w:val="31"/>
        </w:rPr>
        <w:t>第</w:t>
      </w:r>
      <w:r>
        <w:rPr>
          <w:rFonts w:ascii="仿宋" w:hAnsi="仿宋" w:eastAsia="仿宋" w:cs="仿宋"/>
          <w:spacing w:val="4"/>
          <w:position w:val="2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4"/>
          <w:position w:val="24"/>
          <w:sz w:val="31"/>
          <w:szCs w:val="31"/>
        </w:rPr>
        <w:t>四</w:t>
      </w:r>
      <w:r>
        <w:rPr>
          <w:rFonts w:ascii="STXinwei" w:hAnsi="STXinwei" w:eastAsia="STXinwei" w:cs="STXinwei"/>
          <w:b/>
          <w:bCs/>
          <w:spacing w:val="4"/>
          <w:position w:val="24"/>
          <w:sz w:val="31"/>
          <w:szCs w:val="31"/>
        </w:rPr>
        <w:t>条</w:t>
      </w:r>
      <w:r>
        <w:rPr>
          <w:rFonts w:ascii="STXinwei" w:hAnsi="STXinwei" w:eastAsia="STXinwei" w:cs="STXinwei"/>
          <w:spacing w:val="4"/>
          <w:position w:val="2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position w:val="24"/>
          <w:sz w:val="31"/>
          <w:szCs w:val="31"/>
        </w:rPr>
        <w:t>就业补助资金分为对个人和单位的补贴、公共</w:t>
      </w:r>
    </w:p>
    <w:p w14:paraId="6E6B19BD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就业服务能力建设补助两类。</w:t>
      </w:r>
    </w:p>
    <w:p w14:paraId="04AA06E9">
      <w:pPr>
        <w:spacing w:before="218" w:line="357" w:lineRule="auto"/>
        <w:ind w:right="294"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对个人和单位的补贴资金用于职业培训补贴、职业技能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评价补贴、就业见习补贴、</w:t>
      </w:r>
      <w:r>
        <w:rPr>
          <w:rFonts w:ascii="仿宋" w:hAnsi="仿宋" w:eastAsia="仿宋" w:cs="仿宋"/>
          <w:spacing w:val="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一次性求职补贴、</w:t>
      </w:r>
      <w:r>
        <w:rPr>
          <w:rFonts w:ascii="仿宋" w:hAnsi="仿宋" w:eastAsia="仿宋" w:cs="仿宋"/>
          <w:spacing w:val="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一次性创业补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贴、社会保险补贴、公益性岗位补贴及其他支出；公共就业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服务能力建设补助资金用于就业创业服务补助和高技能人</w:t>
      </w:r>
    </w:p>
    <w:p w14:paraId="44938383"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才培养补助及其他支出。</w:t>
      </w:r>
    </w:p>
    <w:p w14:paraId="750AFB8E">
      <w:pPr>
        <w:spacing w:before="249" w:line="600" w:lineRule="exact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21"/>
          <w:sz w:val="31"/>
          <w:szCs w:val="31"/>
        </w:rPr>
        <w:t>同一项目就业补助资金补贴与失业保险补贴有重复的</w:t>
      </w:r>
    </w:p>
    <w:p w14:paraId="46663B39"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个人和单位不可重复享受。</w:t>
      </w:r>
    </w:p>
    <w:p w14:paraId="25888F25">
      <w:pPr>
        <w:spacing w:before="243" w:line="358" w:lineRule="auto"/>
        <w:ind w:right="299" w:firstLine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2"/>
          <w:sz w:val="31"/>
          <w:szCs w:val="31"/>
        </w:rPr>
        <w:t>第五条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享受职业培训补贴的人员范围包括：防止返贫 监测对象、毕业年度高校毕业生(含技工院校</w:t>
      </w:r>
      <w:r>
        <w:rPr>
          <w:rFonts w:ascii="仿宋" w:hAnsi="仿宋" w:eastAsia="仿宋" w:cs="仿宋"/>
          <w:spacing w:val="11"/>
          <w:sz w:val="31"/>
          <w:szCs w:val="31"/>
        </w:rPr>
        <w:t>高级工班、预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备技师班、技师班和特殊教育院校职业教育类毕业生，下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同)、城乡未继续升学的应届初高中毕业生、农村转移就业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劳动者、城镇登记失业人员、就业困难人员等(以下统称六</w:t>
      </w:r>
    </w:p>
    <w:p w14:paraId="66719F5D"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类人员),以及符合条件的企业职工。</w:t>
      </w:r>
    </w:p>
    <w:p w14:paraId="3BE5F5E6"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2070" w:h="16960"/>
          <w:pgMar w:top="1441" w:right="1810" w:bottom="995" w:left="1680" w:header="0" w:footer="846" w:gutter="0"/>
          <w:cols w:space="720" w:num="1"/>
        </w:sectPr>
      </w:pPr>
    </w:p>
    <w:p w14:paraId="15A1F924">
      <w:pPr>
        <w:spacing w:before="107" w:line="222" w:lineRule="auto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职业培训补贴用于以下方面：</w:t>
      </w:r>
    </w:p>
    <w:p w14:paraId="2F652E2F">
      <w:pPr>
        <w:spacing w:before="234" w:line="360" w:lineRule="auto"/>
        <w:ind w:firstLine="9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(一)六类人员就业技能培训和创业培训。对参加就业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技能培训和创业培训的六类人员，培训后取得符合规定证书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的(包括职业资格证书、职业技能等级证书、专项职业能力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0"/>
          <w:sz w:val="32"/>
          <w:szCs w:val="32"/>
        </w:rPr>
        <w:t>证书、培训合格证书，下同),给予一定标准的</w:t>
      </w:r>
      <w:r>
        <w:rPr>
          <w:rFonts w:ascii="仿宋" w:hAnsi="仿宋" w:eastAsia="仿宋" w:cs="仿宋"/>
          <w:spacing w:val="19"/>
          <w:sz w:val="32"/>
          <w:szCs w:val="32"/>
        </w:rPr>
        <w:t>职业培训补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贴。各地应精准对接产业发展和培训对象需求，定期发布急</w:t>
      </w:r>
    </w:p>
    <w:p w14:paraId="42AD49B9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0"/>
          <w:sz w:val="32"/>
          <w:szCs w:val="32"/>
        </w:rPr>
        <w:t>需紧缺职业(工种)指导目录，对指导目录内的职业培训</w:t>
      </w:r>
    </w:p>
    <w:p w14:paraId="1DDFA5AA">
      <w:pPr>
        <w:spacing w:before="226" w:line="360" w:lineRule="auto"/>
        <w:ind w:right="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可适当提高补贴标准。对为城乡未继续升学的应届初高中毕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业生垫付劳动预备制培训费的培训机构，给予一定标准的职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业培训补贴。其中农村学员和城市低保家庭学员参</w:t>
      </w:r>
      <w:r>
        <w:rPr>
          <w:rFonts w:ascii="仿宋" w:hAnsi="仿宋" w:eastAsia="仿宋" w:cs="仿宋"/>
          <w:spacing w:val="5"/>
          <w:sz w:val="32"/>
          <w:szCs w:val="32"/>
        </w:rPr>
        <w:t>加劳动预</w:t>
      </w:r>
    </w:p>
    <w:p w14:paraId="500BDBA6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备制培训的，可给予一定标准的生活费补贴。</w:t>
      </w:r>
    </w:p>
    <w:p w14:paraId="4804A488">
      <w:pPr>
        <w:spacing w:before="247" w:line="357" w:lineRule="auto"/>
        <w:ind w:firstLine="8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(二)符合条件的企业职工岗位技能培训。对企业新录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用的六类人员，与企业签订1年以上期限劳动合同，并于签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订劳动合同之日起1年内参加由企业依托所属培训机构或政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府认定的培训机构开展岗位技能培训，培训后取得证书的给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予职工个人或企业一定标准的职业培训补贴。对按国</w:t>
      </w:r>
      <w:r>
        <w:rPr>
          <w:rFonts w:ascii="仿宋" w:hAnsi="仿宋" w:eastAsia="仿宋" w:cs="仿宋"/>
          <w:spacing w:val="5"/>
          <w:sz w:val="32"/>
          <w:szCs w:val="32"/>
        </w:rPr>
        <w:t>家有关</w:t>
      </w:r>
    </w:p>
    <w:p w14:paraId="192D8209">
      <w:pPr>
        <w:spacing w:before="1"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规定参加企业新型学徒制培训、技师培训的企业在职</w:t>
      </w:r>
      <w:r>
        <w:rPr>
          <w:rFonts w:ascii="仿宋" w:hAnsi="仿宋" w:eastAsia="仿宋" w:cs="仿宋"/>
          <w:spacing w:val="1"/>
          <w:sz w:val="32"/>
          <w:szCs w:val="32"/>
        </w:rPr>
        <w:t>职工，</w:t>
      </w:r>
    </w:p>
    <w:p w14:paraId="6D8735D9">
      <w:pPr>
        <w:spacing w:before="245" w:line="622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position w:val="22"/>
          <w:sz w:val="32"/>
          <w:szCs w:val="32"/>
        </w:rPr>
        <w:t>培训后取得证书的，给予职工个人或企业一定标准的职业培</w:t>
      </w:r>
    </w:p>
    <w:p w14:paraId="48F31731">
      <w:pPr>
        <w:spacing w:before="1"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2"/>
          <w:sz w:val="32"/>
          <w:szCs w:val="32"/>
        </w:rPr>
        <w:t>训补贴。</w:t>
      </w:r>
    </w:p>
    <w:p w14:paraId="3DCEF9B9">
      <w:pPr>
        <w:spacing w:before="244" w:line="358" w:lineRule="auto"/>
        <w:ind w:right="46" w:firstLine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(三)符合条件人员项目制培训。各地人力资源社会保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障、财政部门可按规定通过项目制方式，向培训机构整建制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购买就业技能培训或创业培训服务，按规定对国家重大改革</w:t>
      </w:r>
    </w:p>
    <w:p w14:paraId="2399122F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中的失业人员开展职业技能培训，对承担项目制培训任务的</w:t>
      </w:r>
    </w:p>
    <w:p w14:paraId="4F086A93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8" w:type="default"/>
          <w:pgSz w:w="11900" w:h="16840"/>
          <w:pgMar w:top="1431" w:right="1668" w:bottom="742" w:left="1670" w:header="0" w:footer="583" w:gutter="0"/>
          <w:cols w:space="720" w:num="1"/>
        </w:sectPr>
      </w:pPr>
    </w:p>
    <w:p w14:paraId="049D42F1">
      <w:pPr>
        <w:spacing w:before="177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培训机构，给予一定标准的职业培训补贴。</w:t>
      </w:r>
    </w:p>
    <w:p w14:paraId="19AC1E52">
      <w:pPr>
        <w:spacing w:before="205" w:line="363" w:lineRule="auto"/>
        <w:ind w:right="6"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职业培训补贴实行“先垫后补”和“信用支付”等办法，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每人累计最多享受3次。有条件的地区可探索为培训对象建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立职业培训个人信用账户，鼓励培训对象自主选择培训机构</w:t>
      </w:r>
    </w:p>
    <w:p w14:paraId="19CD725D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和课程，并通过信用账户支付培训费用。</w:t>
      </w:r>
    </w:p>
    <w:p w14:paraId="2A147981">
      <w:pPr>
        <w:tabs>
          <w:tab w:val="left" w:pos="160"/>
        </w:tabs>
        <w:spacing w:before="207" w:line="358" w:lineRule="auto"/>
        <w:ind w:firstLine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sz w:val="32"/>
          <w:szCs w:val="32"/>
        </w:rPr>
        <w:t>第六条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对通过初次职业技能评价并取得符合规定证书 </w:t>
      </w:r>
      <w:r>
        <w:rPr>
          <w:rFonts w:ascii="仿宋" w:hAnsi="仿宋" w:eastAsia="仿宋" w:cs="仿宋"/>
          <w:sz w:val="32"/>
          <w:szCs w:val="32"/>
        </w:rPr>
        <w:tab/>
      </w:r>
      <w:r>
        <w:rPr>
          <w:rFonts w:ascii="仿宋" w:hAnsi="仿宋" w:eastAsia="仿宋" w:cs="仿宋"/>
          <w:spacing w:val="7"/>
          <w:sz w:val="32"/>
          <w:szCs w:val="32"/>
        </w:rPr>
        <w:t>(包括职业资格证书、职业技能等级证书、专项职业能</w:t>
      </w:r>
      <w:r>
        <w:rPr>
          <w:rFonts w:ascii="仿宋" w:hAnsi="仿宋" w:eastAsia="仿宋" w:cs="仿宋"/>
          <w:spacing w:val="6"/>
          <w:sz w:val="32"/>
          <w:szCs w:val="32"/>
        </w:rPr>
        <w:t>力证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书，不含培训合格证)的六类人员，给予职业技能评价补贴。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对纳入重点产业职业资格评价和职业技能等级认定目录的</w:t>
      </w:r>
    </w:p>
    <w:p w14:paraId="7F8314C5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职业工种，可适当提高补贴标准。每人累计最多享受3次，</w:t>
      </w:r>
    </w:p>
    <w:p w14:paraId="47D440E5">
      <w:pPr>
        <w:spacing w:before="237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2"/>
          <w:sz w:val="32"/>
          <w:szCs w:val="32"/>
        </w:rPr>
        <w:t>同一职业(工种)不得重复享受。</w:t>
      </w:r>
    </w:p>
    <w:p w14:paraId="0FF0B407">
      <w:pPr>
        <w:spacing w:before="245" w:line="358" w:lineRule="auto"/>
        <w:ind w:right="98" w:firstLine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7"/>
          <w:sz w:val="32"/>
          <w:szCs w:val="32"/>
        </w:rPr>
        <w:t>第七条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享受就业见习补贴的人员范围为离校2</w:t>
      </w:r>
      <w:r>
        <w:rPr>
          <w:rFonts w:ascii="仿宋" w:hAnsi="仿宋" w:eastAsia="仿宋" w:cs="仿宋"/>
          <w:spacing w:val="16"/>
          <w:sz w:val="32"/>
          <w:szCs w:val="32"/>
        </w:rPr>
        <w:t>年内未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就业高校毕业生和16-24岁登记失业青年。对吸纳就业见习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的单位，给予一定标准的就业见习补贴，用于见习单位支付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见习人员见习期间基本生活费、为见习人员</w:t>
      </w:r>
      <w:r>
        <w:rPr>
          <w:rFonts w:ascii="仿宋" w:hAnsi="仿宋" w:eastAsia="仿宋" w:cs="仿宋"/>
          <w:spacing w:val="4"/>
          <w:sz w:val="32"/>
          <w:szCs w:val="32"/>
        </w:rPr>
        <w:t>办理人身意外伤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害保险，以及对见习人员的指导管理费用。对见习人员见习</w:t>
      </w:r>
    </w:p>
    <w:p w14:paraId="6ACB3A46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期满留用率达到50%以上的单位，可适当提高见</w:t>
      </w:r>
      <w:r>
        <w:rPr>
          <w:rFonts w:ascii="仿宋" w:hAnsi="仿宋" w:eastAsia="仿宋" w:cs="仿宋"/>
          <w:spacing w:val="2"/>
          <w:sz w:val="32"/>
          <w:szCs w:val="32"/>
        </w:rPr>
        <w:t>习补贴标准。</w:t>
      </w:r>
    </w:p>
    <w:p w14:paraId="40372818">
      <w:pPr>
        <w:spacing w:before="253" w:line="353" w:lineRule="auto"/>
        <w:ind w:right="132" w:firstLine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0"/>
          <w:sz w:val="32"/>
          <w:szCs w:val="32"/>
        </w:rPr>
        <w:t>第八条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对在毕业学年积极求职创业的低保家庭、零就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业家庭、防止返贫监测对象家庭和特困人员中的高校毕业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生，残疾及获得国家助学贷款的高校毕业生</w:t>
      </w:r>
      <w:r>
        <w:rPr>
          <w:rFonts w:ascii="仿宋" w:hAnsi="仿宋" w:eastAsia="仿宋" w:cs="仿宋"/>
          <w:spacing w:val="4"/>
          <w:sz w:val="32"/>
          <w:szCs w:val="32"/>
        </w:rPr>
        <w:t>，给予一次性求</w:t>
      </w:r>
    </w:p>
    <w:p w14:paraId="7DF7CA8A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职补贴。</w:t>
      </w:r>
    </w:p>
    <w:p w14:paraId="6593E52B">
      <w:pPr>
        <w:spacing w:before="253" w:line="644" w:lineRule="exact"/>
        <w:ind w:left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position w:val="24"/>
          <w:sz w:val="32"/>
          <w:szCs w:val="32"/>
        </w:rPr>
        <w:t>第九条</w:t>
      </w:r>
      <w:r>
        <w:rPr>
          <w:rFonts w:ascii="仿宋" w:hAnsi="仿宋" w:eastAsia="仿宋" w:cs="仿宋"/>
          <w:spacing w:val="9"/>
          <w:position w:val="24"/>
          <w:sz w:val="32"/>
          <w:szCs w:val="32"/>
        </w:rPr>
        <w:t xml:space="preserve"> 对首次创办小微企业或从事个体经营，且所创</w:t>
      </w:r>
    </w:p>
    <w:p w14:paraId="04C290D1"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办企业或个体工商户自工商登记注册之日起正常运营1年以</w:t>
      </w:r>
    </w:p>
    <w:p w14:paraId="64758DBA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9" w:type="default"/>
          <w:pgSz w:w="12060" w:h="16950"/>
          <w:pgMar w:top="1440" w:right="1799" w:bottom="832" w:left="1679" w:header="0" w:footer="673" w:gutter="0"/>
          <w:cols w:space="720" w:num="1"/>
        </w:sectPr>
      </w:pPr>
    </w:p>
    <w:p w14:paraId="00BD1A92">
      <w:pPr>
        <w:spacing w:before="136" w:line="609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position w:val="21"/>
          <w:sz w:val="32"/>
          <w:szCs w:val="32"/>
        </w:rPr>
        <w:t>上的离校2年内高校毕业生、就业困难人员、</w:t>
      </w:r>
      <w:r>
        <w:rPr>
          <w:rFonts w:ascii="仿宋" w:hAnsi="仿宋" w:eastAsia="仿宋" w:cs="仿宋"/>
          <w:spacing w:val="10"/>
          <w:position w:val="21"/>
          <w:sz w:val="32"/>
          <w:szCs w:val="32"/>
        </w:rPr>
        <w:t>返乡入乡农民</w:t>
      </w:r>
    </w:p>
    <w:p w14:paraId="7B0E2427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工，可给予一次性创业补贴。</w:t>
      </w:r>
    </w:p>
    <w:p w14:paraId="22C23C51">
      <w:pPr>
        <w:spacing w:before="247" w:line="352" w:lineRule="auto"/>
        <w:ind w:firstLine="7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sz w:val="32"/>
          <w:szCs w:val="32"/>
        </w:rPr>
        <w:t>第十条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享受社会保险补贴的人员范围包括：符合《中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华人民共和国就业促进法》规定的就业困难人员和高校毕业</w:t>
      </w:r>
    </w:p>
    <w:p w14:paraId="09163792">
      <w:pPr>
        <w:spacing w:before="1" w:line="23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生。</w:t>
      </w:r>
    </w:p>
    <w:p w14:paraId="4B8F4339">
      <w:pPr>
        <w:spacing w:before="219" w:line="221" w:lineRule="auto"/>
        <w:ind w:left="7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社会保险补贴用于以下方面：</w:t>
      </w:r>
    </w:p>
    <w:p w14:paraId="7039A1E6">
      <w:pPr>
        <w:spacing w:before="242" w:line="358" w:lineRule="auto"/>
        <w:ind w:right="31" w:firstLine="8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3"/>
          <w:sz w:val="32"/>
          <w:szCs w:val="32"/>
        </w:rPr>
        <w:t>(一)就业困难人员社会保险补贴。对招用就业困难人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员并缴纳社会保险费的单位，以及通过公益性岗位安置就业 </w:t>
      </w:r>
      <w:r>
        <w:rPr>
          <w:rFonts w:ascii="仿宋" w:hAnsi="仿宋" w:eastAsia="仿宋" w:cs="仿宋"/>
          <w:spacing w:val="5"/>
          <w:sz w:val="32"/>
          <w:szCs w:val="32"/>
        </w:rPr>
        <w:t>困难人员并缴纳社会保险费的单位，按其为就业困难人员实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际缴纳的基本养老保险费、基本医疗保险费和失业保险费给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予补贴，不包括就业困难人员个人应缴纳的部分。对就业困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难人员灵活就业后缴纳的社会保险费，给予一定数额的社会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保险补贴，补贴标准原则上不超过其实际缴费的2/3。就业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困难人员社会保险补贴期限，除对距法定退休年龄不足5年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的就业困难人员可延长至退休外，其余人员最长不超过3年</w:t>
      </w:r>
    </w:p>
    <w:p w14:paraId="3E844000">
      <w:pPr>
        <w:spacing w:before="2" w:line="220" w:lineRule="auto"/>
        <w:ind w:left="1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(以初次核定其享受社会保险补贴时年龄为准)。</w:t>
      </w:r>
    </w:p>
    <w:p w14:paraId="64708060">
      <w:pPr>
        <w:spacing w:before="275" w:line="358" w:lineRule="auto"/>
        <w:ind w:right="72" w:firstLine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(二)高校毕业生社会保险补贴。对招用毕业年度和离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校2年内未就业高校毕业生，与之签订1年以</w:t>
      </w:r>
      <w:r>
        <w:rPr>
          <w:rFonts w:ascii="仿宋" w:hAnsi="仿宋" w:eastAsia="仿宋" w:cs="仿宋"/>
          <w:spacing w:val="18"/>
          <w:sz w:val="32"/>
          <w:szCs w:val="32"/>
        </w:rPr>
        <w:t>上劳动合同并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为其缴纳社会保险费的小微企业，给予最长1</w:t>
      </w:r>
      <w:r>
        <w:rPr>
          <w:rFonts w:ascii="仿宋" w:hAnsi="仿宋" w:eastAsia="仿宋" w:cs="仿宋"/>
          <w:spacing w:val="12"/>
          <w:sz w:val="32"/>
          <w:szCs w:val="32"/>
        </w:rPr>
        <w:t>年的社会保险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补贴，不包括高校毕业生个人应缴纳的部分。对离校2年内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未就业的高校毕业生灵活就业后缴纳的社会</w:t>
      </w:r>
      <w:r>
        <w:rPr>
          <w:rFonts w:ascii="仿宋" w:hAnsi="仿宋" w:eastAsia="仿宋" w:cs="仿宋"/>
          <w:spacing w:val="6"/>
          <w:sz w:val="32"/>
          <w:szCs w:val="32"/>
        </w:rPr>
        <w:t>保险费，给予一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定数额的社会保险补贴，补贴标准原则上不超过其实际缴费</w:t>
      </w:r>
    </w:p>
    <w:p w14:paraId="1503E085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3"/>
          <w:sz w:val="32"/>
          <w:szCs w:val="32"/>
        </w:rPr>
        <w:t>的2/3,补贴期限最长不超过2年。</w:t>
      </w:r>
    </w:p>
    <w:p w14:paraId="732D4B27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0" w:type="default"/>
          <w:pgSz w:w="11900" w:h="16840"/>
          <w:pgMar w:top="1431" w:right="1638" w:bottom="731" w:left="1680" w:header="0" w:footer="573" w:gutter="0"/>
          <w:cols w:space="720" w:num="1"/>
        </w:sectPr>
      </w:pPr>
    </w:p>
    <w:p w14:paraId="4F0AA95C">
      <w:pPr>
        <w:spacing w:before="124" w:line="635" w:lineRule="exact"/>
        <w:ind w:right="3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position w:val="23"/>
          <w:sz w:val="32"/>
          <w:szCs w:val="32"/>
        </w:rPr>
        <w:t>第十一条</w:t>
      </w:r>
      <w:r>
        <w:rPr>
          <w:rFonts w:ascii="仿宋" w:hAnsi="仿宋" w:eastAsia="仿宋" w:cs="仿宋"/>
          <w:spacing w:val="11"/>
          <w:position w:val="23"/>
          <w:sz w:val="32"/>
          <w:szCs w:val="32"/>
        </w:rPr>
        <w:t xml:space="preserve"> 享受公益性岗位补贴的人员范围为就业困难</w:t>
      </w:r>
    </w:p>
    <w:p w14:paraId="7381F1F1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人员，重点是其中的大龄失业人员和零就业家庭人员。</w:t>
      </w:r>
    </w:p>
    <w:p w14:paraId="3DC7021D">
      <w:pPr>
        <w:spacing w:before="240" w:line="641" w:lineRule="exact"/>
        <w:ind w:right="2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position w:val="24"/>
          <w:sz w:val="32"/>
          <w:szCs w:val="32"/>
        </w:rPr>
        <w:t>对公益性岗位安置的就业困难人员给予岗位补贴，补贴</w:t>
      </w:r>
    </w:p>
    <w:p w14:paraId="146BBAA3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标准参照当地最低工资标准执行。</w:t>
      </w:r>
    </w:p>
    <w:p w14:paraId="0047E8B3">
      <w:pPr>
        <w:spacing w:before="207" w:line="363" w:lineRule="auto"/>
        <w:ind w:right="17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sz w:val="32"/>
          <w:szCs w:val="32"/>
        </w:rPr>
        <w:t>公益性岗位补贴期限，除对距法定退休年龄不足5年的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就业困难人员可延长至退休外，其余人员最长不超过3年(以</w:t>
      </w:r>
    </w:p>
    <w:p w14:paraId="11F6676A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初次核定其享受公益性岗位补贴时年龄为准)。</w:t>
      </w:r>
    </w:p>
    <w:p w14:paraId="79DDC8A0">
      <w:pPr>
        <w:spacing w:before="217" w:line="358" w:lineRule="auto"/>
        <w:ind w:right="7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0"/>
          <w:sz w:val="32"/>
          <w:szCs w:val="32"/>
        </w:rPr>
        <w:t>对公益性岗位补贴期满后仍难以通过其他渠道实现就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业的大龄就业困难人员、零就业家庭中的就业困难人员、重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度残疾人等，可再次按程序通过公益性岗位予以安置，岗位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补贴和社会保险补贴期限重新计算，并报送省级人</w:t>
      </w:r>
      <w:r>
        <w:rPr>
          <w:rFonts w:ascii="仿宋" w:hAnsi="仿宋" w:eastAsia="仿宋" w:cs="仿宋"/>
          <w:spacing w:val="5"/>
          <w:sz w:val="32"/>
          <w:szCs w:val="32"/>
        </w:rPr>
        <w:t>力资源社</w:t>
      </w:r>
    </w:p>
    <w:p w14:paraId="74A552B0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会保障、财政部门备案，累计安置次数不超过2次。</w:t>
      </w:r>
    </w:p>
    <w:p w14:paraId="57A2D59D">
      <w:pPr>
        <w:spacing w:before="265" w:line="623" w:lineRule="exact"/>
        <w:ind w:right="3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position w:val="22"/>
          <w:sz w:val="32"/>
          <w:szCs w:val="32"/>
        </w:rPr>
        <w:t>第十二条</w:t>
      </w:r>
      <w:r>
        <w:rPr>
          <w:rFonts w:ascii="仿宋" w:hAnsi="仿宋" w:eastAsia="仿宋" w:cs="仿宋"/>
          <w:spacing w:val="11"/>
          <w:position w:val="22"/>
          <w:sz w:val="32"/>
          <w:szCs w:val="32"/>
        </w:rPr>
        <w:t xml:space="preserve"> 就业创业服务补助用于加强公共就业创</w:t>
      </w:r>
      <w:r>
        <w:rPr>
          <w:rFonts w:ascii="仿宋" w:hAnsi="仿宋" w:eastAsia="仿宋" w:cs="仿宋"/>
          <w:spacing w:val="10"/>
          <w:position w:val="22"/>
          <w:sz w:val="32"/>
          <w:szCs w:val="32"/>
        </w:rPr>
        <w:t>业服</w:t>
      </w:r>
    </w:p>
    <w:p w14:paraId="645ECAFD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务机构服务能力建设。</w:t>
      </w:r>
    </w:p>
    <w:p w14:paraId="17F41F64">
      <w:pPr>
        <w:spacing w:before="222" w:line="358" w:lineRule="auto"/>
        <w:ind w:right="2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县级以上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5"/>
          <w:sz w:val="32"/>
          <w:szCs w:val="32"/>
        </w:rPr>
        <w:t>、财政部门可通过就业创业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服务补助资金，支持公共就业服务机构加强就业信息网络系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统建设及维护。对于基层公共就业服务机构(</w:t>
      </w:r>
      <w:r>
        <w:rPr>
          <w:rFonts w:ascii="仿宋" w:hAnsi="仿宋" w:eastAsia="仿宋" w:cs="仿宋"/>
          <w:spacing w:val="10"/>
          <w:sz w:val="32"/>
          <w:szCs w:val="32"/>
        </w:rPr>
        <w:t>含政府设立的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家门口就业服务站、零工驿站等)承担的免费公共就业服务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和创业孵化基地开展的创业孵化服务，可根据工作量、专业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性和成效等，给予一定的补助。对公共就业创业服</w:t>
      </w:r>
      <w:r>
        <w:rPr>
          <w:rFonts w:ascii="仿宋" w:hAnsi="仿宋" w:eastAsia="仿宋" w:cs="仿宋"/>
          <w:spacing w:val="5"/>
          <w:sz w:val="32"/>
          <w:szCs w:val="32"/>
        </w:rPr>
        <w:t>务机构及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其与高校开展的招聘活动和创业服务，可根据服务人数、成</w:t>
      </w:r>
    </w:p>
    <w:p w14:paraId="5284B1C0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效和成本等，给予一定的补助。</w:t>
      </w:r>
    </w:p>
    <w:p w14:paraId="424466DF">
      <w:pPr>
        <w:spacing w:before="255" w:line="221" w:lineRule="auto"/>
        <w:ind w:right="3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县级以上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5"/>
          <w:sz w:val="32"/>
          <w:szCs w:val="32"/>
        </w:rPr>
        <w:t>、财政部门可按政府购买服</w:t>
      </w:r>
    </w:p>
    <w:p w14:paraId="3190E855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1" w:type="default"/>
          <w:pgSz w:w="11900" w:h="16840"/>
          <w:pgMar w:top="1431" w:right="1785" w:bottom="722" w:left="1629" w:header="0" w:footer="563" w:gutter="0"/>
          <w:cols w:space="720" w:num="1"/>
        </w:sectPr>
      </w:pPr>
    </w:p>
    <w:p w14:paraId="3D13FEB5">
      <w:pPr>
        <w:spacing w:before="137" w:line="639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position w:val="23"/>
          <w:sz w:val="32"/>
          <w:szCs w:val="32"/>
        </w:rPr>
        <w:t>务相关规定，向社会购买基本就业创业服务，具体范围</w:t>
      </w:r>
      <w:r>
        <w:rPr>
          <w:rFonts w:ascii="仿宋" w:hAnsi="仿宋" w:eastAsia="仿宋" w:cs="仿宋"/>
          <w:spacing w:val="6"/>
          <w:position w:val="23"/>
          <w:sz w:val="32"/>
          <w:szCs w:val="32"/>
        </w:rPr>
        <w:t>和办</w:t>
      </w:r>
    </w:p>
    <w:p w14:paraId="45C821BD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法由省级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2"/>
          <w:sz w:val="32"/>
          <w:szCs w:val="32"/>
        </w:rPr>
        <w:t>、财政部门确定。</w:t>
      </w:r>
    </w:p>
    <w:p w14:paraId="05181DBA">
      <w:pPr>
        <w:spacing w:before="245" w:line="610" w:lineRule="exact"/>
        <w:ind w:right="39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0"/>
          <w:position w:val="21"/>
          <w:sz w:val="32"/>
          <w:szCs w:val="32"/>
        </w:rPr>
        <w:t>第十三条</w:t>
      </w:r>
      <w:r>
        <w:rPr>
          <w:rFonts w:ascii="仿宋" w:hAnsi="仿宋" w:eastAsia="仿宋" w:cs="仿宋"/>
          <w:spacing w:val="151"/>
          <w:position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position w:val="21"/>
          <w:sz w:val="32"/>
          <w:szCs w:val="32"/>
        </w:rPr>
        <w:t>高技能人才培养补助重点用于高技能人才培</w:t>
      </w:r>
    </w:p>
    <w:p w14:paraId="7BD8D014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训基地建设和技能大师工作室建设等支出。</w:t>
      </w:r>
    </w:p>
    <w:p w14:paraId="19F77D26">
      <w:pPr>
        <w:spacing w:before="240" w:line="352" w:lineRule="auto"/>
        <w:ind w:right="110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各地可结合区域经济发展、产业振兴发展规划和新兴战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略性产业发展的需要，依托企业、院校、职业培训机构等具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备高技能人才培训能力的单位，建设高技能人才培训基地，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重点开展高技能人才研修提升培训、高技能人才评价、高技</w:t>
      </w:r>
    </w:p>
    <w:p w14:paraId="015A1A50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能人才课程研发、高技能人才成果交流等活动。</w:t>
      </w:r>
    </w:p>
    <w:p w14:paraId="0087F50C">
      <w:pPr>
        <w:spacing w:before="272" w:line="358" w:lineRule="auto"/>
        <w:ind w:right="116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各地可发挥高技能领军人才在带徒传技、技能攻关、技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艺传承、技能推广等方面的重要作用，选拔行业企业生产和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服务一线的优秀高技能人才，依托其所在单位建设技能大师</w:t>
      </w:r>
    </w:p>
    <w:p w14:paraId="507A95AB">
      <w:pPr>
        <w:spacing w:line="22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工作室，开展培训、研修、攻关、交流等技能传承</w:t>
      </w:r>
      <w:r>
        <w:rPr>
          <w:rFonts w:ascii="仿宋" w:hAnsi="仿宋" w:eastAsia="仿宋" w:cs="仿宋"/>
          <w:spacing w:val="-2"/>
          <w:sz w:val="32"/>
          <w:szCs w:val="32"/>
        </w:rPr>
        <w:t>提升活动。</w:t>
      </w:r>
    </w:p>
    <w:p w14:paraId="3497354E">
      <w:pPr>
        <w:spacing w:before="260" w:line="630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1"/>
          <w:position w:val="23"/>
          <w:sz w:val="32"/>
          <w:szCs w:val="32"/>
        </w:rPr>
        <w:t>高技能人才培养补助资金使用具体范围由省级人力资</w:t>
      </w:r>
    </w:p>
    <w:p w14:paraId="1C5E5956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源社会保障、财政部门结合实际情况，按现行规定确定。</w:t>
      </w:r>
    </w:p>
    <w:p w14:paraId="187D1B5F">
      <w:pPr>
        <w:spacing w:before="237" w:line="358" w:lineRule="auto"/>
        <w:ind w:right="95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8"/>
          <w:sz w:val="32"/>
          <w:szCs w:val="32"/>
        </w:rPr>
        <w:t>第十四条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其他支出是指经国务院批准同意，财政部、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9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9"/>
          <w:sz w:val="32"/>
          <w:szCs w:val="32"/>
        </w:rPr>
        <w:t>部根据就业形势变化新增的就业创业扶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持政策支出，以及各地在确保国家确定的各项就业补贴政策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落实到位的基础上，经省级人民政府批准，符合国家就业政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策导向、与促进重点群体就业创业直接相关、现有补贴政策</w:t>
      </w:r>
    </w:p>
    <w:p w14:paraId="2EBB8C77"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无法覆盖的就业创业扶持政策支出。</w:t>
      </w:r>
    </w:p>
    <w:p w14:paraId="5F83FD1C">
      <w:pPr>
        <w:spacing w:before="238" w:line="219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其他支出应当符合转移支付相关管理规定。</w:t>
      </w:r>
    </w:p>
    <w:p w14:paraId="4501DC03">
      <w:pPr>
        <w:spacing w:before="252" w:line="221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2"/>
          <w:sz w:val="32"/>
          <w:szCs w:val="32"/>
        </w:rPr>
        <w:t>第十五条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就业补助资金中对个人和单位的补贴资金的</w:t>
      </w:r>
    </w:p>
    <w:p w14:paraId="7579B6C2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2" w:type="default"/>
          <w:pgSz w:w="11900" w:h="16840"/>
          <w:pgMar w:top="1431" w:right="1530" w:bottom="701" w:left="1760" w:header="0" w:footer="543" w:gutter="0"/>
          <w:cols w:space="720" w:num="1"/>
        </w:sectPr>
      </w:pPr>
    </w:p>
    <w:p w14:paraId="433EEC39">
      <w:pPr>
        <w:spacing w:before="233" w:line="364" w:lineRule="auto"/>
        <w:ind w:left="49" w:right="87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具体标准，在符合以上原则规定的基础上，由省级人力资源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社会保障、财政部门结合当地实际确定。各地应合理确定并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科学控制公益性岗位补贴占比，严格控制就业创业服务补助</w:t>
      </w:r>
    </w:p>
    <w:p w14:paraId="21D82CF1">
      <w:pPr>
        <w:spacing w:before="1" w:line="221" w:lineRule="auto"/>
        <w:ind w:left="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和其他支出比例。</w:t>
      </w:r>
    </w:p>
    <w:p w14:paraId="29B10990">
      <w:pPr>
        <w:spacing w:before="242" w:line="222" w:lineRule="auto"/>
        <w:ind w:left="7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"/>
          <w:sz w:val="32"/>
          <w:szCs w:val="32"/>
        </w:rPr>
        <w:t>第十六条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就业补助资金不得用于以下支出：</w:t>
      </w:r>
    </w:p>
    <w:p w14:paraId="03BA10B5">
      <w:pPr>
        <w:spacing w:before="219" w:line="630" w:lineRule="exact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position w:val="23"/>
          <w:sz w:val="32"/>
          <w:szCs w:val="32"/>
        </w:rPr>
        <w:t>(一)办公用房、职工宿舍建设及维修，交</w:t>
      </w:r>
      <w:r>
        <w:rPr>
          <w:rFonts w:ascii="仿宋" w:hAnsi="仿宋" w:eastAsia="仿宋" w:cs="仿宋"/>
          <w:spacing w:val="13"/>
          <w:position w:val="23"/>
          <w:sz w:val="32"/>
          <w:szCs w:val="32"/>
        </w:rPr>
        <w:t>通工具购置</w:t>
      </w:r>
    </w:p>
    <w:p w14:paraId="5E48486D">
      <w:pPr>
        <w:spacing w:before="1" w:line="221" w:lineRule="auto"/>
        <w:ind w:left="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及运维支出。</w:t>
      </w:r>
    </w:p>
    <w:p w14:paraId="67ABFB4E">
      <w:pPr>
        <w:spacing w:before="233" w:line="220" w:lineRule="auto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sz w:val="32"/>
          <w:szCs w:val="32"/>
        </w:rPr>
        <w:t>(二)发放工作人员工资、津贴补贴等支出。</w:t>
      </w:r>
    </w:p>
    <w:p w14:paraId="60C12E62">
      <w:pPr>
        <w:spacing w:before="254" w:line="224" w:lineRule="auto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(</w:t>
      </w:r>
      <w:r>
        <w:rPr>
          <w:rFonts w:ascii="仿宋" w:hAnsi="仿宋" w:eastAsia="仿宋" w:cs="仿宋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三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)</w:t>
      </w:r>
      <w:r>
        <w:rPr>
          <w:rFonts w:ascii="仿宋" w:hAnsi="仿宋" w:eastAsia="仿宋" w:cs="仿宋"/>
          <w:spacing w:val="1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“三公”经费支出。</w:t>
      </w:r>
    </w:p>
    <w:p w14:paraId="2E2A1626">
      <w:pPr>
        <w:spacing w:before="197" w:line="640" w:lineRule="exact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4"/>
          <w:position w:val="23"/>
          <w:sz w:val="32"/>
          <w:szCs w:val="32"/>
        </w:rPr>
        <w:t>(四)普惠金融项下创业担保贷款(原小额担保贷款)</w:t>
      </w:r>
    </w:p>
    <w:p w14:paraId="66991570">
      <w:pPr>
        <w:spacing w:before="1" w:line="220" w:lineRule="auto"/>
        <w:ind w:left="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贴息及补充创业担保贷款基金相关支出。</w:t>
      </w:r>
    </w:p>
    <w:p w14:paraId="42CEA090">
      <w:pPr>
        <w:spacing w:before="237" w:line="591" w:lineRule="exact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position w:val="20"/>
          <w:sz w:val="32"/>
          <w:szCs w:val="32"/>
        </w:rPr>
        <w:t>(五)办公设备及耗材、报刊书籍订阅、走访</w:t>
      </w:r>
      <w:r>
        <w:rPr>
          <w:rFonts w:ascii="仿宋" w:hAnsi="仿宋" w:eastAsia="仿宋" w:cs="仿宋"/>
          <w:spacing w:val="13"/>
          <w:position w:val="20"/>
          <w:sz w:val="32"/>
          <w:szCs w:val="32"/>
        </w:rPr>
        <w:t>慰问等支</w:t>
      </w:r>
    </w:p>
    <w:p w14:paraId="197D1381">
      <w:pPr>
        <w:spacing w:before="1" w:line="222" w:lineRule="auto"/>
        <w:ind w:left="4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2"/>
          <w:sz w:val="32"/>
          <w:szCs w:val="32"/>
        </w:rPr>
        <w:t>出。</w:t>
      </w:r>
    </w:p>
    <w:p w14:paraId="775AC0D2">
      <w:pPr>
        <w:spacing w:before="286" w:line="222" w:lineRule="auto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sz w:val="32"/>
          <w:szCs w:val="32"/>
        </w:rPr>
        <w:t>(六)赛事组织实施经费、奖金等支出。</w:t>
      </w:r>
    </w:p>
    <w:p w14:paraId="4DED6633">
      <w:pPr>
        <w:spacing w:before="243" w:line="222" w:lineRule="auto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(七)按规定应由其他财政资金渠道安排的支出。</w:t>
      </w:r>
    </w:p>
    <w:p w14:paraId="5198C408">
      <w:pPr>
        <w:spacing w:before="225" w:line="222" w:lineRule="auto"/>
        <w:ind w:left="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(八)法律法规禁止的其他支出。</w:t>
      </w:r>
    </w:p>
    <w:p w14:paraId="5CF39600">
      <w:pPr>
        <w:spacing w:before="233" w:line="219" w:lineRule="auto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不得对机关事业单位在编人员发放本办法中的补贴。</w:t>
      </w:r>
    </w:p>
    <w:p w14:paraId="38E168EC">
      <w:pPr>
        <w:spacing w:before="232" w:line="608" w:lineRule="exact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position w:val="21"/>
          <w:sz w:val="32"/>
          <w:szCs w:val="32"/>
        </w:rPr>
        <w:t>个人、单位按照本办法申领获得的补贴资金，具体用途</w:t>
      </w:r>
    </w:p>
    <w:p w14:paraId="369070D4">
      <w:pPr>
        <w:spacing w:before="1" w:line="220" w:lineRule="auto"/>
        <w:ind w:left="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可由申请人或申请单位确定，不受本条规定限制。</w:t>
      </w:r>
    </w:p>
    <w:p w14:paraId="45A4698A">
      <w:pPr>
        <w:pStyle w:val="2"/>
        <w:spacing w:line="300" w:lineRule="auto"/>
      </w:pPr>
    </w:p>
    <w:p w14:paraId="31254AB5">
      <w:pPr>
        <w:pStyle w:val="2"/>
        <w:spacing w:line="300" w:lineRule="auto"/>
      </w:pPr>
    </w:p>
    <w:p w14:paraId="2E605AA8">
      <w:pPr>
        <w:spacing w:before="104" w:line="222" w:lineRule="auto"/>
        <w:ind w:left="24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第三章</w:t>
      </w:r>
      <w:r>
        <w:rPr>
          <w:rFonts w:ascii="黑体" w:hAnsi="黑体" w:eastAsia="黑体" w:cs="黑体"/>
          <w:spacing w:val="2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资金分配与下达</w:t>
      </w:r>
    </w:p>
    <w:p w14:paraId="22AE9EA2">
      <w:pPr>
        <w:spacing w:before="215" w:line="643" w:lineRule="exact"/>
        <w:ind w:left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position w:val="24"/>
          <w:sz w:val="32"/>
          <w:szCs w:val="32"/>
        </w:rPr>
        <w:t>第十七条</w:t>
      </w:r>
      <w:r>
        <w:rPr>
          <w:rFonts w:ascii="仿宋" w:hAnsi="仿宋" w:eastAsia="仿宋" w:cs="仿宋"/>
          <w:spacing w:val="9"/>
          <w:position w:val="24"/>
          <w:sz w:val="32"/>
          <w:szCs w:val="32"/>
        </w:rPr>
        <w:t xml:space="preserve"> 财政部、</w:t>
      </w:r>
      <w:r>
        <w:rPr>
          <w:rFonts w:hint="eastAsia" w:ascii="仿宋" w:hAnsi="仿宋" w:eastAsia="仿宋" w:cs="仿宋"/>
          <w:spacing w:val="9"/>
          <w:position w:val="24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9"/>
          <w:position w:val="24"/>
          <w:sz w:val="32"/>
          <w:szCs w:val="32"/>
        </w:rPr>
        <w:t>部分配中央财政</w:t>
      </w:r>
    </w:p>
    <w:p w14:paraId="18FA0115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就业补助资金，采用因素法与项目法相结合</w:t>
      </w:r>
      <w:r>
        <w:rPr>
          <w:rFonts w:ascii="仿宋" w:hAnsi="仿宋" w:eastAsia="仿宋" w:cs="仿宋"/>
          <w:spacing w:val="3"/>
          <w:sz w:val="32"/>
          <w:szCs w:val="32"/>
        </w:rPr>
        <w:t>的方式。</w:t>
      </w:r>
    </w:p>
    <w:p w14:paraId="5459965D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3" w:type="default"/>
          <w:pgSz w:w="12100" w:h="16980"/>
          <w:pgMar w:top="1443" w:right="1815" w:bottom="755" w:left="1629" w:header="0" w:footer="606" w:gutter="0"/>
          <w:cols w:space="720" w:num="1"/>
        </w:sectPr>
      </w:pPr>
    </w:p>
    <w:p w14:paraId="79FE52F4">
      <w:pPr>
        <w:spacing w:before="126" w:line="358" w:lineRule="auto"/>
        <w:ind w:right="85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因素法分配的资金，根据地区经济社会发展水平及财力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实际状况，在东部地区和中西部地区之间进行划分后，再按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照因素法分配。东部地区与中西部地区具体划分比例根据年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度就业整体形势和就业工作任务等确定。东部地区包括北</w:t>
      </w:r>
    </w:p>
    <w:p w14:paraId="65491444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2"/>
          <w:sz w:val="32"/>
          <w:szCs w:val="32"/>
        </w:rPr>
        <w:t>京、上海、江苏、浙江、福建、山东、广东7省(市)。</w:t>
      </w:r>
    </w:p>
    <w:p w14:paraId="7150E0D1">
      <w:pPr>
        <w:spacing w:before="240" w:line="619" w:lineRule="exact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position w:val="22"/>
          <w:sz w:val="32"/>
          <w:szCs w:val="32"/>
        </w:rPr>
        <w:t>对</w:t>
      </w:r>
      <w:r>
        <w:rPr>
          <w:rFonts w:hint="eastAsia" w:ascii="仿宋" w:hAnsi="仿宋" w:eastAsia="仿宋" w:cs="仿宋"/>
          <w:spacing w:val="3"/>
          <w:position w:val="22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3"/>
          <w:position w:val="22"/>
          <w:sz w:val="32"/>
          <w:szCs w:val="32"/>
        </w:rPr>
        <w:t>部、财政部评选的促进就业工作先</w:t>
      </w:r>
    </w:p>
    <w:p w14:paraId="5A965BDE">
      <w:pPr>
        <w:spacing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进地区，在分配中央财政就业补助资金时予以适当支持。</w:t>
      </w:r>
    </w:p>
    <w:p w14:paraId="352644F5">
      <w:pPr>
        <w:spacing w:before="251" w:line="605" w:lineRule="exact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position w:val="21"/>
          <w:sz w:val="32"/>
          <w:szCs w:val="32"/>
        </w:rPr>
        <w:t>项目法分配的资金采取竞争性评审的方式确定支持对</w:t>
      </w:r>
    </w:p>
    <w:p w14:paraId="047BBAAF"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象。</w:t>
      </w:r>
    </w:p>
    <w:p w14:paraId="24238A92">
      <w:pPr>
        <w:spacing w:before="251" w:line="353" w:lineRule="auto"/>
        <w:ind w:right="108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sz w:val="32"/>
          <w:szCs w:val="32"/>
        </w:rPr>
        <w:t>第十八条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财政部、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9"/>
          <w:sz w:val="32"/>
          <w:szCs w:val="32"/>
        </w:rPr>
        <w:t>部因素法分配的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因素包括基础因素、投入因素、工作成果因素和重点工作因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素四类，并通过绩效调节系数和财力调节系数进行调节。其</w:t>
      </w:r>
    </w:p>
    <w:p w14:paraId="7466D549">
      <w:pPr>
        <w:spacing w:line="220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0"/>
          <w:sz w:val="32"/>
          <w:szCs w:val="32"/>
        </w:rPr>
        <w:t>中：</w:t>
      </w:r>
    </w:p>
    <w:p w14:paraId="21C318F2">
      <w:pPr>
        <w:spacing w:before="285" w:line="606" w:lineRule="exact"/>
        <w:ind w:left="8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1"/>
          <w:position w:val="21"/>
          <w:sz w:val="32"/>
          <w:szCs w:val="32"/>
        </w:rPr>
        <w:t>(一)基础因素权重为35%,设置劳动力人口等指标，</w:t>
      </w:r>
    </w:p>
    <w:p w14:paraId="0417158E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重点考虑就业工作任务量。</w:t>
      </w:r>
    </w:p>
    <w:p w14:paraId="12F37CB7">
      <w:pPr>
        <w:spacing w:before="252" w:line="357" w:lineRule="auto"/>
        <w:ind w:right="47" w:firstLine="8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6"/>
          <w:sz w:val="32"/>
          <w:szCs w:val="32"/>
        </w:rPr>
        <w:t>(二)投入因素权重为15%,设置地方政府就业补助资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金的安排使用等指标，重点考虑地方投入力度和预算执行情</w:t>
      </w:r>
    </w:p>
    <w:p w14:paraId="63633B7D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况，引导地方加大投入，加快预算执行。</w:t>
      </w:r>
    </w:p>
    <w:p w14:paraId="09EDA14B">
      <w:pPr>
        <w:spacing w:before="236" w:line="620" w:lineRule="exact"/>
        <w:ind w:right="91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4"/>
          <w:position w:val="22"/>
          <w:sz w:val="32"/>
          <w:szCs w:val="32"/>
        </w:rPr>
        <w:t>(三)工作成果因素权重为15%,设置城镇新增就业情</w:t>
      </w:r>
    </w:p>
    <w:p w14:paraId="7C61FA23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况等指标，重点考虑就业工作成果完成情况。</w:t>
      </w:r>
    </w:p>
    <w:p w14:paraId="79DB0D02">
      <w:pPr>
        <w:spacing w:before="238" w:line="604" w:lineRule="exact"/>
        <w:ind w:right="8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4"/>
          <w:position w:val="21"/>
          <w:sz w:val="32"/>
          <w:szCs w:val="32"/>
        </w:rPr>
        <w:t>(四)重点工作因素权重为35%,根据当年度就业工作</w:t>
      </w:r>
    </w:p>
    <w:p w14:paraId="37772C97"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重点任务设置具体指标。</w:t>
      </w:r>
    </w:p>
    <w:p w14:paraId="16C652B5">
      <w:pPr>
        <w:spacing w:before="231" w:line="22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每年分配资金选择的因素、权重、方式及增减幅上下限，</w:t>
      </w:r>
    </w:p>
    <w:p w14:paraId="3F4DD490"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4" w:type="default"/>
          <w:pgSz w:w="11900" w:h="16840"/>
          <w:pgMar w:top="1431" w:right="1578" w:bottom="752" w:left="1780" w:header="0" w:footer="593" w:gutter="0"/>
          <w:cols w:space="720" w:num="1"/>
        </w:sectPr>
      </w:pPr>
    </w:p>
    <w:p w14:paraId="419355E5">
      <w:pPr>
        <w:spacing w:before="95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可根据年度就业整体形势和工作任务重点适当</w:t>
      </w:r>
      <w:r>
        <w:rPr>
          <w:rFonts w:ascii="仿宋" w:hAnsi="仿宋" w:eastAsia="仿宋" w:cs="仿宋"/>
          <w:spacing w:val="3"/>
          <w:sz w:val="32"/>
          <w:szCs w:val="32"/>
        </w:rPr>
        <w:t>调整。</w:t>
      </w:r>
    </w:p>
    <w:p w14:paraId="15491DC8">
      <w:pPr>
        <w:spacing w:before="220" w:line="642" w:lineRule="exact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0"/>
          <w:position w:val="24"/>
          <w:sz w:val="32"/>
          <w:szCs w:val="32"/>
        </w:rPr>
        <w:t>绩效调节系数和财力调节系数分别通过绩效评价结果</w:t>
      </w:r>
    </w:p>
    <w:p w14:paraId="25A12BBC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和财政困难程度系数确定。</w:t>
      </w:r>
    </w:p>
    <w:p w14:paraId="60FE898E">
      <w:pPr>
        <w:spacing w:before="222" w:line="623" w:lineRule="exact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position w:val="22"/>
          <w:sz w:val="32"/>
          <w:szCs w:val="32"/>
        </w:rPr>
        <w:t>地方财政、</w:t>
      </w:r>
      <w:r>
        <w:rPr>
          <w:rFonts w:hint="eastAsia" w:ascii="仿宋" w:hAnsi="仿宋" w:eastAsia="仿宋" w:cs="仿宋"/>
          <w:spacing w:val="6"/>
          <w:position w:val="22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6"/>
          <w:position w:val="22"/>
          <w:sz w:val="32"/>
          <w:szCs w:val="32"/>
        </w:rPr>
        <w:t>部门可结合实际确定具体</w:t>
      </w:r>
    </w:p>
    <w:p w14:paraId="7B447522"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分配方式。</w:t>
      </w:r>
    </w:p>
    <w:p w14:paraId="363D191D">
      <w:pPr>
        <w:spacing w:before="225" w:line="358" w:lineRule="auto"/>
        <w:ind w:right="32"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sz w:val="32"/>
          <w:szCs w:val="32"/>
        </w:rPr>
        <w:t>第十九条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在因素法分配中央财政就业补助资金时，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人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力资源社会保障部负责会同有关部门提供资金测算需要的 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与就业相关的基础数据、绩效评价结果和资金分配建议。财 政部负责收集汇总资金结转结余、预算执行、财政困难程度 </w:t>
      </w:r>
      <w:r>
        <w:rPr>
          <w:rFonts w:ascii="仿宋" w:hAnsi="仿宋" w:eastAsia="仿宋" w:cs="仿宋"/>
          <w:spacing w:val="5"/>
          <w:sz w:val="32"/>
          <w:szCs w:val="32"/>
        </w:rPr>
        <w:t>系数等业务相关数据。地方各级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5"/>
          <w:sz w:val="32"/>
          <w:szCs w:val="32"/>
        </w:rPr>
        <w:t>、财政部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4"/>
          <w:sz w:val="32"/>
          <w:szCs w:val="32"/>
        </w:rPr>
        <w:t>门向上级单位报送分配资金相关基础数据时，要明确分工、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1"/>
          <w:sz w:val="32"/>
          <w:szCs w:val="32"/>
        </w:rPr>
        <w:t>压实责任，加强审核把关。各单位按照“谁提供、谁负责”</w:t>
      </w:r>
    </w:p>
    <w:p w14:paraId="1B566745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的原则，对所提供数据的准确性、完整性、及时性负责。</w:t>
      </w:r>
    </w:p>
    <w:p w14:paraId="239A16B5">
      <w:pPr>
        <w:spacing w:before="265" w:line="353" w:lineRule="auto"/>
        <w:ind w:right="143"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2"/>
          <w:sz w:val="32"/>
          <w:szCs w:val="32"/>
        </w:rPr>
        <w:t>第二十条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地方可对公共就业服务能力建设补助资金中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的高技能人才培养补助资金，实行项目管理，各地人力资源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社会保障部门应编制高技能人才培养中长期规划，确定本地</w:t>
      </w:r>
    </w:p>
    <w:p w14:paraId="7F1D7FFF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区支持的高技能人才重点领域。</w:t>
      </w:r>
    </w:p>
    <w:p w14:paraId="3E697F44">
      <w:pPr>
        <w:spacing w:before="266" w:line="352" w:lineRule="auto"/>
        <w:ind w:right="115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0"/>
          <w:sz w:val="32"/>
          <w:szCs w:val="32"/>
        </w:rPr>
        <w:t>各省级</w:t>
      </w:r>
      <w:r>
        <w:rPr>
          <w:rFonts w:hint="eastAsia" w:ascii="仿宋" w:hAnsi="仿宋" w:eastAsia="仿宋" w:cs="仿宋"/>
          <w:spacing w:val="20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20"/>
          <w:sz w:val="32"/>
          <w:szCs w:val="32"/>
        </w:rPr>
        <w:t>部门每年需会同财政部门组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织专家对地方申报的国家级高技能人才培养项目进行评审，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评审结果需报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部、财政部备案，省级财政 </w:t>
      </w:r>
      <w:r>
        <w:rPr>
          <w:rFonts w:ascii="仿宋" w:hAnsi="仿宋" w:eastAsia="仿宋" w:cs="仿宋"/>
          <w:spacing w:val="21"/>
          <w:sz w:val="32"/>
          <w:szCs w:val="32"/>
        </w:rPr>
        <w:t>部门会同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21"/>
          <w:sz w:val="32"/>
          <w:szCs w:val="32"/>
        </w:rPr>
        <w:t>部门根据备案结果给予分类分</w:t>
      </w:r>
    </w:p>
    <w:p w14:paraId="1858E4C5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档补助。</w:t>
      </w:r>
    </w:p>
    <w:p w14:paraId="7C868BD5">
      <w:pPr>
        <w:spacing w:before="282" w:line="221" w:lineRule="auto"/>
        <w:ind w:left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sz w:val="32"/>
          <w:szCs w:val="32"/>
        </w:rPr>
        <w:t>第二十一条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财政部会同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9"/>
          <w:sz w:val="32"/>
          <w:szCs w:val="32"/>
        </w:rPr>
        <w:t>部于每年10</w:t>
      </w:r>
    </w:p>
    <w:p w14:paraId="1A8549D0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5" w:type="default"/>
          <w:pgSz w:w="11900" w:h="16840"/>
          <w:pgMar w:top="1431" w:right="1785" w:bottom="789" w:left="1460" w:header="0" w:footer="620" w:gutter="0"/>
          <w:cols w:space="720" w:num="1"/>
        </w:sectPr>
      </w:pPr>
    </w:p>
    <w:p w14:paraId="67B7B7C8">
      <w:pPr>
        <w:spacing w:before="122" w:line="357" w:lineRule="auto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月31日前将下一年度中央财政就业补助资金预计数下达至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各省级财政、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5"/>
          <w:sz w:val="32"/>
          <w:szCs w:val="32"/>
        </w:rPr>
        <w:t>部门，抄送财政部各地监管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局；每年在全国人民代表大会审查批准中央预算后30日内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正式下达中央财政就业补助资金预算。各省级财政、人力资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源社会保障部门应在收到中央财政就业补助资金预算后30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日内，正式下达到市、县级财政部门和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2"/>
          <w:sz w:val="32"/>
          <w:szCs w:val="32"/>
        </w:rPr>
        <w:t>部</w:t>
      </w:r>
    </w:p>
    <w:p w14:paraId="0257A9D0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门，并将资金分配情况抄送财政部当地监管局。</w:t>
      </w:r>
    </w:p>
    <w:p w14:paraId="0223C770">
      <w:pPr>
        <w:spacing w:before="225" w:line="352" w:lineRule="auto"/>
        <w:ind w:right="38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地方各级财政、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5"/>
          <w:sz w:val="32"/>
          <w:szCs w:val="32"/>
        </w:rPr>
        <w:t>部门在收到中央财政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转移支付预算时，应核对无误后再下达。如发现问题，应立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即向上级财政、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4"/>
          <w:sz w:val="32"/>
          <w:szCs w:val="32"/>
        </w:rPr>
        <w:t>部门报告。地方不得擅自</w:t>
      </w:r>
    </w:p>
    <w:p w14:paraId="41B341DA">
      <w:pPr>
        <w:spacing w:before="1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分配处置存疑的转移支付资金。</w:t>
      </w:r>
    </w:p>
    <w:p w14:paraId="11C9A548">
      <w:pPr>
        <w:spacing w:before="273" w:line="353" w:lineRule="auto"/>
        <w:ind w:right="6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地方各级财政、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6"/>
          <w:sz w:val="32"/>
          <w:szCs w:val="32"/>
        </w:rPr>
        <w:t>部门应对其使用的就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业补助资金提出明确的资金管理要求，及时组织实施各项就</w:t>
      </w:r>
    </w:p>
    <w:p w14:paraId="36F8694F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业创业政策。</w:t>
      </w:r>
    </w:p>
    <w:p w14:paraId="648302D9">
      <w:pPr>
        <w:spacing w:before="283" w:line="352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sz w:val="32"/>
          <w:szCs w:val="32"/>
        </w:rPr>
        <w:t>第二十二条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各级</w:t>
      </w:r>
      <w:r>
        <w:rPr>
          <w:rFonts w:hint="eastAsia" w:ascii="仿宋" w:hAnsi="仿宋" w:eastAsia="仿宋" w:cs="仿宋"/>
          <w:spacing w:val="11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1"/>
          <w:sz w:val="32"/>
          <w:szCs w:val="32"/>
        </w:rPr>
        <w:t>、财政部门应对就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业补助资金全面实施预算绩效管理，按照财政部关于转移支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付预算绩效目标管理的规定，做好绩效目标的设定、审核、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下达工作；建立全过程预算绩效管理链条，</w:t>
      </w:r>
      <w:r>
        <w:rPr>
          <w:rFonts w:ascii="仿宋" w:hAnsi="仿宋" w:eastAsia="仿宋" w:cs="仿宋"/>
          <w:spacing w:val="4"/>
          <w:sz w:val="32"/>
          <w:szCs w:val="32"/>
        </w:rPr>
        <w:t>强化绩效目标管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理，做好绩效运行监控和绩效评价；加强绩效结果应用，加</w:t>
      </w:r>
    </w:p>
    <w:p w14:paraId="40995C8F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大绩效信息公开力度，提高资金配置效率和使用效益。</w:t>
      </w:r>
    </w:p>
    <w:p w14:paraId="0AB3BD28">
      <w:pPr>
        <w:pStyle w:val="2"/>
        <w:spacing w:line="257" w:lineRule="auto"/>
      </w:pPr>
    </w:p>
    <w:p w14:paraId="2997C4CE">
      <w:pPr>
        <w:pStyle w:val="2"/>
        <w:spacing w:line="258" w:lineRule="auto"/>
      </w:pPr>
    </w:p>
    <w:p w14:paraId="5DCE81FF">
      <w:pPr>
        <w:pStyle w:val="2"/>
        <w:spacing w:line="258" w:lineRule="auto"/>
      </w:pPr>
    </w:p>
    <w:p w14:paraId="5A39EE9B">
      <w:pPr>
        <w:spacing w:before="104" w:line="221" w:lineRule="auto"/>
        <w:ind w:left="24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"/>
          <w:sz w:val="32"/>
          <w:szCs w:val="32"/>
        </w:rPr>
        <w:t>第四章</w:t>
      </w:r>
      <w:r>
        <w:rPr>
          <w:rFonts w:ascii="黑体" w:hAnsi="黑体" w:eastAsia="黑体" w:cs="黑体"/>
          <w:spacing w:val="160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1"/>
          <w:sz w:val="32"/>
          <w:szCs w:val="32"/>
        </w:rPr>
        <w:t>资金管理与监督</w:t>
      </w:r>
    </w:p>
    <w:p w14:paraId="34C45A68">
      <w:pPr>
        <w:spacing w:before="258" w:line="219" w:lineRule="auto"/>
        <w:ind w:right="4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0"/>
          <w:sz w:val="32"/>
          <w:szCs w:val="32"/>
        </w:rPr>
        <w:t>第二十三条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地方各级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0"/>
          <w:sz w:val="32"/>
          <w:szCs w:val="32"/>
        </w:rPr>
        <w:t>部门要在坚持</w:t>
      </w:r>
    </w:p>
    <w:p w14:paraId="37E14198">
      <w:pPr>
        <w:spacing w:line="219" w:lineRule="auto"/>
        <w:rPr>
          <w:rFonts w:ascii="仿宋" w:hAnsi="仿宋" w:eastAsia="仿宋" w:cs="仿宋"/>
          <w:sz w:val="32"/>
          <w:szCs w:val="32"/>
        </w:rPr>
        <w:sectPr>
          <w:footerReference r:id="rId16" w:type="default"/>
          <w:pgSz w:w="11900" w:h="16840"/>
          <w:pgMar w:top="1431" w:right="1726" w:bottom="785" w:left="1680" w:header="0" w:footer="636" w:gutter="0"/>
          <w:cols w:space="720" w:num="1"/>
        </w:sectPr>
      </w:pPr>
    </w:p>
    <w:p w14:paraId="3FBA5338">
      <w:pPr>
        <w:spacing w:before="121" w:line="360" w:lineRule="auto"/>
        <w:ind w:right="18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转变政府职能、提高行政效能的基础上，梳理</w:t>
      </w:r>
      <w:r>
        <w:rPr>
          <w:rFonts w:ascii="仿宋" w:hAnsi="仿宋" w:eastAsia="仿宋" w:cs="仿宋"/>
          <w:spacing w:val="5"/>
          <w:sz w:val="32"/>
          <w:szCs w:val="32"/>
        </w:rPr>
        <w:t>并公开本地区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就业补贴政策清单，明确申请材料、申领流程、经办渠道、</w:t>
      </w:r>
    </w:p>
    <w:p w14:paraId="4FD541C5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办理时限。</w:t>
      </w:r>
    </w:p>
    <w:p w14:paraId="0B0621FB">
      <w:pPr>
        <w:spacing w:before="208" w:line="358" w:lineRule="auto"/>
        <w:ind w:right="141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地方各级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6"/>
          <w:sz w:val="32"/>
          <w:szCs w:val="32"/>
        </w:rPr>
        <w:t>、财政部门应及时受理各类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单位和个人的申请，尽快完成材料审核和资金拨付等工作，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并定期对账。做好就业补助资金使用管理的</w:t>
      </w:r>
      <w:r>
        <w:rPr>
          <w:rFonts w:ascii="仿宋" w:hAnsi="仿宋" w:eastAsia="仿宋" w:cs="仿宋"/>
          <w:spacing w:val="6"/>
          <w:sz w:val="32"/>
          <w:szCs w:val="32"/>
        </w:rPr>
        <w:t>基础工作，加强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0"/>
          <w:sz w:val="32"/>
          <w:szCs w:val="32"/>
        </w:rPr>
        <w:t>事中事后监管，有效甄别享受补贴政策人员和单位</w:t>
      </w:r>
      <w:r>
        <w:rPr>
          <w:rFonts w:ascii="仿宋" w:hAnsi="仿宋" w:eastAsia="仿宋" w:cs="仿宋"/>
          <w:spacing w:val="19"/>
          <w:sz w:val="32"/>
          <w:szCs w:val="32"/>
        </w:rPr>
        <w:t>的真实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性，防范出现造假行为，对补贴金额大、人数多、期限</w:t>
      </w:r>
      <w:r>
        <w:rPr>
          <w:rFonts w:ascii="仿宋" w:hAnsi="仿宋" w:eastAsia="仿宋" w:cs="仿宋"/>
          <w:spacing w:val="6"/>
          <w:sz w:val="32"/>
          <w:szCs w:val="32"/>
        </w:rPr>
        <w:t>长的</w:t>
      </w:r>
    </w:p>
    <w:p w14:paraId="1CAB5BC8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补贴对象加强核查抽查，防范出现造假行为。</w:t>
      </w:r>
    </w:p>
    <w:p w14:paraId="048054E7">
      <w:pPr>
        <w:spacing w:before="249" w:line="358" w:lineRule="auto"/>
        <w:ind w:right="123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地方各级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7"/>
          <w:sz w:val="32"/>
          <w:szCs w:val="32"/>
        </w:rPr>
        <w:t>、财政部门应按规定加强信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息化建设，依托全省集中的就业信息平台，将补贴申请、受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理、审核、拨付纳入系统管理。对能依托信息系统或与相关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单位信息共享、业务协同获得的信息和资料，不再要求提供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纸质材料，对面向个人的补贴，具备条件的可通过社会保障</w:t>
      </w:r>
    </w:p>
    <w:p w14:paraId="50AAF876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卡发放。</w:t>
      </w:r>
    </w:p>
    <w:p w14:paraId="61E8AA40">
      <w:pPr>
        <w:spacing w:before="261" w:line="352" w:lineRule="auto"/>
        <w:ind w:right="82"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sz w:val="32"/>
          <w:szCs w:val="32"/>
        </w:rPr>
        <w:t>第二十四条</w:t>
      </w:r>
      <w:r>
        <w:rPr>
          <w:rFonts w:ascii="仿宋" w:hAnsi="仿宋" w:eastAsia="仿宋" w:cs="仿宋"/>
          <w:spacing w:val="10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中央财政就业补助资金按规定直达市县基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层，严格按照国库集中支付管理制度相关规定支付。资金使 用过程中，涉及政府采购的，应按照政府采购有关法律法规</w:t>
      </w:r>
    </w:p>
    <w:p w14:paraId="0A4C3A24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及制度执行。</w:t>
      </w:r>
    </w:p>
    <w:p w14:paraId="38B9546D">
      <w:pPr>
        <w:spacing w:before="248" w:line="362" w:lineRule="auto"/>
        <w:ind w:right="122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1"/>
          <w:sz w:val="32"/>
          <w:szCs w:val="32"/>
        </w:rPr>
        <w:t>各级财政、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21"/>
          <w:sz w:val="32"/>
          <w:szCs w:val="32"/>
        </w:rPr>
        <w:t>部门应加快预算执行进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度，及时拨付到位，盘活存量资金，提高资金使用效益，结</w:t>
      </w:r>
    </w:p>
    <w:p w14:paraId="26FA441F">
      <w:pPr>
        <w:spacing w:before="2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转结余资金管理按照财政部有关规定执行。</w:t>
      </w:r>
    </w:p>
    <w:p w14:paraId="5E0DAE32">
      <w:pPr>
        <w:spacing w:before="252" w:line="221" w:lineRule="auto"/>
        <w:ind w:left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3"/>
          <w:sz w:val="32"/>
          <w:szCs w:val="32"/>
        </w:rPr>
        <w:t>第二十五条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地方各级财政、</w:t>
      </w:r>
      <w:r>
        <w:rPr>
          <w:rFonts w:hint="eastAsia" w:ascii="仿宋" w:hAnsi="仿宋" w:eastAsia="仿宋" w:cs="仿宋"/>
          <w:spacing w:val="13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3"/>
          <w:sz w:val="32"/>
          <w:szCs w:val="32"/>
        </w:rPr>
        <w:t>部门应</w:t>
      </w:r>
    </w:p>
    <w:p w14:paraId="05F9A50C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7" w:type="default"/>
          <w:pgSz w:w="11900" w:h="16840"/>
          <w:pgMar w:top="1431" w:right="1785" w:bottom="755" w:left="1460" w:header="0" w:footer="606" w:gutter="0"/>
          <w:cols w:space="720" w:num="1"/>
        </w:sectPr>
      </w:pPr>
    </w:p>
    <w:p w14:paraId="3009D9C9">
      <w:pPr>
        <w:spacing w:before="107" w:line="364" w:lineRule="auto"/>
        <w:ind w:left="24" w:right="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建立健全财务管理规章制度，强化内部财务管理，严格按照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财务管理规定，落实岗位设置权限分设和权限不相容要求，</w:t>
      </w:r>
    </w:p>
    <w:p w14:paraId="788ADFA1">
      <w:pPr>
        <w:spacing w:line="222" w:lineRule="auto"/>
        <w:ind w:left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优化业务流程，加强内部风险防控。</w:t>
      </w:r>
    </w:p>
    <w:p w14:paraId="71B3F1AF">
      <w:pPr>
        <w:spacing w:before="230" w:line="352" w:lineRule="auto"/>
        <w:ind w:left="24" w:right="12" w:firstLine="7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0"/>
          <w:sz w:val="32"/>
          <w:szCs w:val="32"/>
        </w:rPr>
        <w:t>第二十六条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各级财政、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0"/>
          <w:sz w:val="32"/>
          <w:szCs w:val="32"/>
        </w:rPr>
        <w:t>部门应将就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业补助资金管理使用情况列入重点监督检查范围，主动开展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自查、互查、交叉检查或委托开展第三方检</w:t>
      </w:r>
      <w:r>
        <w:rPr>
          <w:rFonts w:ascii="仿宋" w:hAnsi="仿宋" w:eastAsia="仿宋" w:cs="仿宋"/>
          <w:spacing w:val="5"/>
          <w:sz w:val="32"/>
          <w:szCs w:val="32"/>
        </w:rPr>
        <w:t>查，自觉接受审</w:t>
      </w:r>
    </w:p>
    <w:p w14:paraId="532F4497">
      <w:pPr>
        <w:spacing w:line="220" w:lineRule="auto"/>
        <w:ind w:left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计等部门的检查和社会监督。</w:t>
      </w:r>
    </w:p>
    <w:p w14:paraId="5C1F70DC">
      <w:pPr>
        <w:spacing w:before="279" w:line="347" w:lineRule="auto"/>
        <w:ind w:left="24" w:right="26" w:firstLine="7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sz w:val="32"/>
          <w:szCs w:val="32"/>
        </w:rPr>
        <w:t>第二十七条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地方各级财政、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9"/>
          <w:sz w:val="32"/>
          <w:szCs w:val="32"/>
        </w:rPr>
        <w:t>部门应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按照财政预决算管理的总体要求，做好年度预决算工作，并</w:t>
      </w:r>
    </w:p>
    <w:p w14:paraId="7DB4FE93">
      <w:pPr>
        <w:spacing w:line="222" w:lineRule="auto"/>
        <w:ind w:left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按要求向社会公开。</w:t>
      </w:r>
    </w:p>
    <w:p w14:paraId="03234DE2">
      <w:pPr>
        <w:spacing w:before="248" w:line="359" w:lineRule="auto"/>
        <w:ind w:left="24" w:right="20" w:firstLine="7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0"/>
          <w:sz w:val="32"/>
          <w:szCs w:val="32"/>
        </w:rPr>
        <w:t>第二十八条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各级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0"/>
          <w:sz w:val="32"/>
          <w:szCs w:val="32"/>
        </w:rPr>
        <w:t>、财政部门</w:t>
      </w:r>
      <w:r>
        <w:rPr>
          <w:rFonts w:ascii="仿宋" w:hAnsi="仿宋" w:eastAsia="仿宋" w:cs="仿宋"/>
          <w:spacing w:val="9"/>
          <w:sz w:val="32"/>
          <w:szCs w:val="32"/>
        </w:rPr>
        <w:t>应做好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信息公开工作，通过当地媒体、部门网站等向社会公开年度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就业工作总体目标、工作任务完成、各项补贴资金的使用等</w:t>
      </w:r>
    </w:p>
    <w:p w14:paraId="7D89A7AF">
      <w:pPr>
        <w:spacing w:line="222" w:lineRule="auto"/>
        <w:ind w:left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情况。</w:t>
      </w:r>
    </w:p>
    <w:p w14:paraId="5AF7F72F">
      <w:pPr>
        <w:spacing w:before="255" w:line="357" w:lineRule="auto"/>
        <w:ind w:left="24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各项补贴资金的使用情况公开内容包括：享受各项补贴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的单位名称或人员名单(含隐藏部分位数的身份证号码)、 </w:t>
      </w:r>
      <w:r>
        <w:rPr>
          <w:rFonts w:ascii="仿宋" w:hAnsi="仿宋" w:eastAsia="仿宋" w:cs="仿宋"/>
          <w:spacing w:val="5"/>
          <w:sz w:val="32"/>
          <w:szCs w:val="32"/>
        </w:rPr>
        <w:t>补贴标准及具体金额等。其中，公益性岗位补贴还应公开公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益性岗位名称、设立单位、安置人员名单、享受补贴时间等；</w:t>
      </w:r>
    </w:p>
    <w:p w14:paraId="5C67D702">
      <w:pPr>
        <w:spacing w:line="219" w:lineRule="auto"/>
        <w:ind w:left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一次性求职补贴应在发放前在校内公示。</w:t>
      </w:r>
    </w:p>
    <w:p w14:paraId="3C542A84">
      <w:pPr>
        <w:spacing w:before="264" w:line="352" w:lineRule="auto"/>
        <w:ind w:left="24" w:right="58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各级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4"/>
          <w:sz w:val="32"/>
          <w:szCs w:val="32"/>
        </w:rPr>
        <w:t>、财政部门应严格遵守国家有关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个人信息保护的法规制度，既保证资金使用公开透明，又避</w:t>
      </w:r>
    </w:p>
    <w:p w14:paraId="46FF3217">
      <w:pPr>
        <w:spacing w:before="1" w:line="221" w:lineRule="auto"/>
        <w:ind w:left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免个人敏感信息泄露。</w:t>
      </w:r>
    </w:p>
    <w:p w14:paraId="42D9411C">
      <w:pPr>
        <w:spacing w:before="262" w:line="221" w:lineRule="auto"/>
        <w:ind w:left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0"/>
          <w:sz w:val="32"/>
          <w:szCs w:val="32"/>
        </w:rPr>
        <w:t>第二十九条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各级财政、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0"/>
          <w:sz w:val="32"/>
          <w:szCs w:val="32"/>
        </w:rPr>
        <w:t>部门应建立</w:t>
      </w:r>
    </w:p>
    <w:p w14:paraId="3E096C47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8" w:type="default"/>
          <w:pgSz w:w="11900" w:h="16840"/>
          <w:pgMar w:top="1431" w:right="1570" w:bottom="755" w:left="1785" w:header="0" w:footer="606" w:gutter="0"/>
          <w:cols w:space="720" w:num="1"/>
        </w:sectPr>
      </w:pPr>
    </w:p>
    <w:p w14:paraId="595F34DD">
      <w:pPr>
        <w:spacing w:before="175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就业补助资金“谁使用、谁负责”的责任追究机制。</w:t>
      </w:r>
    </w:p>
    <w:p w14:paraId="7330F595">
      <w:pPr>
        <w:spacing w:before="198" w:line="364" w:lineRule="auto"/>
        <w:ind w:right="88" w:firstLine="66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各级财政、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5"/>
          <w:sz w:val="32"/>
          <w:szCs w:val="32"/>
        </w:rPr>
        <w:t>部门及其工作人员在就业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补助资金的分配审核、使用管理等工作中，存</w:t>
      </w:r>
      <w:r>
        <w:rPr>
          <w:rFonts w:ascii="仿宋" w:hAnsi="仿宋" w:eastAsia="仿宋" w:cs="仿宋"/>
          <w:spacing w:val="5"/>
          <w:sz w:val="32"/>
          <w:szCs w:val="32"/>
        </w:rPr>
        <w:t>在违反本办法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规定的行为，以及其他滥用职权、玩忽职守、徇私</w:t>
      </w:r>
      <w:r>
        <w:rPr>
          <w:rFonts w:ascii="仿宋" w:hAnsi="仿宋" w:eastAsia="仿宋" w:cs="仿宋"/>
          <w:spacing w:val="5"/>
          <w:sz w:val="32"/>
          <w:szCs w:val="32"/>
        </w:rPr>
        <w:t>舞弊等违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法违规行为的，依法追究相应责任。涉嫌犯罪的，依法移送</w:t>
      </w:r>
    </w:p>
    <w:p w14:paraId="2A87FA4B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有关机关处理。</w:t>
      </w:r>
    </w:p>
    <w:p w14:paraId="6A55BB54">
      <w:pPr>
        <w:spacing w:before="201" w:line="364" w:lineRule="auto"/>
        <w:ind w:right="53" w:firstLine="66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对疏于管理、违规使用资金的地方，中央财政将相应扣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减其下一年度中央财政就业补助资金；情节严重的，取消其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下一年度获得中央财政就业补助资金的资格，并在全国范围</w:t>
      </w:r>
    </w:p>
    <w:p w14:paraId="6FFEFDE8"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内予以通报。</w:t>
      </w:r>
    </w:p>
    <w:p w14:paraId="001D11FF">
      <w:pPr>
        <w:pStyle w:val="2"/>
        <w:spacing w:line="281" w:lineRule="auto"/>
      </w:pPr>
    </w:p>
    <w:p w14:paraId="499619BD">
      <w:pPr>
        <w:pStyle w:val="2"/>
        <w:spacing w:line="282" w:lineRule="auto"/>
      </w:pPr>
    </w:p>
    <w:p w14:paraId="247B2758">
      <w:pPr>
        <w:spacing w:before="104" w:line="222" w:lineRule="auto"/>
        <w:ind w:left="31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第五章</w:t>
      </w:r>
      <w:r>
        <w:rPr>
          <w:rFonts w:ascii="黑体" w:hAnsi="黑体" w:eastAsia="黑体" w:cs="黑体"/>
          <w:spacing w:val="-10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附</w:t>
      </w:r>
      <w:r>
        <w:rPr>
          <w:rFonts w:ascii="黑体" w:hAnsi="黑体" w:eastAsia="黑体" w:cs="黑体"/>
          <w:spacing w:val="16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则</w:t>
      </w:r>
    </w:p>
    <w:p w14:paraId="7E6FE87B">
      <w:pPr>
        <w:spacing w:before="234" w:line="645" w:lineRule="exact"/>
        <w:ind w:right="8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11"/>
          <w:position w:val="24"/>
          <w:sz w:val="32"/>
          <w:szCs w:val="32"/>
        </w:rPr>
        <w:t>第三十条</w:t>
      </w:r>
      <w:r>
        <w:rPr>
          <w:rFonts w:ascii="仿宋" w:hAnsi="仿宋" w:eastAsia="仿宋" w:cs="仿宋"/>
          <w:spacing w:val="11"/>
          <w:position w:val="24"/>
          <w:sz w:val="32"/>
          <w:szCs w:val="32"/>
        </w:rPr>
        <w:t xml:space="preserve"> 本办法由财政部、</w:t>
      </w:r>
      <w:r>
        <w:rPr>
          <w:rFonts w:hint="eastAsia" w:ascii="仿宋" w:hAnsi="仿宋" w:eastAsia="仿宋" w:cs="仿宋"/>
          <w:spacing w:val="11"/>
          <w:position w:val="24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1"/>
          <w:position w:val="24"/>
          <w:sz w:val="32"/>
          <w:szCs w:val="32"/>
        </w:rPr>
        <w:t>部负责</w:t>
      </w:r>
    </w:p>
    <w:p w14:paraId="401E8C5A"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解释。</w:t>
      </w:r>
    </w:p>
    <w:p w14:paraId="1E0CCD73">
      <w:pPr>
        <w:spacing w:before="221" w:line="354" w:lineRule="auto"/>
        <w:ind w:right="83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9"/>
          <w:sz w:val="32"/>
          <w:szCs w:val="32"/>
        </w:rPr>
        <w:t>省级财政、</w:t>
      </w:r>
      <w:r>
        <w:rPr>
          <w:rFonts w:hint="eastAsia" w:ascii="仿宋" w:hAnsi="仿宋" w:eastAsia="仿宋" w:cs="仿宋"/>
          <w:spacing w:val="19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9"/>
          <w:sz w:val="32"/>
          <w:szCs w:val="32"/>
        </w:rPr>
        <w:t>部门应根据各地实际情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况，依照本办法制定就业补助资金管理和使用的具体实施办</w:t>
      </w:r>
    </w:p>
    <w:p w14:paraId="516932D1">
      <w:pPr>
        <w:spacing w:line="223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5"/>
          <w:sz w:val="32"/>
          <w:szCs w:val="32"/>
        </w:rPr>
        <w:t>法。</w:t>
      </w:r>
    </w:p>
    <w:p w14:paraId="69F3AAEC">
      <w:pPr>
        <w:spacing w:before="262" w:line="353" w:lineRule="auto"/>
        <w:ind w:right="72"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9"/>
          <w:sz w:val="32"/>
          <w:szCs w:val="32"/>
        </w:rPr>
        <w:t>第三十一条</w:t>
      </w:r>
      <w:r>
        <w:rPr>
          <w:rFonts w:ascii="仿宋" w:hAnsi="仿宋" w:eastAsia="仿宋" w:cs="仿宋"/>
          <w:spacing w:val="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中央财政就业补助资金相关支出实施期限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至2025年。到期前，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人力资源和社会保障</w:t>
      </w:r>
      <w:r>
        <w:rPr>
          <w:rFonts w:ascii="仿宋" w:hAnsi="仿宋" w:eastAsia="仿宋" w:cs="仿宋"/>
          <w:spacing w:val="17"/>
          <w:sz w:val="32"/>
          <w:szCs w:val="32"/>
        </w:rPr>
        <w:t>部会同财政部根据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有关法律、行政法规和国务院相关规定及工作需要</w:t>
      </w:r>
      <w:r>
        <w:rPr>
          <w:rFonts w:ascii="仿宋" w:hAnsi="仿宋" w:eastAsia="仿宋" w:cs="仿宋"/>
          <w:spacing w:val="5"/>
          <w:sz w:val="32"/>
          <w:szCs w:val="32"/>
        </w:rPr>
        <w:t>，组织开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展绩效评估，根据评估结果确定是否延续补助政策及延续期</w:t>
      </w:r>
    </w:p>
    <w:p w14:paraId="53909820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限。</w:t>
      </w:r>
    </w:p>
    <w:p w14:paraId="7AE5AAB2">
      <w:pPr>
        <w:spacing w:before="271" w:line="220" w:lineRule="auto"/>
        <w:ind w:left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3"/>
          <w:sz w:val="32"/>
          <w:szCs w:val="32"/>
        </w:rPr>
        <w:t>第三十二条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本办法自发布之日起施行。  《</w:t>
      </w:r>
      <w:r>
        <w:rPr>
          <w:rFonts w:ascii="仿宋" w:hAnsi="仿宋" w:eastAsia="仿宋" w:cs="仿宋"/>
          <w:spacing w:val="-4"/>
          <w:sz w:val="32"/>
          <w:szCs w:val="32"/>
        </w:rPr>
        <w:t>财政部人力</w:t>
      </w:r>
    </w:p>
    <w:p w14:paraId="7F35CD22"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9" w:type="default"/>
          <w:pgSz w:w="11900" w:h="16840"/>
          <w:pgMar w:top="1431" w:right="1785" w:bottom="705" w:left="1549" w:header="0" w:footer="556" w:gutter="0"/>
          <w:cols w:space="720" w:num="1"/>
        </w:sectPr>
      </w:pPr>
    </w:p>
    <w:p w14:paraId="113CBE97">
      <w:pPr>
        <w:pStyle w:val="2"/>
        <w:spacing w:line="318" w:lineRule="auto"/>
      </w:pPr>
    </w:p>
    <w:p w14:paraId="2E23F316">
      <w:pPr>
        <w:spacing w:before="101" w:line="221" w:lineRule="auto"/>
        <w:ind w:left="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资源社会保障部关于印发〈就业补助资金管理办法&gt;的通知》</w:t>
      </w:r>
    </w:p>
    <w:p w14:paraId="08519E4C">
      <w:pPr>
        <w:spacing w:before="231" w:line="358" w:lineRule="auto"/>
        <w:ind w:right="283" w:firstLine="1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(财社〔2017〕164号)、《财政部</w:t>
      </w:r>
      <w:r>
        <w:rPr>
          <w:rFonts w:hint="eastAsia" w:ascii="仿宋" w:hAnsi="仿宋" w:eastAsia="仿宋" w:cs="仿宋"/>
          <w:spacing w:val="18"/>
          <w:sz w:val="31"/>
          <w:szCs w:val="31"/>
          <w:lang w:eastAsia="zh-CN"/>
        </w:rPr>
        <w:t>人力资源和社会保障</w:t>
      </w:r>
      <w:r>
        <w:rPr>
          <w:rFonts w:ascii="仿宋" w:hAnsi="仿宋" w:eastAsia="仿宋" w:cs="仿宋"/>
          <w:spacing w:val="17"/>
          <w:sz w:val="31"/>
          <w:szCs w:val="31"/>
        </w:rPr>
        <w:t>部关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于〈就业补助资金管理办法〉的补充通知》</w:t>
      </w:r>
      <w:r>
        <w:rPr>
          <w:rFonts w:ascii="仿宋" w:hAnsi="仿宋" w:eastAsia="仿宋" w:cs="仿宋"/>
          <w:spacing w:val="1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(财社〔2</w:t>
      </w:r>
      <w:r>
        <w:rPr>
          <w:rFonts w:ascii="仿宋" w:hAnsi="仿宋" w:eastAsia="仿宋" w:cs="仿宋"/>
          <w:spacing w:val="3"/>
          <w:sz w:val="31"/>
          <w:szCs w:val="31"/>
        </w:rPr>
        <w:t>019〕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122号)、</w:t>
      </w:r>
      <w:r>
        <w:rPr>
          <w:rFonts w:ascii="仿宋" w:hAnsi="仿宋" w:eastAsia="仿宋" w:cs="仿宋"/>
          <w:spacing w:val="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《财政部</w:t>
      </w:r>
      <w:r>
        <w:rPr>
          <w:rFonts w:hint="eastAsia" w:ascii="仿宋" w:hAnsi="仿宋" w:eastAsia="仿宋" w:cs="仿宋"/>
          <w:spacing w:val="7"/>
          <w:sz w:val="31"/>
          <w:szCs w:val="31"/>
          <w:lang w:eastAsia="zh-CN"/>
        </w:rPr>
        <w:t>人力资源和社会保障</w:t>
      </w:r>
      <w:r>
        <w:rPr>
          <w:rFonts w:ascii="仿宋" w:hAnsi="仿宋" w:eastAsia="仿宋" w:cs="仿宋"/>
          <w:spacing w:val="7"/>
          <w:sz w:val="31"/>
          <w:szCs w:val="31"/>
        </w:rPr>
        <w:t>部关于〈就业补助资</w:t>
      </w:r>
    </w:p>
    <w:p w14:paraId="0C3905DD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金管理办法&gt;的补充通知》(财社〔202</w:t>
      </w:r>
      <w:r>
        <w:rPr>
          <w:rFonts w:ascii="仿宋" w:hAnsi="仿宋" w:eastAsia="仿宋" w:cs="仿宋"/>
          <w:spacing w:val="15"/>
          <w:sz w:val="31"/>
          <w:szCs w:val="31"/>
        </w:rPr>
        <w:t>1〕89号)同时废止。</w:t>
      </w:r>
    </w:p>
    <w:p w14:paraId="7D875167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0" w:type="default"/>
          <w:pgSz w:w="12080" w:h="16960"/>
          <w:pgMar w:top="1441" w:right="1812" w:bottom="966" w:left="1700" w:header="0" w:footer="817" w:gutter="0"/>
          <w:cols w:space="720" w:num="1"/>
        </w:sectPr>
      </w:pPr>
    </w:p>
    <w:p w14:paraId="5D9063CC">
      <w:pPr>
        <w:pStyle w:val="2"/>
      </w:pPr>
    </w:p>
    <w:p w14:paraId="1FCF77D3">
      <w:pPr>
        <w:pStyle w:val="2"/>
      </w:pPr>
    </w:p>
    <w:p w14:paraId="73F96F42">
      <w:pPr>
        <w:pStyle w:val="2"/>
      </w:pPr>
    </w:p>
    <w:p w14:paraId="64DD1E88">
      <w:pPr>
        <w:pStyle w:val="2"/>
      </w:pPr>
    </w:p>
    <w:p w14:paraId="1386A21D">
      <w:pPr>
        <w:pStyle w:val="2"/>
      </w:pPr>
    </w:p>
    <w:p w14:paraId="61C1073B">
      <w:pPr>
        <w:pStyle w:val="2"/>
      </w:pPr>
    </w:p>
    <w:p w14:paraId="772C187B">
      <w:pPr>
        <w:pStyle w:val="2"/>
      </w:pPr>
    </w:p>
    <w:p w14:paraId="0DC884FB">
      <w:pPr>
        <w:pStyle w:val="2"/>
      </w:pPr>
    </w:p>
    <w:p w14:paraId="6FFB85D4">
      <w:pPr>
        <w:pStyle w:val="2"/>
      </w:pPr>
    </w:p>
    <w:p w14:paraId="1DE66DDC">
      <w:pPr>
        <w:pStyle w:val="2"/>
      </w:pPr>
    </w:p>
    <w:p w14:paraId="0DD15777">
      <w:pPr>
        <w:pStyle w:val="2"/>
      </w:pPr>
    </w:p>
    <w:p w14:paraId="29ACC7E3">
      <w:pPr>
        <w:pStyle w:val="2"/>
      </w:pPr>
    </w:p>
    <w:p w14:paraId="1D41F48A">
      <w:pPr>
        <w:pStyle w:val="2"/>
      </w:pPr>
    </w:p>
    <w:p w14:paraId="36BE749F">
      <w:pPr>
        <w:pStyle w:val="2"/>
      </w:pPr>
    </w:p>
    <w:p w14:paraId="221A8760">
      <w:pPr>
        <w:pStyle w:val="2"/>
      </w:pPr>
    </w:p>
    <w:p w14:paraId="147484B0">
      <w:pPr>
        <w:pStyle w:val="2"/>
      </w:pPr>
    </w:p>
    <w:p w14:paraId="47A3BADC">
      <w:pPr>
        <w:pStyle w:val="2"/>
      </w:pPr>
    </w:p>
    <w:p w14:paraId="4B409C19">
      <w:pPr>
        <w:pStyle w:val="2"/>
      </w:pPr>
    </w:p>
    <w:p w14:paraId="62DF4618">
      <w:pPr>
        <w:pStyle w:val="2"/>
        <w:spacing w:line="241" w:lineRule="auto"/>
      </w:pPr>
    </w:p>
    <w:p w14:paraId="230D8B5A">
      <w:pPr>
        <w:pStyle w:val="2"/>
        <w:spacing w:line="241" w:lineRule="auto"/>
      </w:pPr>
    </w:p>
    <w:p w14:paraId="6A496519">
      <w:pPr>
        <w:pStyle w:val="2"/>
        <w:spacing w:line="241" w:lineRule="auto"/>
      </w:pPr>
    </w:p>
    <w:p w14:paraId="404A6E1D">
      <w:pPr>
        <w:pStyle w:val="2"/>
        <w:spacing w:line="241" w:lineRule="auto"/>
      </w:pPr>
    </w:p>
    <w:p w14:paraId="1069DD4D">
      <w:pPr>
        <w:pStyle w:val="2"/>
        <w:spacing w:line="241" w:lineRule="auto"/>
      </w:pPr>
    </w:p>
    <w:p w14:paraId="11809A5F">
      <w:pPr>
        <w:pStyle w:val="2"/>
        <w:spacing w:line="241" w:lineRule="auto"/>
      </w:pPr>
    </w:p>
    <w:p w14:paraId="3CB34507">
      <w:pPr>
        <w:pStyle w:val="2"/>
        <w:spacing w:line="241" w:lineRule="auto"/>
      </w:pPr>
    </w:p>
    <w:p w14:paraId="26A716B4">
      <w:pPr>
        <w:pStyle w:val="2"/>
        <w:spacing w:line="241" w:lineRule="auto"/>
      </w:pPr>
    </w:p>
    <w:p w14:paraId="76187FF0">
      <w:pPr>
        <w:pStyle w:val="2"/>
        <w:spacing w:line="241" w:lineRule="auto"/>
      </w:pPr>
    </w:p>
    <w:p w14:paraId="5F0DACEB">
      <w:pPr>
        <w:pStyle w:val="2"/>
        <w:spacing w:line="241" w:lineRule="auto"/>
      </w:pPr>
    </w:p>
    <w:p w14:paraId="4CC2585E">
      <w:pPr>
        <w:pStyle w:val="2"/>
        <w:spacing w:line="241" w:lineRule="auto"/>
      </w:pPr>
    </w:p>
    <w:p w14:paraId="33FAE112">
      <w:pPr>
        <w:pStyle w:val="2"/>
        <w:spacing w:line="241" w:lineRule="auto"/>
      </w:pPr>
    </w:p>
    <w:p w14:paraId="6121034B">
      <w:pPr>
        <w:pStyle w:val="2"/>
        <w:spacing w:line="241" w:lineRule="auto"/>
      </w:pPr>
    </w:p>
    <w:p w14:paraId="76CD02CF">
      <w:pPr>
        <w:pStyle w:val="2"/>
        <w:spacing w:line="241" w:lineRule="auto"/>
      </w:pPr>
    </w:p>
    <w:p w14:paraId="75A4C39D">
      <w:pPr>
        <w:pStyle w:val="2"/>
        <w:spacing w:line="241" w:lineRule="auto"/>
      </w:pPr>
    </w:p>
    <w:p w14:paraId="7CD21D8E">
      <w:pPr>
        <w:pStyle w:val="2"/>
        <w:spacing w:line="241" w:lineRule="auto"/>
      </w:pPr>
    </w:p>
    <w:p w14:paraId="14B27F61">
      <w:pPr>
        <w:pStyle w:val="2"/>
        <w:spacing w:line="241" w:lineRule="auto"/>
      </w:pPr>
    </w:p>
    <w:p w14:paraId="0C579F60">
      <w:pPr>
        <w:pStyle w:val="2"/>
        <w:spacing w:line="241" w:lineRule="auto"/>
      </w:pPr>
    </w:p>
    <w:p w14:paraId="45170817">
      <w:pPr>
        <w:pStyle w:val="2"/>
        <w:spacing w:line="241" w:lineRule="auto"/>
      </w:pPr>
    </w:p>
    <w:p w14:paraId="11718A00">
      <w:pPr>
        <w:pStyle w:val="2"/>
        <w:spacing w:line="241" w:lineRule="auto"/>
      </w:pPr>
    </w:p>
    <w:p w14:paraId="0D7B39C8">
      <w:pPr>
        <w:pStyle w:val="2"/>
        <w:spacing w:line="241" w:lineRule="auto"/>
      </w:pPr>
    </w:p>
    <w:p w14:paraId="476F57E0">
      <w:pPr>
        <w:pStyle w:val="2"/>
        <w:spacing w:line="241" w:lineRule="auto"/>
      </w:pPr>
    </w:p>
    <w:p w14:paraId="239F1B09">
      <w:pPr>
        <w:pStyle w:val="2"/>
        <w:spacing w:line="241" w:lineRule="auto"/>
      </w:pPr>
    </w:p>
    <w:p w14:paraId="6EA37BF9">
      <w:pPr>
        <w:pStyle w:val="2"/>
        <w:spacing w:line="241" w:lineRule="auto"/>
      </w:pPr>
    </w:p>
    <w:p w14:paraId="2C6BAF80">
      <w:pPr>
        <w:pStyle w:val="2"/>
        <w:spacing w:line="241" w:lineRule="auto"/>
      </w:pPr>
    </w:p>
    <w:p w14:paraId="2419756B">
      <w:pPr>
        <w:pStyle w:val="2"/>
        <w:spacing w:line="241" w:lineRule="auto"/>
      </w:pPr>
    </w:p>
    <w:p w14:paraId="283EFA1A">
      <w:pPr>
        <w:pStyle w:val="2"/>
        <w:spacing w:line="241" w:lineRule="auto"/>
      </w:pPr>
    </w:p>
    <w:p w14:paraId="37BA68F8">
      <w:pPr>
        <w:pStyle w:val="2"/>
        <w:spacing w:line="241" w:lineRule="auto"/>
      </w:pPr>
    </w:p>
    <w:p w14:paraId="19A241AD">
      <w:pPr>
        <w:pStyle w:val="2"/>
        <w:spacing w:line="241" w:lineRule="auto"/>
      </w:pPr>
    </w:p>
    <w:p w14:paraId="4177EEDD">
      <w:pPr>
        <w:spacing w:before="85" w:line="222" w:lineRule="auto"/>
        <w:ind w:left="43"/>
        <w:rPr>
          <w:rFonts w:ascii="宋体" w:hAnsi="宋体" w:eastAsia="宋体" w:cs="宋体"/>
          <w:sz w:val="26"/>
          <w:szCs w:val="26"/>
        </w:rPr>
      </w:pPr>
      <w:r>
        <w:rPr>
          <w:rFonts w:ascii="黑体" w:hAnsi="黑体" w:eastAsia="黑体" w:cs="黑体"/>
          <w:b/>
          <w:bCs/>
          <w:spacing w:val="7"/>
          <w:sz w:val="26"/>
          <w:szCs w:val="26"/>
        </w:rPr>
        <w:t>信息公开选项</w:t>
      </w:r>
      <w:r>
        <w:rPr>
          <w:rFonts w:ascii="宋体" w:hAnsi="宋体" w:eastAsia="宋体" w:cs="宋体"/>
          <w:b/>
          <w:bCs/>
          <w:spacing w:val="7"/>
          <w:sz w:val="26"/>
          <w:szCs w:val="26"/>
        </w:rPr>
        <w:t>：主动公开</w:t>
      </w:r>
    </w:p>
    <w:p w14:paraId="2F841021">
      <w:pPr>
        <w:spacing w:line="111" w:lineRule="exact"/>
      </w:pPr>
    </w:p>
    <w:tbl>
      <w:tblPr>
        <w:tblStyle w:val="5"/>
        <w:tblW w:w="892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1"/>
        <w:gridCol w:w="4919"/>
      </w:tblGrid>
      <w:tr w14:paraId="565F65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920" w:type="dxa"/>
            <w:gridSpan w:val="2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29617B7D">
            <w:pPr>
              <w:spacing w:before="169" w:line="222" w:lineRule="auto"/>
              <w:ind w:left="319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ascii="仿宋" w:hAnsi="仿宋" w:eastAsia="仿宋" w:cs="仿宋"/>
                <w:spacing w:val="5"/>
                <w:sz w:val="26"/>
                <w:szCs w:val="26"/>
              </w:rPr>
              <w:t>抄送：财政部各地监管局。</w:t>
            </w:r>
          </w:p>
        </w:tc>
      </w:tr>
      <w:tr w14:paraId="4C0A3B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001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05D2080E">
            <w:pPr>
              <w:spacing w:before="199" w:line="222" w:lineRule="auto"/>
              <w:ind w:left="339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ascii="仿宋" w:hAnsi="仿宋" w:eastAsia="仿宋" w:cs="仿宋"/>
                <w:spacing w:val="9"/>
                <w:sz w:val="26"/>
                <w:szCs w:val="26"/>
              </w:rPr>
              <w:t>财政部办公厅</w:t>
            </w:r>
          </w:p>
        </w:tc>
        <w:tc>
          <w:tcPr>
            <w:tcW w:w="4919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187E8B93">
            <w:pPr>
              <w:spacing w:before="187" w:line="222" w:lineRule="auto"/>
              <w:ind w:left="2129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ascii="仿宋" w:hAnsi="仿宋" w:eastAsia="仿宋" w:cs="仿宋"/>
                <w:spacing w:val="8"/>
                <w:sz w:val="26"/>
                <w:szCs w:val="26"/>
              </w:rPr>
              <w:t>2023年12月25日印发</w:t>
            </w:r>
          </w:p>
        </w:tc>
      </w:tr>
    </w:tbl>
    <w:p w14:paraId="6FFD30DA">
      <w:pPr>
        <w:spacing w:before="189" w:line="950" w:lineRule="exact"/>
        <w:ind w:firstLine="5610"/>
      </w:pPr>
      <w:r>
        <w:rPr>
          <w:position w:val="-18"/>
        </w:rPr>
        <w:drawing>
          <wp:inline distT="0" distB="0" distL="0" distR="0">
            <wp:extent cx="1847850" cy="6026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7866" cy="60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21" w:type="default"/>
      <w:pgSz w:w="11900" w:h="16840"/>
      <w:pgMar w:top="1431" w:right="1470" w:bottom="400" w:left="15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w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87E45">
    <w:pPr>
      <w:spacing w:line="177" w:lineRule="auto"/>
      <w:ind w:left="13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—2—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96CAA">
    <w:pPr>
      <w:spacing w:line="171" w:lineRule="auto"/>
      <w:ind w:left="415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9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DB4C">
    <w:pPr>
      <w:spacing w:line="172" w:lineRule="auto"/>
      <w:ind w:left="411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5"/>
        <w:sz w:val="17"/>
        <w:szCs w:val="17"/>
      </w:rPr>
      <w:t>10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36891">
    <w:pPr>
      <w:spacing w:line="171" w:lineRule="auto"/>
      <w:ind w:left="4089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4CEA1">
    <w:pPr>
      <w:spacing w:line="171" w:lineRule="auto"/>
      <w:ind w:left="4130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12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F1A91">
    <w:pPr>
      <w:spacing w:line="171" w:lineRule="auto"/>
      <w:ind w:left="4115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13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58DB77">
    <w:pPr>
      <w:spacing w:line="171" w:lineRule="auto"/>
      <w:ind w:left="4110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14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AAA17">
    <w:pPr>
      <w:spacing w:line="171" w:lineRule="auto"/>
      <w:ind w:left="3912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b/>
        <w:bCs/>
        <w:spacing w:val="-6"/>
        <w:sz w:val="15"/>
        <w:szCs w:val="15"/>
      </w:rPr>
      <w:t>15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4B783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6BC9A">
    <w:pPr>
      <w:spacing w:line="171" w:lineRule="auto"/>
      <w:ind w:left="4194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z w:val="15"/>
        <w:szCs w:val="15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38512">
    <w:pPr>
      <w:spacing w:line="170" w:lineRule="auto"/>
      <w:ind w:left="4080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z w:val="15"/>
        <w:szCs w:val="15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D767D">
    <w:pPr>
      <w:spacing w:line="171" w:lineRule="auto"/>
      <w:ind w:left="417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A79F8">
    <w:pPr>
      <w:spacing w:line="171" w:lineRule="auto"/>
      <w:ind w:left="415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60A5B">
    <w:pPr>
      <w:spacing w:line="170" w:lineRule="auto"/>
      <w:ind w:left="416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0B37">
    <w:pPr>
      <w:spacing w:line="171" w:lineRule="auto"/>
      <w:ind w:left="416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6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89011">
    <w:pPr>
      <w:spacing w:line="170" w:lineRule="auto"/>
      <w:ind w:left="416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7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8E0EB">
    <w:pPr>
      <w:spacing w:line="170" w:lineRule="auto"/>
      <w:ind w:left="4150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z w:val="15"/>
        <w:szCs w:val="15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7E2FFE"/>
    <w:rsid w:val="3EFE5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4.jpeg"/><Relationship Id="rId25" Type="http://schemas.openxmlformats.org/officeDocument/2006/relationships/image" Target="media/image3.png"/><Relationship Id="rId24" Type="http://schemas.openxmlformats.org/officeDocument/2006/relationships/image" Target="media/image2.png"/><Relationship Id="rId23" Type="http://schemas.openxmlformats.org/officeDocument/2006/relationships/image" Target="media/image1.png"/><Relationship Id="rId22" Type="http://schemas.openxmlformats.org/officeDocument/2006/relationships/theme" Target="theme/theme1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5855</Words>
  <Characters>5898</Characters>
  <TotalTime>2</TotalTime>
  <ScaleCrop>false</ScaleCrop>
  <LinksUpToDate>false</LinksUpToDate>
  <CharactersWithSpaces>6066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2024-01-02T16:00:00Z</dcterms:created>
  <dc:creator>Kingsoft-PDF</dc:creator>
  <cp:lastModifiedBy>Moss</cp:lastModifiedBy>
  <dcterms:modified xsi:type="dcterms:W3CDTF">2026-06-30T03:35:51Z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2024-01-02T16:00:08Z</vt:filetime>
  </property>
  <property fmtid="{D5CDD505-2E9C-101B-9397-08002B2CF9AE}" pid="4" name="UsrData">
    <vt:lpwstr>6593c280d022c6001f5dc600wl</vt:lpwstr>
  </property>
  <property fmtid="{D5CDD505-2E9C-101B-9397-08002B2CF9AE}" pid="5" name="KSOProductBuildVer">
    <vt:lpwstr>2052-12.1.0.26895</vt:lpwstr>
  </property>
  <property fmtid="{D5CDD505-2E9C-101B-9397-08002B2CF9AE}" pid="6" name="ICV">
    <vt:lpwstr>63CC5B31DE5B4D44B4013E0AC9AAF842_13</vt:lpwstr>
  </property>
  <property fmtid="{D5CDD505-2E9C-101B-9397-08002B2CF9AE}" pid="7" name="KSOTemplateDocerSaveRecord">
    <vt:lpwstr>eyJoZGlkIjoiMjlmZDZlODk0ZWRhMjc1MGJlMTdjOTg2NDA4YWU3OTQiLCJ1c2VySWQiOiI5MDI5MDgyNjcifQ==</vt:lpwstr>
  </property>
</Properties>
</file>