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方正小标宋_GBK"/>
          <w:b/>
          <w:bCs/>
          <w:kern w:val="44"/>
          <w:sz w:val="44"/>
          <w:szCs w:val="44"/>
          <w:lang w:val="en-US" w:eastAsia="zh-CN" w:bidi="ar-SA"/>
        </w:rPr>
      </w:pPr>
      <w:r>
        <w:rPr>
          <w:rFonts w:hint="eastAsia" w:ascii="Times New Roman" w:hAnsi="Times New Roman" w:eastAsia="方正小标宋_GBK" w:cs="方正小标宋_GBK"/>
          <w:b/>
          <w:bCs/>
          <w:kern w:val="44"/>
          <w:sz w:val="44"/>
          <w:szCs w:val="44"/>
          <w:lang w:val="en-US" w:eastAsia="zh-CN" w:bidi="ar-SA"/>
        </w:rPr>
        <w:t>重庆市荣昌区商务委员会</w:t>
      </w:r>
    </w:p>
    <w:p>
      <w:pPr>
        <w:keepNext w:val="0"/>
        <w:keepLines w:val="0"/>
        <w:pageBreakBefore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方正小标宋_GBK"/>
          <w:b/>
          <w:bCs/>
          <w:kern w:val="44"/>
          <w:sz w:val="44"/>
          <w:szCs w:val="44"/>
          <w:lang w:val="en-US" w:eastAsia="zh-CN" w:bidi="ar-SA"/>
        </w:rPr>
      </w:pPr>
      <w:r>
        <w:rPr>
          <w:rFonts w:hint="eastAsia" w:ascii="Times New Roman" w:hAnsi="Times New Roman" w:eastAsia="方正小标宋_GBK" w:cs="方正小标宋_GBK"/>
          <w:b/>
          <w:bCs/>
          <w:kern w:val="44"/>
          <w:sz w:val="44"/>
          <w:szCs w:val="44"/>
          <w:lang w:val="en-US" w:eastAsia="zh-CN" w:bidi="ar-SA"/>
        </w:rPr>
        <w:t>关于组织申报2026—2027年度区级生活必需品</w:t>
      </w:r>
    </w:p>
    <w:p>
      <w:pPr>
        <w:keepNext w:val="0"/>
        <w:keepLines w:val="0"/>
        <w:pageBreakBefore w:val="0"/>
        <w:kinsoku/>
        <w:wordWrap/>
        <w:overflowPunct/>
        <w:topLinePunct w:val="0"/>
        <w:autoSpaceDE/>
        <w:autoSpaceDN/>
        <w:bidi w:val="0"/>
        <w:adjustRightInd/>
        <w:snapToGrid/>
        <w:spacing w:line="594" w:lineRule="exact"/>
        <w:jc w:val="center"/>
        <w:textAlignment w:val="auto"/>
        <w:rPr>
          <w:rFonts w:hint="eastAsia" w:ascii="Times New Roman" w:hAnsi="Times New Roman"/>
          <w:lang w:val="en-US" w:eastAsia="zh-CN"/>
        </w:rPr>
      </w:pPr>
      <w:r>
        <w:rPr>
          <w:rFonts w:hint="eastAsia" w:ascii="Times New Roman" w:hAnsi="Times New Roman" w:eastAsia="方正小标宋_GBK" w:cs="方正小标宋_GBK"/>
          <w:b/>
          <w:bCs/>
          <w:kern w:val="44"/>
          <w:sz w:val="44"/>
          <w:szCs w:val="44"/>
          <w:lang w:val="en-US" w:eastAsia="zh-CN" w:bidi="ar-SA"/>
        </w:rPr>
        <w:t>重点保供企业的通知</w:t>
      </w: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Times New Roman" w:hAnsi="Times New Roman"/>
          <w:color w:val="000000"/>
          <w:sz w:val="32"/>
          <w:szCs w:val="32"/>
          <w:lang w:eastAsia="zh-CN"/>
        </w:rPr>
      </w:pP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i w:val="0"/>
          <w:caps w:val="0"/>
          <w:color w:val="171A1D"/>
          <w:spacing w:val="0"/>
          <w:sz w:val="32"/>
          <w:szCs w:val="32"/>
          <w:shd w:val="clear" w:fill="FFFFFF"/>
        </w:rPr>
        <w:t>各镇人民政府，各街道办事处、各重点商贸企业</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Times New Roman" w:hAnsi="Times New Roman"/>
          <w:color w:val="000000"/>
          <w:sz w:val="32"/>
          <w:szCs w:val="32"/>
          <w:lang w:eastAsia="zh-CN"/>
        </w:rPr>
        <w:t>为切实做好2026</w:t>
      </w:r>
      <w:bookmarkStart w:id="0" w:name="_GoBack"/>
      <w:bookmarkEnd w:id="0"/>
      <w:r>
        <w:rPr>
          <w:rFonts w:hint="eastAsia" w:ascii="Times New Roman" w:hAnsi="Times New Roman"/>
          <w:color w:val="000000"/>
          <w:sz w:val="32"/>
          <w:szCs w:val="32"/>
          <w:lang w:eastAsia="zh-CN"/>
        </w:rPr>
        <w:t>年荣昌区生活必需品市场应急保供工作，进一步织密应急保供网络，高效应对各类突发事件，确保生活必需品市场供应平稳有序，现面向社会公开征集2026—2027年度区级生活必需品重点保供企业。有关事项通知如下。</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方正黑体_GBK" w:hAnsi="方正黑体_GBK" w:eastAsia="方正黑体_GBK" w:cs="方正黑体_GBK"/>
          <w:color w:val="000000"/>
          <w:sz w:val="32"/>
          <w:szCs w:val="32"/>
          <w:lang w:eastAsia="zh-CN"/>
        </w:rPr>
        <w:t>一、申报时间</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Times New Roman" w:hAnsi="Times New Roman"/>
          <w:color w:val="000000"/>
          <w:sz w:val="32"/>
          <w:szCs w:val="32"/>
          <w:lang w:eastAsia="zh-CN"/>
        </w:rPr>
        <w:t>2026年7月15日至7月31日。</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方正黑体_GBK" w:hAnsi="方正黑体_GBK" w:eastAsia="方正黑体_GBK" w:cs="方正黑体_GBK"/>
          <w:color w:val="000000"/>
          <w:sz w:val="32"/>
          <w:szCs w:val="32"/>
          <w:lang w:eastAsia="zh-CN"/>
        </w:rPr>
        <w:t>二、保供品种范围</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方正楷体_GBK" w:hAnsi="方正楷体_GBK" w:eastAsia="方正楷体_GBK" w:cs="方正楷体_GBK"/>
          <w:color w:val="000000"/>
          <w:sz w:val="32"/>
          <w:szCs w:val="32"/>
          <w:lang w:eastAsia="zh-CN"/>
        </w:rPr>
        <w:t>（一）生活必需品。</w:t>
      </w:r>
      <w:r>
        <w:rPr>
          <w:rFonts w:hint="eastAsia" w:ascii="Times New Roman" w:hAnsi="Times New Roman"/>
          <w:color w:val="000000"/>
          <w:sz w:val="32"/>
          <w:szCs w:val="32"/>
          <w:lang w:eastAsia="zh-CN"/>
        </w:rPr>
        <w:t>粮食（大米、面粉）、食用油、肉类（鲜/冻猪牛羊肉、禽肉、水产品）、蔬菜、水果、鸡蛋、奶制品、罐头、火腿肠、方便食品、食糖等生活必需品。</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default"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（二）冷链物流运输车辆。</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三、申报条件</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方正楷体_GBK" w:hAnsi="方正楷体_GBK" w:eastAsia="方正楷体_GBK" w:cs="方正楷体_GBK"/>
          <w:color w:val="000000"/>
          <w:sz w:val="32"/>
          <w:szCs w:val="32"/>
          <w:lang w:eastAsia="zh-CN"/>
        </w:rPr>
        <w:t>（一）依法在荣昌区注册登记的企业，规章制度健全，组织机构完善，诚信经营，依法纳税，近两年内无较大违法违规行为。</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（二）经营规模：农产品批发市场年经营规模不低于</w:t>
      </w:r>
      <w:r>
        <w:rPr>
          <w:rFonts w:hint="eastAsia" w:ascii="方正楷体_GBK" w:hAnsi="方正楷体_GBK" w:eastAsia="方正楷体_GBK" w:cs="方正楷体_GBK"/>
          <w:color w:val="000000"/>
          <w:sz w:val="32"/>
          <w:szCs w:val="32"/>
          <w:lang w:val="en-US" w:eastAsia="zh-CN"/>
        </w:rPr>
        <w:t>2</w:t>
      </w:r>
      <w:r>
        <w:rPr>
          <w:rFonts w:hint="eastAsia" w:ascii="方正楷体_GBK" w:hAnsi="方正楷体_GBK" w:eastAsia="方正楷体_GBK" w:cs="方正楷体_GBK"/>
          <w:color w:val="000000"/>
          <w:sz w:val="32"/>
          <w:szCs w:val="32"/>
          <w:lang w:eastAsia="zh-CN"/>
        </w:rPr>
        <w:t>000万元；商超（配送）企业年经营规模不低于</w:t>
      </w:r>
      <w:r>
        <w:rPr>
          <w:rFonts w:hint="eastAsia" w:ascii="方正楷体_GBK" w:hAnsi="方正楷体_GBK" w:eastAsia="方正楷体_GBK" w:cs="方正楷体_GBK"/>
          <w:color w:val="000000"/>
          <w:sz w:val="32"/>
          <w:szCs w:val="32"/>
          <w:lang w:val="en-US" w:eastAsia="zh-CN"/>
        </w:rPr>
        <w:t>5</w:t>
      </w:r>
      <w:r>
        <w:rPr>
          <w:rFonts w:hint="eastAsia" w:ascii="方正楷体_GBK" w:hAnsi="方正楷体_GBK" w:eastAsia="方正楷体_GBK" w:cs="方正楷体_GBK"/>
          <w:color w:val="000000"/>
          <w:sz w:val="32"/>
          <w:szCs w:val="32"/>
          <w:lang w:eastAsia="zh-CN"/>
        </w:rPr>
        <w:t>00万元，且主要保供品种库存规模不低于50万元；电商企业年经营规模不低于</w:t>
      </w:r>
      <w:r>
        <w:rPr>
          <w:rFonts w:hint="eastAsia" w:ascii="方正楷体_GBK" w:hAnsi="方正楷体_GBK" w:eastAsia="方正楷体_GBK" w:cs="方正楷体_GBK"/>
          <w:color w:val="000000"/>
          <w:sz w:val="32"/>
          <w:szCs w:val="32"/>
          <w:lang w:val="en-US" w:eastAsia="zh-CN"/>
        </w:rPr>
        <w:t>5</w:t>
      </w:r>
      <w:r>
        <w:rPr>
          <w:rFonts w:hint="eastAsia" w:ascii="方正楷体_GBK" w:hAnsi="方正楷体_GBK" w:eastAsia="方正楷体_GBK" w:cs="方正楷体_GBK"/>
          <w:color w:val="000000"/>
          <w:sz w:val="32"/>
          <w:szCs w:val="32"/>
          <w:lang w:eastAsia="zh-CN"/>
        </w:rPr>
        <w:t>00万元，且主要保供品种库存规模不低于50万元；猪肉储备企业年经营规模不低于</w:t>
      </w:r>
      <w:r>
        <w:rPr>
          <w:rFonts w:hint="eastAsia" w:ascii="方正楷体_GBK" w:hAnsi="方正楷体_GBK" w:eastAsia="方正楷体_GBK" w:cs="方正楷体_GBK"/>
          <w:color w:val="000000"/>
          <w:sz w:val="32"/>
          <w:szCs w:val="32"/>
          <w:lang w:val="en-US" w:eastAsia="zh-CN"/>
        </w:rPr>
        <w:t>1</w:t>
      </w:r>
      <w:r>
        <w:rPr>
          <w:rFonts w:hint="eastAsia" w:ascii="方正楷体_GBK" w:hAnsi="方正楷体_GBK" w:eastAsia="方正楷体_GBK" w:cs="方正楷体_GBK"/>
          <w:color w:val="000000"/>
          <w:sz w:val="32"/>
          <w:szCs w:val="32"/>
          <w:lang w:eastAsia="zh-CN"/>
        </w:rPr>
        <w:t>000万元，库存规模不低于</w:t>
      </w:r>
      <w:r>
        <w:rPr>
          <w:rFonts w:hint="eastAsia" w:ascii="方正楷体_GBK" w:hAnsi="方正楷体_GBK" w:eastAsia="方正楷体_GBK" w:cs="方正楷体_GBK"/>
          <w:color w:val="000000"/>
          <w:sz w:val="32"/>
          <w:szCs w:val="32"/>
          <w:lang w:val="en-US" w:eastAsia="zh-CN"/>
        </w:rPr>
        <w:t>1</w:t>
      </w:r>
      <w:r>
        <w:rPr>
          <w:rFonts w:hint="eastAsia" w:ascii="方正楷体_GBK" w:hAnsi="方正楷体_GBK" w:eastAsia="方正楷体_GBK" w:cs="方正楷体_GBK"/>
          <w:color w:val="000000"/>
          <w:sz w:val="32"/>
          <w:szCs w:val="32"/>
          <w:lang w:eastAsia="zh-CN"/>
        </w:rPr>
        <w:t>00吨。同时，具备良好的仓储和物流配送条件，配备满足保供需要的运输车辆，拥有相应专业储存技术能力的，在同等条件下优先。</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（三）建立健全的生活必需品保供工作责任制和相应管理制度。</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（四）财务状况良好，商业信誉优良，抗风险能力较强，财务管理制度健全。</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四、保供职责</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Times New Roman" w:hAnsi="Times New Roman"/>
          <w:color w:val="000000"/>
          <w:sz w:val="32"/>
          <w:szCs w:val="32"/>
          <w:lang w:eastAsia="zh-CN"/>
        </w:rPr>
        <w:t>确定为区级生活必需品重点保供企业后，必须严格履行应急保供责任和义务，服从政府及相关部门应急保供工作安排，确保生活必需品不脱销、不断档。</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方正黑体_GBK" w:hAnsi="方正黑体_GBK" w:eastAsia="方正黑体_GBK" w:cs="方正黑体_GBK"/>
          <w:color w:val="000000"/>
          <w:sz w:val="32"/>
          <w:szCs w:val="32"/>
          <w:lang w:eastAsia="zh-CN"/>
        </w:rPr>
        <w:t>五、申报材料</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（一）企业申请报告（内容应包括但不限于企业经营状况、仓储能力、生活必需品储备详情等）；</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（二）区级生活必需品重点保供企业申报表（附件1）；</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（三）企业合法经营资质材料，包括营业执照复印件；</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（四）承担储备的仓库产权证明：自有仓库提供产权证书或购买协议，租赁仓库提供有效租赁协议；</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（五）重点保供物资库存情况及相关材料；</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楷体_GBK" w:hAnsi="方正楷体_GBK" w:eastAsia="方正楷体_GBK" w:cs="方正楷体_GBK"/>
          <w:color w:val="000000"/>
          <w:sz w:val="32"/>
          <w:szCs w:val="32"/>
          <w:lang w:eastAsia="zh-CN"/>
        </w:rPr>
      </w:pPr>
      <w:r>
        <w:rPr>
          <w:rFonts w:hint="eastAsia" w:ascii="方正楷体_GBK" w:hAnsi="方正楷体_GBK" w:eastAsia="方正楷体_GBK" w:cs="方正楷体_GBK"/>
          <w:color w:val="000000"/>
          <w:sz w:val="32"/>
          <w:szCs w:val="32"/>
          <w:lang w:eastAsia="zh-CN"/>
        </w:rPr>
        <w:t>（六）企业真实性承诺书（附件2）。</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六、申报程序</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方正楷体_GBK" w:hAnsi="方正楷体_GBK" w:eastAsia="方正楷体_GBK" w:cs="方正楷体_GBK"/>
          <w:color w:val="000000"/>
          <w:sz w:val="32"/>
          <w:szCs w:val="32"/>
          <w:lang w:eastAsia="zh-CN"/>
        </w:rPr>
        <w:t>（一）企业申报。</w:t>
      </w:r>
      <w:r>
        <w:rPr>
          <w:rFonts w:hint="eastAsia" w:ascii="Times New Roman" w:hAnsi="Times New Roman"/>
          <w:color w:val="000000"/>
          <w:sz w:val="32"/>
          <w:szCs w:val="32"/>
          <w:lang w:eastAsia="zh-CN"/>
        </w:rPr>
        <w:t>符合条件的企业按自愿原则，向区商务委提出书面申请，将申报材料装订成册（一式两份）报送至区商务委</w:t>
      </w:r>
      <w:r>
        <w:rPr>
          <w:rFonts w:hint="eastAsia" w:ascii="Times New Roman" w:hAnsi="Times New Roman"/>
          <w:color w:val="000000"/>
          <w:sz w:val="32"/>
          <w:szCs w:val="32"/>
          <w:lang w:val="en-US" w:eastAsia="zh-CN"/>
        </w:rPr>
        <w:t>A</w:t>
      </w:r>
      <w:r>
        <w:rPr>
          <w:rFonts w:hint="eastAsia" w:ascii="Times New Roman" w:hAnsi="Times New Roman"/>
          <w:color w:val="000000"/>
          <w:sz w:val="32"/>
          <w:szCs w:val="32"/>
          <w:lang w:eastAsia="zh-CN"/>
        </w:rPr>
        <w:t>451办公室。</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方正楷体_GBK" w:hAnsi="方正楷体_GBK" w:eastAsia="方正楷体_GBK" w:cs="方正楷体_GBK"/>
          <w:color w:val="000000"/>
          <w:sz w:val="32"/>
          <w:szCs w:val="32"/>
          <w:lang w:eastAsia="zh-CN"/>
        </w:rPr>
        <w:t>（二）审查公示。</w:t>
      </w:r>
      <w:r>
        <w:rPr>
          <w:rFonts w:hint="eastAsia" w:ascii="Times New Roman" w:hAnsi="Times New Roman"/>
          <w:color w:val="000000"/>
          <w:sz w:val="32"/>
          <w:szCs w:val="32"/>
          <w:lang w:eastAsia="zh-CN"/>
        </w:rPr>
        <w:t>区商务委通过资料审查、现场考察等方式进行评选，评选结果经集体研究后，确定2026—2027年度荣昌区生活必需品重点保供企业拟入围名单，并向社会公示，公示期不少于5个工作日。</w:t>
      </w: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方正楷体_GBK" w:hAnsi="方正楷体_GBK" w:eastAsia="方正楷体_GBK" w:cs="方正楷体_GBK"/>
          <w:color w:val="000000"/>
          <w:sz w:val="32"/>
          <w:szCs w:val="32"/>
          <w:lang w:eastAsia="zh-CN"/>
        </w:rPr>
        <w:t>（三）签订协议。</w:t>
      </w:r>
      <w:r>
        <w:rPr>
          <w:rFonts w:hint="eastAsia" w:ascii="Times New Roman" w:hAnsi="Times New Roman"/>
          <w:color w:val="000000"/>
          <w:sz w:val="32"/>
          <w:szCs w:val="32"/>
          <w:lang w:eastAsia="zh-CN"/>
        </w:rPr>
        <w:t>经公示无异议的企业，与荣昌区商务委签订《重庆市荣昌区生活必需品应急保障物资供应协议》。</w:t>
      </w: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Times New Roman" w:hAnsi="Times New Roman"/>
          <w:color w:val="000000"/>
          <w:sz w:val="32"/>
          <w:szCs w:val="32"/>
          <w:lang w:eastAsia="zh-CN"/>
        </w:rPr>
      </w:pPr>
    </w:p>
    <w:p>
      <w:pPr>
        <w:keepNext w:val="0"/>
        <w:keepLines w:val="0"/>
        <w:pageBreakBefore w:val="0"/>
        <w:widowControl/>
        <w:suppressAutoHyphens/>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color w:val="000000"/>
          <w:sz w:val="32"/>
          <w:szCs w:val="32"/>
          <w:lang w:eastAsia="zh-CN"/>
        </w:rPr>
      </w:pPr>
      <w:r>
        <w:rPr>
          <w:rFonts w:hint="eastAsia" w:ascii="Times New Roman" w:hAnsi="Times New Roman"/>
          <w:color w:val="000000"/>
          <w:sz w:val="32"/>
          <w:szCs w:val="32"/>
          <w:lang w:eastAsia="zh-CN"/>
        </w:rPr>
        <w:t>附件：1.</w:t>
      </w:r>
      <w:r>
        <w:rPr>
          <w:rFonts w:hint="eastAsia" w:ascii="Times New Roman" w:hAnsi="Times New Roman"/>
          <w:color w:val="000000"/>
          <w:sz w:val="32"/>
          <w:szCs w:val="32"/>
          <w:lang w:val="en-US" w:eastAsia="zh-CN"/>
        </w:rPr>
        <w:t xml:space="preserve"> </w:t>
      </w:r>
      <w:r>
        <w:rPr>
          <w:rFonts w:hint="eastAsia" w:ascii="Times New Roman" w:hAnsi="Times New Roman"/>
          <w:color w:val="000000"/>
          <w:sz w:val="32"/>
          <w:szCs w:val="32"/>
          <w:lang w:eastAsia="zh-CN"/>
        </w:rPr>
        <w:t>区级生活必需品重点保供企业申报表</w:t>
      </w: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Times New Roman" w:hAnsi="Times New Roman"/>
          <w:color w:val="000000"/>
          <w:sz w:val="32"/>
          <w:szCs w:val="32"/>
          <w:lang w:eastAsia="zh-CN"/>
        </w:rPr>
      </w:pPr>
      <w:r>
        <w:rPr>
          <w:rFonts w:hint="eastAsia" w:ascii="Times New Roman" w:hAnsi="Times New Roman"/>
          <w:color w:val="000000"/>
          <w:sz w:val="32"/>
          <w:szCs w:val="32"/>
          <w:lang w:eastAsia="zh-CN"/>
        </w:rPr>
        <w:t>　　</w:t>
      </w:r>
      <w:r>
        <w:rPr>
          <w:rFonts w:hint="eastAsia" w:ascii="Times New Roman" w:hAnsi="Times New Roman"/>
          <w:color w:val="000000"/>
          <w:sz w:val="32"/>
          <w:szCs w:val="32"/>
          <w:lang w:val="en-US" w:eastAsia="zh-CN"/>
        </w:rPr>
        <w:t xml:space="preserve">    </w:t>
      </w:r>
      <w:r>
        <w:rPr>
          <w:rFonts w:hint="eastAsia" w:ascii="Times New Roman" w:hAnsi="Times New Roman"/>
          <w:color w:val="000000"/>
          <w:sz w:val="32"/>
          <w:szCs w:val="32"/>
          <w:lang w:eastAsia="zh-CN"/>
        </w:rPr>
        <w:t>　2.</w:t>
      </w:r>
      <w:r>
        <w:rPr>
          <w:rFonts w:hint="eastAsia" w:ascii="Times New Roman" w:hAnsi="Times New Roman"/>
          <w:color w:val="000000"/>
          <w:sz w:val="32"/>
          <w:szCs w:val="32"/>
          <w:lang w:val="en-US" w:eastAsia="zh-CN"/>
        </w:rPr>
        <w:t xml:space="preserve"> </w:t>
      </w:r>
      <w:r>
        <w:rPr>
          <w:rFonts w:hint="eastAsia" w:ascii="Times New Roman" w:hAnsi="Times New Roman"/>
          <w:color w:val="000000"/>
          <w:sz w:val="32"/>
          <w:szCs w:val="32"/>
          <w:lang w:eastAsia="zh-CN"/>
        </w:rPr>
        <w:t>企业真实性承诺书</w:t>
      </w: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Times New Roman" w:hAnsi="Times New Roman"/>
          <w:color w:val="000000"/>
          <w:sz w:val="32"/>
          <w:szCs w:val="32"/>
          <w:lang w:eastAsia="zh-CN"/>
        </w:rPr>
      </w:pPr>
    </w:p>
    <w:p>
      <w:pPr>
        <w:pStyle w:val="2"/>
        <w:rPr>
          <w:rFonts w:hint="eastAsia"/>
          <w:lang w:eastAsia="zh-CN"/>
        </w:rPr>
      </w:pPr>
    </w:p>
    <w:p>
      <w:pPr>
        <w:keepNext w:val="0"/>
        <w:keepLines w:val="0"/>
        <w:pageBreakBefore w:val="0"/>
        <w:widowControl/>
        <w:suppressAutoHyphens/>
        <w:kinsoku/>
        <w:wordWrap/>
        <w:overflowPunct/>
        <w:topLinePunct w:val="0"/>
        <w:autoSpaceDE/>
        <w:autoSpaceDN/>
        <w:bidi w:val="0"/>
        <w:adjustRightInd/>
        <w:snapToGrid/>
        <w:spacing w:line="594" w:lineRule="exact"/>
        <w:ind w:firstLine="3840" w:firstLineChars="1200"/>
        <w:jc w:val="left"/>
        <w:textAlignment w:val="auto"/>
        <w:rPr>
          <w:rFonts w:hint="eastAsia" w:ascii="Times New Roman" w:hAnsi="Times New Roman"/>
          <w:color w:val="000000"/>
          <w:sz w:val="32"/>
          <w:szCs w:val="32"/>
          <w:lang w:eastAsia="zh-CN"/>
        </w:rPr>
      </w:pPr>
      <w:r>
        <w:rPr>
          <w:rFonts w:hint="eastAsia" w:ascii="Times New Roman" w:hAnsi="Times New Roman"/>
          <w:color w:val="000000"/>
          <w:sz w:val="32"/>
          <w:szCs w:val="32"/>
          <w:lang w:eastAsia="zh-CN"/>
        </w:rPr>
        <w:t>重庆市荣昌区商务委员会</w:t>
      </w:r>
    </w:p>
    <w:p>
      <w:pPr>
        <w:keepNext w:val="0"/>
        <w:keepLines w:val="0"/>
        <w:pageBreakBefore w:val="0"/>
        <w:widowControl/>
        <w:suppressAutoHyphens/>
        <w:kinsoku/>
        <w:wordWrap/>
        <w:overflowPunct/>
        <w:topLinePunct w:val="0"/>
        <w:autoSpaceDE/>
        <w:autoSpaceDN/>
        <w:bidi w:val="0"/>
        <w:adjustRightInd/>
        <w:snapToGrid/>
        <w:spacing w:line="594" w:lineRule="exact"/>
        <w:ind w:firstLine="4480" w:firstLineChars="1400"/>
        <w:jc w:val="left"/>
        <w:textAlignment w:val="auto"/>
        <w:rPr>
          <w:rFonts w:hint="eastAsia" w:ascii="Times New Roman" w:hAnsi="Times New Roman"/>
          <w:color w:val="000000"/>
          <w:sz w:val="32"/>
          <w:szCs w:val="32"/>
          <w:lang w:eastAsia="zh-CN"/>
        </w:rPr>
      </w:pPr>
      <w:r>
        <w:rPr>
          <w:rFonts w:hint="eastAsia" w:ascii="Times New Roman" w:hAnsi="Times New Roman"/>
          <w:color w:val="000000"/>
          <w:sz w:val="32"/>
          <w:szCs w:val="32"/>
          <w:lang w:eastAsia="zh-CN"/>
        </w:rPr>
        <w:t>2026年7月15日</w:t>
      </w:r>
    </w:p>
    <w:p>
      <w:pPr>
        <w:pStyle w:val="2"/>
        <w:rPr>
          <w:rFonts w:hint="eastAsia" w:ascii="Times New Roman" w:hAnsi="Times New Roman"/>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eastAsia" w:ascii="Times New Roman" w:hAnsi="Times New Roman"/>
          <w:color w:val="000000"/>
          <w:sz w:val="32"/>
          <w:szCs w:val="32"/>
          <w:lang w:eastAsia="zh-CN"/>
        </w:rPr>
        <w:t>（联系方式：区商务委经济运行科：023-61471451）</w:t>
      </w: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Times New Roman" w:hAnsi="Times New Roman"/>
          <w:color w:val="000000"/>
          <w:sz w:val="32"/>
          <w:szCs w:val="32"/>
          <w:lang w:eastAsia="zh-CN"/>
        </w:rPr>
      </w:pP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Times New Roman" w:hAnsi="Times New Roman"/>
          <w:color w:val="000000"/>
          <w:sz w:val="32"/>
          <w:szCs w:val="32"/>
          <w:lang w:eastAsia="zh-CN"/>
        </w:rPr>
      </w:pP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Times New Roman" w:hAnsi="Times New Roman"/>
          <w:color w:val="000000"/>
          <w:sz w:val="32"/>
          <w:szCs w:val="32"/>
          <w:lang w:eastAsia="zh-CN"/>
        </w:rPr>
      </w:pPr>
    </w:p>
    <w:p>
      <w:pPr>
        <w:keepNext w:val="0"/>
        <w:keepLines w:val="0"/>
        <w:pageBreakBefore w:val="0"/>
        <w:widowControl/>
        <w:suppressAutoHyphens/>
        <w:kinsoku/>
        <w:wordWrap/>
        <w:overflowPunct/>
        <w:topLinePunct w:val="0"/>
        <w:autoSpaceDE/>
        <w:autoSpaceDN/>
        <w:bidi w:val="0"/>
        <w:adjustRightInd/>
        <w:snapToGrid/>
        <w:spacing w:line="594" w:lineRule="exact"/>
        <w:jc w:val="left"/>
        <w:textAlignment w:val="auto"/>
        <w:rPr>
          <w:rFonts w:hint="eastAsia" w:ascii="Times New Roman" w:hAnsi="Times New Roman"/>
          <w:color w:val="000000"/>
          <w:sz w:val="32"/>
          <w:szCs w:val="32"/>
          <w:lang w:eastAsia="zh-CN"/>
        </w:rPr>
      </w:pPr>
    </w:p>
    <w:p>
      <w:pPr>
        <w:pStyle w:val="2"/>
        <w:rPr>
          <w:rFonts w:hint="eastAsia"/>
          <w:lang w:val="en-US" w:eastAsia="zh-CN"/>
        </w:rPr>
      </w:pPr>
      <w:r>
        <w:rPr>
          <w:rFonts w:hint="eastAsia"/>
          <w:lang w:val="en-US" w:eastAsia="zh-CN"/>
        </w:rPr>
        <w:t>附件1</w:t>
      </w:r>
    </w:p>
    <w:p>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区级生活必需品重点保供企业申报表</w:t>
      </w:r>
    </w:p>
    <w:tbl>
      <w:tblPr>
        <w:tblStyle w:val="22"/>
        <w:tblW w:w="8043"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420"/>
        <w:gridCol w:w="1904"/>
        <w:gridCol w:w="1404"/>
        <w:gridCol w:w="331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36" w:hRule="atLeast"/>
          <w:jc w:val="center"/>
        </w:trPr>
        <w:tc>
          <w:tcPr>
            <w:tcW w:w="142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单位名称</w:t>
            </w:r>
          </w:p>
        </w:tc>
        <w:tc>
          <w:tcPr>
            <w:tcW w:w="1904" w:type="dxa"/>
            <w:tcBorders>
              <w:top w:val="single" w:color="000000" w:sz="4" w:space="0"/>
              <w:left w:val="nil"/>
              <w:bottom w:val="single" w:color="000000" w:sz="4" w:space="0"/>
              <w:right w:val="single" w:color="000000" w:sz="4" w:space="0"/>
            </w:tcBorders>
            <w:shd w:val="clear" w:color="auto" w:fill="FFFFFF"/>
            <w:noWrap w:val="0"/>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c>
          <w:tcPr>
            <w:tcW w:w="1404" w:type="dxa"/>
            <w:tcBorders>
              <w:top w:val="single" w:color="000000" w:sz="4" w:space="0"/>
              <w:left w:val="nil"/>
              <w:bottom w:val="single" w:color="000000" w:sz="4" w:space="0"/>
              <w:right w:val="single" w:color="000000"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社会信用代码</w:t>
            </w:r>
          </w:p>
        </w:tc>
        <w:tc>
          <w:tcPr>
            <w:tcW w:w="3315" w:type="dxa"/>
            <w:tcBorders>
              <w:top w:val="single" w:color="000000" w:sz="4" w:space="0"/>
              <w:left w:val="nil"/>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1420" w:type="dxa"/>
            <w:tcBorders>
              <w:top w:val="nil"/>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企业地址</w:t>
            </w:r>
          </w:p>
        </w:tc>
        <w:tc>
          <w:tcPr>
            <w:tcW w:w="6623" w:type="dxa"/>
            <w:gridSpan w:val="3"/>
            <w:tcBorders>
              <w:top w:val="nil"/>
              <w:left w:val="nil"/>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1420" w:type="dxa"/>
            <w:tcBorders>
              <w:top w:val="nil"/>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邮政编码</w:t>
            </w:r>
          </w:p>
        </w:tc>
        <w:tc>
          <w:tcPr>
            <w:tcW w:w="1904" w:type="dxa"/>
            <w:tcBorders>
              <w:top w:val="nil"/>
              <w:left w:val="nil"/>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c>
          <w:tcPr>
            <w:tcW w:w="1404" w:type="dxa"/>
            <w:tcBorders>
              <w:top w:val="single" w:color="000000" w:sz="4" w:space="0"/>
              <w:left w:val="nil"/>
              <w:bottom w:val="single" w:color="000000" w:sz="4" w:space="0"/>
              <w:right w:val="single" w:color="000000"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企业性质</w:t>
            </w:r>
          </w:p>
        </w:tc>
        <w:tc>
          <w:tcPr>
            <w:tcW w:w="3315" w:type="dxa"/>
            <w:tcBorders>
              <w:top w:val="single" w:color="000000" w:sz="4" w:space="0"/>
              <w:left w:val="nil"/>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1420" w:type="dxa"/>
            <w:tcBorders>
              <w:top w:val="nil"/>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企业法人代表</w:t>
            </w:r>
          </w:p>
        </w:tc>
        <w:tc>
          <w:tcPr>
            <w:tcW w:w="1904" w:type="dxa"/>
            <w:tcBorders>
              <w:top w:val="nil"/>
              <w:left w:val="nil"/>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c>
          <w:tcPr>
            <w:tcW w:w="1404" w:type="dxa"/>
            <w:tcBorders>
              <w:top w:val="nil"/>
              <w:left w:val="nil"/>
              <w:bottom w:val="single" w:color="000000" w:sz="4" w:space="0"/>
              <w:right w:val="single" w:color="000000"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联系电话</w:t>
            </w:r>
          </w:p>
        </w:tc>
        <w:tc>
          <w:tcPr>
            <w:tcW w:w="3315" w:type="dxa"/>
            <w:tcBorders>
              <w:top w:val="nil"/>
              <w:left w:val="nil"/>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636" w:hRule="atLeast"/>
          <w:jc w:val="center"/>
        </w:trPr>
        <w:tc>
          <w:tcPr>
            <w:tcW w:w="1420" w:type="dxa"/>
            <w:tcBorders>
              <w:top w:val="nil"/>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联系人</w:t>
            </w:r>
          </w:p>
        </w:tc>
        <w:tc>
          <w:tcPr>
            <w:tcW w:w="1904" w:type="dxa"/>
            <w:tcBorders>
              <w:top w:val="nil"/>
              <w:left w:val="nil"/>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c>
          <w:tcPr>
            <w:tcW w:w="1404" w:type="dxa"/>
            <w:tcBorders>
              <w:top w:val="nil"/>
              <w:left w:val="nil"/>
              <w:bottom w:val="single" w:color="000000" w:sz="4" w:space="0"/>
              <w:right w:val="single" w:color="000000" w:sz="4" w:space="0"/>
            </w:tcBorders>
            <w:shd w:val="clear" w:color="auto" w:fill="FFFFFF"/>
            <w:noWrap w:val="0"/>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联系电话</w:t>
            </w:r>
          </w:p>
        </w:tc>
        <w:tc>
          <w:tcPr>
            <w:tcW w:w="3315" w:type="dxa"/>
            <w:tcBorders>
              <w:top w:val="nil"/>
              <w:left w:val="nil"/>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3468" w:hRule="atLeast"/>
          <w:jc w:val="center"/>
        </w:trPr>
        <w:tc>
          <w:tcPr>
            <w:tcW w:w="1420" w:type="dxa"/>
            <w:tcBorders>
              <w:top w:val="nil"/>
              <w:left w:val="single" w:color="000000" w:sz="4" w:space="0"/>
              <w:bottom w:val="single" w:color="auto" w:sz="4" w:space="0"/>
              <w:right w:val="single" w:color="000000" w:sz="4" w:space="0"/>
            </w:tcBorders>
            <w:shd w:val="clear" w:color="auto" w:fill="FFFFFF"/>
            <w:noWrap w:val="0"/>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企业简介</w:t>
            </w:r>
          </w:p>
        </w:tc>
        <w:tc>
          <w:tcPr>
            <w:tcW w:w="6623" w:type="dxa"/>
            <w:gridSpan w:val="3"/>
            <w:tcBorders>
              <w:top w:val="nil"/>
              <w:left w:val="nil"/>
              <w:bottom w:val="single" w:color="auto" w:sz="4" w:space="0"/>
              <w:right w:val="single" w:color="000000" w:sz="4" w:space="0"/>
            </w:tcBorders>
            <w:shd w:val="clear" w:color="auto" w:fill="FFFFFF"/>
            <w:noWrap w:val="0"/>
            <w:tcMar>
              <w:top w:w="12" w:type="dxa"/>
              <w:left w:w="12" w:type="dxa"/>
              <w:right w:w="12" w:type="dxa"/>
            </w:tcMar>
            <w:vAlign w:val="top"/>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1392" w:hRule="atLeast"/>
          <w:jc w:val="center"/>
        </w:trPr>
        <w:tc>
          <w:tcPr>
            <w:tcW w:w="1420" w:type="dxa"/>
            <w:vMerge w:val="restart"/>
            <w:tcBorders>
              <w:top w:val="single" w:color="auto" w:sz="4" w:space="0"/>
              <w:left w:val="single" w:color="auto" w:sz="4" w:space="0"/>
              <w:bottom w:val="single" w:color="000000" w:sz="4" w:space="0"/>
              <w:right w:val="single" w:color="000000" w:sz="4" w:space="0"/>
            </w:tcBorders>
            <w:shd w:val="clear" w:color="auto" w:fill="FFFFFF"/>
            <w:noWrap w:val="0"/>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申请企业承诺</w:t>
            </w:r>
          </w:p>
        </w:tc>
        <w:tc>
          <w:tcPr>
            <w:tcW w:w="6623" w:type="dxa"/>
            <w:gridSpan w:val="3"/>
            <w:tcBorders>
              <w:top w:val="single" w:color="auto" w:sz="4" w:space="0"/>
              <w:left w:val="nil"/>
              <w:bottom w:val="nil"/>
              <w:right w:val="single" w:color="auto" w:sz="4" w:space="0"/>
            </w:tcBorders>
            <w:shd w:val="clear" w:color="auto" w:fill="FFFFFF"/>
            <w:noWrap w:val="0"/>
            <w:tcMar>
              <w:top w:w="12" w:type="dxa"/>
              <w:left w:w="12" w:type="dxa"/>
              <w:right w:w="12" w:type="dxa"/>
            </w:tcMar>
            <w:vAlign w:val="top"/>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216" w:hRule="atLeast"/>
          <w:jc w:val="center"/>
        </w:trPr>
        <w:tc>
          <w:tcPr>
            <w:tcW w:w="1420" w:type="dxa"/>
            <w:vMerge w:val="continue"/>
            <w:tcBorders>
              <w:top w:val="nil"/>
              <w:left w:val="single" w:color="auto" w:sz="4" w:space="0"/>
              <w:bottom w:val="single" w:color="000000" w:sz="4" w:space="0"/>
              <w:right w:val="single" w:color="000000" w:sz="4" w:space="0"/>
            </w:tcBorders>
            <w:shd w:val="clear" w:color="auto" w:fill="FFFFFF"/>
            <w:noWrap w:val="0"/>
            <w:tcMar>
              <w:top w:w="12" w:type="dxa"/>
              <w:left w:w="12" w:type="dxa"/>
              <w:right w:w="12" w:type="dxa"/>
            </w:tcMar>
            <w:vAlign w:val="center"/>
          </w:tcPr>
          <w:p>
            <w:pPr>
              <w:keepNext w:val="0"/>
              <w:keepLines w:val="0"/>
              <w:pageBreakBefore w:val="0"/>
              <w:widowControl/>
              <w:kinsoku/>
              <w:overflowPunct/>
              <w:topLinePunct w:val="0"/>
              <w:autoSpaceDE/>
              <w:autoSpaceDN/>
              <w:bidi w:val="0"/>
              <w:adjustRightInd w:val="0"/>
              <w:snapToGrid w:val="0"/>
              <w:jc w:val="center"/>
              <w:rPr>
                <w:rFonts w:hint="default" w:ascii="MicrosoftYaHei" w:hAnsi="MicrosoftYaHei" w:eastAsia="MicrosoftYaHei" w:cs="MicrosoftYaHei"/>
                <w:i w:val="0"/>
                <w:caps w:val="0"/>
                <w:color w:val="333333"/>
                <w:spacing w:val="24"/>
                <w:sz w:val="16"/>
                <w:szCs w:val="16"/>
              </w:rPr>
            </w:pPr>
          </w:p>
        </w:tc>
        <w:tc>
          <w:tcPr>
            <w:tcW w:w="1904" w:type="dxa"/>
            <w:tcBorders>
              <w:top w:val="nil"/>
              <w:left w:val="nil"/>
              <w:bottom w:val="nil"/>
              <w:right w:val="nil"/>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c>
          <w:tcPr>
            <w:tcW w:w="1404" w:type="dxa"/>
            <w:tcBorders>
              <w:top w:val="nil"/>
              <w:left w:val="nil"/>
              <w:bottom w:val="nil"/>
              <w:right w:val="nil"/>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企业（盖章）</w:t>
            </w:r>
          </w:p>
        </w:tc>
        <w:tc>
          <w:tcPr>
            <w:tcW w:w="3315" w:type="dxa"/>
            <w:tcBorders>
              <w:top w:val="nil"/>
              <w:left w:val="nil"/>
              <w:bottom w:val="nil"/>
              <w:right w:val="single" w:color="auto"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216" w:hRule="atLeast"/>
          <w:jc w:val="center"/>
        </w:trPr>
        <w:tc>
          <w:tcPr>
            <w:tcW w:w="1420" w:type="dxa"/>
            <w:vMerge w:val="continue"/>
            <w:tcBorders>
              <w:top w:val="nil"/>
              <w:left w:val="single" w:color="auto" w:sz="4" w:space="0"/>
              <w:bottom w:val="single" w:color="000000" w:sz="4" w:space="0"/>
              <w:right w:val="single" w:color="000000" w:sz="4" w:space="0"/>
            </w:tcBorders>
            <w:shd w:val="clear" w:color="auto" w:fill="FFFFFF"/>
            <w:noWrap w:val="0"/>
            <w:tcMar>
              <w:top w:w="12" w:type="dxa"/>
              <w:left w:w="12" w:type="dxa"/>
              <w:right w:w="12" w:type="dxa"/>
            </w:tcMar>
            <w:vAlign w:val="center"/>
          </w:tcPr>
          <w:p>
            <w:pPr>
              <w:keepNext w:val="0"/>
              <w:keepLines w:val="0"/>
              <w:pageBreakBefore w:val="0"/>
              <w:widowControl/>
              <w:kinsoku/>
              <w:overflowPunct/>
              <w:topLinePunct w:val="0"/>
              <w:autoSpaceDE/>
              <w:autoSpaceDN/>
              <w:bidi w:val="0"/>
              <w:adjustRightInd w:val="0"/>
              <w:snapToGrid w:val="0"/>
              <w:jc w:val="center"/>
              <w:rPr>
                <w:rFonts w:hint="default" w:ascii="MicrosoftYaHei" w:hAnsi="MicrosoftYaHei" w:eastAsia="MicrosoftYaHei" w:cs="MicrosoftYaHei"/>
                <w:i w:val="0"/>
                <w:caps w:val="0"/>
                <w:color w:val="333333"/>
                <w:spacing w:val="24"/>
                <w:sz w:val="16"/>
                <w:szCs w:val="16"/>
              </w:rPr>
            </w:pPr>
          </w:p>
        </w:tc>
        <w:tc>
          <w:tcPr>
            <w:tcW w:w="1904" w:type="dxa"/>
            <w:tcBorders>
              <w:top w:val="nil"/>
              <w:left w:val="nil"/>
              <w:bottom w:val="nil"/>
              <w:right w:val="nil"/>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c>
          <w:tcPr>
            <w:tcW w:w="1404" w:type="dxa"/>
            <w:tcBorders>
              <w:top w:val="nil"/>
              <w:left w:val="nil"/>
              <w:bottom w:val="nil"/>
              <w:right w:val="nil"/>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c>
          <w:tcPr>
            <w:tcW w:w="3315" w:type="dxa"/>
            <w:tcBorders>
              <w:top w:val="nil"/>
              <w:left w:val="nil"/>
              <w:bottom w:val="nil"/>
              <w:right w:val="single" w:color="auto" w:sz="4" w:space="0"/>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216" w:hRule="atLeast"/>
          <w:jc w:val="center"/>
        </w:trPr>
        <w:tc>
          <w:tcPr>
            <w:tcW w:w="1420" w:type="dxa"/>
            <w:vMerge w:val="continue"/>
            <w:tcBorders>
              <w:top w:val="nil"/>
              <w:left w:val="single" w:color="auto" w:sz="4" w:space="0"/>
              <w:bottom w:val="single" w:color="auto" w:sz="4" w:space="0"/>
              <w:right w:val="single" w:color="000000" w:sz="4" w:space="0"/>
            </w:tcBorders>
            <w:shd w:val="clear" w:color="auto" w:fill="FFFFFF"/>
            <w:noWrap w:val="0"/>
            <w:tcMar>
              <w:top w:w="12" w:type="dxa"/>
              <w:left w:w="12" w:type="dxa"/>
              <w:right w:w="12" w:type="dxa"/>
            </w:tcMar>
            <w:vAlign w:val="center"/>
          </w:tcPr>
          <w:p>
            <w:pPr>
              <w:keepNext w:val="0"/>
              <w:keepLines w:val="0"/>
              <w:pageBreakBefore w:val="0"/>
              <w:widowControl/>
              <w:kinsoku/>
              <w:overflowPunct/>
              <w:topLinePunct w:val="0"/>
              <w:autoSpaceDE/>
              <w:autoSpaceDN/>
              <w:bidi w:val="0"/>
              <w:adjustRightInd w:val="0"/>
              <w:snapToGrid w:val="0"/>
              <w:jc w:val="center"/>
              <w:rPr>
                <w:rFonts w:hint="default" w:ascii="MicrosoftYaHei" w:hAnsi="MicrosoftYaHei" w:eastAsia="MicrosoftYaHei" w:cs="MicrosoftYaHei"/>
                <w:i w:val="0"/>
                <w:caps w:val="0"/>
                <w:color w:val="333333"/>
                <w:spacing w:val="24"/>
                <w:sz w:val="16"/>
                <w:szCs w:val="16"/>
              </w:rPr>
            </w:pPr>
          </w:p>
        </w:tc>
        <w:tc>
          <w:tcPr>
            <w:tcW w:w="1904" w:type="dxa"/>
            <w:tcBorders>
              <w:top w:val="nil"/>
              <w:left w:val="nil"/>
              <w:bottom w:val="single" w:color="auto" w:sz="4" w:space="0"/>
              <w:right w:val="nil"/>
            </w:tcBorders>
            <w:shd w:val="clear" w:color="auto" w:fill="FFFFFF"/>
            <w:noWrap/>
            <w:tcMar>
              <w:top w:w="12" w:type="dxa"/>
              <w:left w:w="12" w:type="dxa"/>
              <w:right w:w="12" w:type="dxa"/>
            </w:tcMar>
            <w:vAlign w:val="center"/>
          </w:tcPr>
          <w:p>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ind w:left="0" w:right="0" w:firstLine="0"/>
              <w:jc w:val="center"/>
              <w:rPr>
                <w:rFonts w:hint="default" w:ascii="MicrosoftYaHei" w:hAnsi="MicrosoftYaHei" w:eastAsia="MicrosoftYaHei" w:cs="MicrosoftYaHei"/>
                <w:i w:val="0"/>
                <w:caps w:val="0"/>
                <w:color w:val="333333"/>
                <w:spacing w:val="24"/>
                <w:sz w:val="16"/>
                <w:szCs w:val="16"/>
              </w:rPr>
            </w:pPr>
          </w:p>
        </w:tc>
        <w:tc>
          <w:tcPr>
            <w:tcW w:w="4719" w:type="dxa"/>
            <w:gridSpan w:val="2"/>
            <w:tcBorders>
              <w:top w:val="nil"/>
              <w:left w:val="nil"/>
              <w:bottom w:val="single" w:color="auto" w:sz="4" w:space="0"/>
              <w:right w:val="single" w:color="auto" w:sz="4" w:space="0"/>
            </w:tcBorders>
            <w:shd w:val="clear" w:color="auto" w:fill="FFFFFF"/>
            <w:noWrap/>
            <w:tcMar>
              <w:top w:w="12" w:type="dxa"/>
              <w:left w:w="12" w:type="dxa"/>
              <w:right w:w="12" w:type="dxa"/>
            </w:tcMar>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ind w:left="0" w:right="0"/>
              <w:jc w:val="center"/>
              <w:textAlignment w:val="center"/>
              <w:rPr>
                <w:rFonts w:hint="default" w:ascii="Calibri" w:hAnsi="Calibri" w:cs="Calibri"/>
                <w:sz w:val="16"/>
                <w:szCs w:val="16"/>
              </w:rPr>
            </w:pPr>
            <w:r>
              <w:rPr>
                <w:rFonts w:hint="eastAsia" w:ascii="宋体" w:hAnsi="宋体" w:eastAsia="宋体" w:cs="宋体"/>
                <w:i w:val="0"/>
                <w:caps w:val="0"/>
                <w:color w:val="333333"/>
                <w:spacing w:val="24"/>
                <w:sz w:val="18"/>
                <w:szCs w:val="18"/>
              </w:rPr>
              <w:t>年</w:t>
            </w:r>
            <w:r>
              <w:rPr>
                <w:rFonts w:hint="eastAsia" w:ascii="宋体" w:hAnsi="宋体" w:cs="宋体"/>
                <w:i w:val="0"/>
                <w:caps w:val="0"/>
                <w:color w:val="333333"/>
                <w:spacing w:val="24"/>
                <w:sz w:val="18"/>
                <w:szCs w:val="18"/>
                <w:lang w:val="en-US" w:eastAsia="zh-CN"/>
              </w:rPr>
              <w:t xml:space="preserve">  </w:t>
            </w:r>
            <w:r>
              <w:rPr>
                <w:rFonts w:hint="eastAsia" w:ascii="宋体" w:hAnsi="宋体" w:eastAsia="宋体" w:cs="宋体"/>
                <w:i w:val="0"/>
                <w:caps w:val="0"/>
                <w:color w:val="333333"/>
                <w:spacing w:val="24"/>
                <w:sz w:val="18"/>
                <w:szCs w:val="18"/>
              </w:rPr>
              <w:t>月</w:t>
            </w:r>
            <w:r>
              <w:rPr>
                <w:rFonts w:hint="eastAsia" w:ascii="宋体" w:hAnsi="宋体" w:cs="宋体"/>
                <w:i w:val="0"/>
                <w:caps w:val="0"/>
                <w:color w:val="333333"/>
                <w:spacing w:val="24"/>
                <w:sz w:val="18"/>
                <w:szCs w:val="18"/>
                <w:lang w:val="en-US" w:eastAsia="zh-CN"/>
              </w:rPr>
              <w:t xml:space="preserve">  </w:t>
            </w:r>
            <w:r>
              <w:rPr>
                <w:rFonts w:hint="eastAsia" w:ascii="宋体" w:hAnsi="宋体" w:eastAsia="宋体" w:cs="宋体"/>
                <w:i w:val="0"/>
                <w:caps w:val="0"/>
                <w:color w:val="333333"/>
                <w:spacing w:val="24"/>
                <w:sz w:val="18"/>
                <w:szCs w:val="18"/>
              </w:rPr>
              <w:t>日</w:t>
            </w:r>
          </w:p>
        </w:tc>
      </w:tr>
    </w:tbl>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r>
        <w:rPr>
          <w:rFonts w:hint="eastAsia"/>
          <w:lang w:val="en-US" w:eastAsia="zh-CN"/>
        </w:rPr>
        <w:t>附件2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企业真实性承诺书</w:t>
      </w:r>
    </w:p>
    <w:p>
      <w:pPr>
        <w:rPr>
          <w:rFonts w:hint="eastAsia"/>
          <w:lang w:val="en-US" w:eastAsia="zh-CN"/>
        </w:rPr>
      </w:pPr>
    </w:p>
    <w:p>
      <w:pPr>
        <w:rPr>
          <w:rFonts w:hint="eastAsia"/>
          <w:lang w:val="en-US" w:eastAsia="zh-CN"/>
        </w:rPr>
      </w:pPr>
      <w:r>
        <w:rPr>
          <w:rFonts w:hint="eastAsia"/>
          <w:lang w:val="en-US" w:eastAsia="zh-CN"/>
        </w:rPr>
        <w:t>重庆市荣昌区商务委员会：</w:t>
      </w:r>
    </w:p>
    <w:p>
      <w:pPr>
        <w:ind w:firstLine="640" w:firstLineChars="200"/>
        <w:rPr>
          <w:rFonts w:hint="eastAsia"/>
          <w:lang w:val="en-US" w:eastAsia="zh-CN"/>
        </w:rPr>
      </w:pPr>
      <w:r>
        <w:rPr>
          <w:rFonts w:hint="eastAsia"/>
          <w:lang w:val="en-US" w:eastAsia="zh-CN"/>
        </w:rPr>
        <w:t>我公司自愿申报2026至2027年度荣昌区生活必需品重点保供企业。</w:t>
      </w:r>
    </w:p>
    <w:p>
      <w:pPr>
        <w:ind w:firstLine="640" w:firstLineChars="200"/>
        <w:rPr>
          <w:rFonts w:hint="eastAsia"/>
          <w:lang w:val="en-US" w:eastAsia="zh-CN"/>
        </w:rPr>
      </w:pPr>
      <w:r>
        <w:rPr>
          <w:rFonts w:hint="eastAsia"/>
          <w:lang w:val="en-US" w:eastAsia="zh-CN"/>
        </w:rPr>
        <w:t>现郑重承诺：本单位近三年信用状况良好，无严重失信行为，申报材料中所涉及的文件、证件及相关附件是真实有效的，且加盖我司公章，复印件与原件是一致的，并对因申请材料虚假所引发的一切后果承担全部法律责任。</w:t>
      </w:r>
    </w:p>
    <w:p>
      <w:pPr>
        <w:rPr>
          <w:rFonts w:hint="eastAsia"/>
          <w:lang w:val="en-US" w:eastAsia="zh-CN"/>
        </w:rPr>
      </w:pPr>
    </w:p>
    <w:p>
      <w:pPr>
        <w:ind w:firstLine="640" w:firstLineChars="200"/>
        <w:rPr>
          <w:rFonts w:hint="eastAsia"/>
          <w:lang w:val="en-US" w:eastAsia="zh-CN"/>
        </w:rPr>
      </w:pPr>
      <w:r>
        <w:rPr>
          <w:rFonts w:hint="eastAsia"/>
          <w:lang w:val="en-US" w:eastAsia="zh-CN"/>
        </w:rPr>
        <w:t>承诺人：              联系电话：</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594" w:lineRule="exact"/>
        <w:ind w:firstLine="4800" w:firstLineChars="15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XX公司</w:t>
      </w:r>
    </w:p>
    <w:p>
      <w:pPr>
        <w:keepNext w:val="0"/>
        <w:keepLines w:val="0"/>
        <w:pageBreakBefore w:val="0"/>
        <w:widowControl w:val="0"/>
        <w:kinsoku/>
        <w:wordWrap/>
        <w:overflowPunct/>
        <w:topLinePunct w:val="0"/>
        <w:autoSpaceDE/>
        <w:autoSpaceDN/>
        <w:bidi w:val="0"/>
        <w:adjustRightInd w:val="0"/>
        <w:snapToGrid w:val="0"/>
        <w:spacing w:line="594" w:lineRule="exact"/>
        <w:ind w:firstLine="3840" w:firstLineChars="1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XX年XX月XX日</w:t>
      </w:r>
    </w:p>
    <w:p>
      <w:pPr>
        <w:rPr>
          <w:rFonts w:hint="eastAsia"/>
          <w:lang w:val="en-US" w:eastAsia="zh-CN"/>
        </w:rPr>
      </w:pPr>
    </w:p>
    <w:sectPr>
      <w:headerReference r:id="rId3" w:type="default"/>
      <w:footerReference r:id="rId4" w:type="default"/>
      <w:pgSz w:w="11906" w:h="16838"/>
      <w:pgMar w:top="1984" w:right="1446" w:bottom="1644" w:left="1446" w:header="851" w:footer="1304" w:gutter="0"/>
      <w:pgBorders>
        <w:top w:val="none" w:sz="0" w:space="0"/>
        <w:left w:val="none" w:sz="0" w:space="0"/>
        <w:bottom w:val="none" w:sz="0" w:space="0"/>
        <w:right w:val="none" w:sz="0" w:space="0"/>
      </w:pgBorders>
      <w:pgNumType w:fmt="decimal"/>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方正仿宋简体">
    <w:altName w:val="方正仿宋_GBK"/>
    <w:panose1 w:val="02000000000000000000"/>
    <w:charset w:val="86"/>
    <w:family w:val="roman"/>
    <w:pitch w:val="default"/>
    <w:sig w:usb0="00000000" w:usb1="00000000"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MicrosoftYaHei">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1"/>
        <w:left w:val="none" w:color="auto" w:sz="0" w:space="4"/>
        <w:bottom w:val="none" w:color="auto" w:sz="0" w:space="1"/>
        <w:right w:val="none" w:color="auto" w:sz="0" w:space="4"/>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tentative="0">
      <w:start w:val="1"/>
      <w:numFmt w:val="chineseCounting"/>
      <w:pStyle w:val="58"/>
      <w:suff w:val="nothing"/>
      <w:lvlText w:val="（%1）"/>
      <w:lvlJc w:val="left"/>
    </w:lvl>
  </w:abstractNum>
  <w:abstractNum w:abstractNumId="1">
    <w:nsid w:val="0000000A"/>
    <w:multiLevelType w:val="multilevel"/>
    <w:tmpl w:val="0000000A"/>
    <w:lvl w:ilvl="0" w:tentative="0">
      <w:start w:val="1"/>
      <w:numFmt w:val="decimal"/>
      <w:pStyle w:val="40"/>
      <w:lvlText w:val="%1"/>
      <w:lvlJc w:val="left"/>
      <w:pPr>
        <w:tabs>
          <w:tab w:val="left" w:pos="0"/>
        </w:tabs>
        <w:ind w:left="0" w:firstLine="0"/>
      </w:pPr>
      <w:rPr>
        <w:rFonts w:hint="eastAsia"/>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315"/>
  <w:drawingGridVerticalSpacing w:val="290"/>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F7614"/>
    <w:rsid w:val="0011652D"/>
    <w:rsid w:val="00147C97"/>
    <w:rsid w:val="00151EA4"/>
    <w:rsid w:val="00182FB6"/>
    <w:rsid w:val="001E2436"/>
    <w:rsid w:val="00260B5C"/>
    <w:rsid w:val="002A7C60"/>
    <w:rsid w:val="0032501D"/>
    <w:rsid w:val="00353651"/>
    <w:rsid w:val="0037543B"/>
    <w:rsid w:val="003F233D"/>
    <w:rsid w:val="00430CAD"/>
    <w:rsid w:val="00493596"/>
    <w:rsid w:val="004F29A6"/>
    <w:rsid w:val="004F66EC"/>
    <w:rsid w:val="005449F2"/>
    <w:rsid w:val="005C3FAB"/>
    <w:rsid w:val="005D3C39"/>
    <w:rsid w:val="006957B9"/>
    <w:rsid w:val="006D5CAA"/>
    <w:rsid w:val="00711918"/>
    <w:rsid w:val="007537FC"/>
    <w:rsid w:val="00754D10"/>
    <w:rsid w:val="007C65C9"/>
    <w:rsid w:val="007D6145"/>
    <w:rsid w:val="00812586"/>
    <w:rsid w:val="00833748"/>
    <w:rsid w:val="0083471D"/>
    <w:rsid w:val="008632C7"/>
    <w:rsid w:val="008824E8"/>
    <w:rsid w:val="008B43FB"/>
    <w:rsid w:val="009C64A9"/>
    <w:rsid w:val="009D0102"/>
    <w:rsid w:val="00A078D6"/>
    <w:rsid w:val="00BC3EA3"/>
    <w:rsid w:val="00C7783A"/>
    <w:rsid w:val="00C8279A"/>
    <w:rsid w:val="00D84C0D"/>
    <w:rsid w:val="00E12125"/>
    <w:rsid w:val="00E16041"/>
    <w:rsid w:val="00E17C41"/>
    <w:rsid w:val="00E354C4"/>
    <w:rsid w:val="00E87CD6"/>
    <w:rsid w:val="00EE21B9"/>
    <w:rsid w:val="00F30C14"/>
    <w:rsid w:val="00F32AE0"/>
    <w:rsid w:val="00F76EA6"/>
    <w:rsid w:val="01BD39D1"/>
    <w:rsid w:val="02FD3164"/>
    <w:rsid w:val="037C5D23"/>
    <w:rsid w:val="06B9493A"/>
    <w:rsid w:val="08DD1A8B"/>
    <w:rsid w:val="0A0B64DE"/>
    <w:rsid w:val="0B403427"/>
    <w:rsid w:val="0BB64D3D"/>
    <w:rsid w:val="0CC13D99"/>
    <w:rsid w:val="0E6331AC"/>
    <w:rsid w:val="10BE2F02"/>
    <w:rsid w:val="12330A04"/>
    <w:rsid w:val="13552CD1"/>
    <w:rsid w:val="145D73C8"/>
    <w:rsid w:val="15D12C8A"/>
    <w:rsid w:val="181C5BA7"/>
    <w:rsid w:val="1BA742DE"/>
    <w:rsid w:val="1C487C16"/>
    <w:rsid w:val="1EDB2487"/>
    <w:rsid w:val="20A11861"/>
    <w:rsid w:val="22625CAF"/>
    <w:rsid w:val="236F3CDD"/>
    <w:rsid w:val="238C176F"/>
    <w:rsid w:val="26C231BE"/>
    <w:rsid w:val="27840116"/>
    <w:rsid w:val="27B16DAB"/>
    <w:rsid w:val="2A595CA4"/>
    <w:rsid w:val="2B335B03"/>
    <w:rsid w:val="2EAC0A9D"/>
    <w:rsid w:val="2F1C0F5A"/>
    <w:rsid w:val="2F6D0861"/>
    <w:rsid w:val="30114ACD"/>
    <w:rsid w:val="30690310"/>
    <w:rsid w:val="310C1F57"/>
    <w:rsid w:val="33746467"/>
    <w:rsid w:val="33D05361"/>
    <w:rsid w:val="350C3F17"/>
    <w:rsid w:val="35165175"/>
    <w:rsid w:val="36B24EED"/>
    <w:rsid w:val="37BC0B2F"/>
    <w:rsid w:val="388D4AA2"/>
    <w:rsid w:val="390F2AEA"/>
    <w:rsid w:val="393E0249"/>
    <w:rsid w:val="3A6C2C4E"/>
    <w:rsid w:val="3A854576"/>
    <w:rsid w:val="3B0D78EC"/>
    <w:rsid w:val="3BCF78C4"/>
    <w:rsid w:val="3BD6093A"/>
    <w:rsid w:val="3C4C637B"/>
    <w:rsid w:val="3E0614F2"/>
    <w:rsid w:val="3E5052B5"/>
    <w:rsid w:val="3F133717"/>
    <w:rsid w:val="411C2823"/>
    <w:rsid w:val="41C112C9"/>
    <w:rsid w:val="43C6610D"/>
    <w:rsid w:val="471E207C"/>
    <w:rsid w:val="4A186B47"/>
    <w:rsid w:val="4BB03F1D"/>
    <w:rsid w:val="4BB95721"/>
    <w:rsid w:val="4C1A1B04"/>
    <w:rsid w:val="4CC97FB1"/>
    <w:rsid w:val="4F7B32CE"/>
    <w:rsid w:val="50744AC6"/>
    <w:rsid w:val="51074450"/>
    <w:rsid w:val="51BC13BD"/>
    <w:rsid w:val="51CF206F"/>
    <w:rsid w:val="538B4ECF"/>
    <w:rsid w:val="53EF59E8"/>
    <w:rsid w:val="54B1574A"/>
    <w:rsid w:val="5579070C"/>
    <w:rsid w:val="55A844DC"/>
    <w:rsid w:val="56515417"/>
    <w:rsid w:val="56CD6EB1"/>
    <w:rsid w:val="57415BA0"/>
    <w:rsid w:val="5A107076"/>
    <w:rsid w:val="5C1062F4"/>
    <w:rsid w:val="5ED031EF"/>
    <w:rsid w:val="5F70171C"/>
    <w:rsid w:val="60CF2886"/>
    <w:rsid w:val="627E215E"/>
    <w:rsid w:val="62D23458"/>
    <w:rsid w:val="62D60ABC"/>
    <w:rsid w:val="640809EB"/>
    <w:rsid w:val="65E838B7"/>
    <w:rsid w:val="6613663F"/>
    <w:rsid w:val="67F258A0"/>
    <w:rsid w:val="69352162"/>
    <w:rsid w:val="695C4F84"/>
    <w:rsid w:val="6A7B2497"/>
    <w:rsid w:val="6ACA5B0D"/>
    <w:rsid w:val="6C18016C"/>
    <w:rsid w:val="6DCE7341"/>
    <w:rsid w:val="6E1B72B2"/>
    <w:rsid w:val="6E210C60"/>
    <w:rsid w:val="6EC01859"/>
    <w:rsid w:val="6F897B13"/>
    <w:rsid w:val="70696EF2"/>
    <w:rsid w:val="70D34EDD"/>
    <w:rsid w:val="71E350B9"/>
    <w:rsid w:val="73AD2BBF"/>
    <w:rsid w:val="73EE58FD"/>
    <w:rsid w:val="77E45ECB"/>
    <w:rsid w:val="782F611F"/>
    <w:rsid w:val="7A667D43"/>
    <w:rsid w:val="7B12559C"/>
    <w:rsid w:val="7E627586"/>
    <w:rsid w:val="7E742101"/>
    <w:rsid w:val="FFEFCB4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方正仿宋_GBK" w:cs="Times New Roman"/>
      <w:kern w:val="2"/>
      <w:sz w:val="32"/>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qFormat/>
    <w:uiPriority w:val="0"/>
    <w:pPr>
      <w:keepLines/>
      <w:numPr>
        <w:ilvl w:val="0"/>
        <w:numId w:val="0"/>
      </w:numPr>
      <w:spacing w:before="156" w:beforeLines="50" w:after="156" w:afterLines="50" w:line="500" w:lineRule="atLeast"/>
      <w:outlineLvl w:val="3"/>
    </w:pPr>
    <w:rPr>
      <w:rFonts w:ascii="微软雅黑" w:hAnsi="微软雅黑" w:eastAsia="微软雅黑"/>
      <w:bCs/>
      <w:kern w:val="2"/>
      <w:sz w:val="28"/>
      <w:szCs w:val="28"/>
    </w:rPr>
  </w:style>
  <w:style w:type="character" w:default="1" w:styleId="24">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Times New Roman" w:hAnsi="Times New Roman" w:eastAsia="等线" w:cs="Times New Roman"/>
      <w:color w:val="000000"/>
      <w:sz w:val="24"/>
      <w:szCs w:val="24"/>
      <w:lang w:val="en-US" w:eastAsia="zh-CN" w:bidi="ar-SA"/>
    </w:rPr>
  </w:style>
  <w:style w:type="paragraph" w:styleId="6">
    <w:name w:val="index 5"/>
    <w:basedOn w:val="1"/>
    <w:next w:val="1"/>
    <w:qFormat/>
    <w:uiPriority w:val="0"/>
    <w:pPr>
      <w:ind w:left="1680"/>
    </w:pPr>
  </w:style>
  <w:style w:type="paragraph" w:styleId="7">
    <w:name w:val="Body Text"/>
    <w:basedOn w:val="1"/>
    <w:next w:val="1"/>
    <w:qFormat/>
    <w:uiPriority w:val="0"/>
    <w:pPr>
      <w:spacing w:line="600" w:lineRule="exact"/>
    </w:pPr>
    <w:rPr>
      <w:rFonts w:ascii="仿宋_GB2312" w:eastAsia="仿宋_GB2312"/>
      <w:sz w:val="32"/>
      <w:szCs w:val="20"/>
    </w:rPr>
  </w:style>
  <w:style w:type="paragraph" w:styleId="8">
    <w:name w:val="Body Text Indent"/>
    <w:basedOn w:val="1"/>
    <w:qFormat/>
    <w:uiPriority w:val="0"/>
    <w:pPr>
      <w:ind w:firstLine="420"/>
    </w:pPr>
    <w:rPr>
      <w:rFonts w:ascii="方正小标宋_GBK" w:eastAsia="方正小标宋_GBK"/>
      <w:sz w:val="36"/>
    </w:rPr>
  </w:style>
  <w:style w:type="paragraph" w:styleId="9">
    <w:name w:val="toc 5"/>
    <w:next w:val="1"/>
    <w:qFormat/>
    <w:uiPriority w:val="0"/>
    <w:pPr>
      <w:widowControl w:val="0"/>
      <w:ind w:left="1680" w:leftChars="800"/>
      <w:jc w:val="both"/>
    </w:pPr>
    <w:rPr>
      <w:rFonts w:ascii="Calibri" w:hAnsi="Calibri" w:eastAsia="宋体" w:cs="Times New Roman"/>
      <w:kern w:val="2"/>
      <w:sz w:val="32"/>
      <w:szCs w:val="24"/>
      <w:lang w:val="en-US" w:eastAsia="zh-CN" w:bidi="ar-SA"/>
    </w:rPr>
  </w:style>
  <w:style w:type="paragraph" w:styleId="10">
    <w:name w:val="toc 3"/>
    <w:basedOn w:val="1"/>
    <w:next w:val="1"/>
    <w:qFormat/>
    <w:uiPriority w:val="0"/>
    <w:pPr>
      <w:spacing w:line="300" w:lineRule="auto"/>
      <w:ind w:left="840" w:leftChars="400"/>
    </w:pPr>
    <w:rPr>
      <w:rFonts w:ascii="Times New Roman" w:hAnsi="Times New Roman" w:eastAsia="仿宋_GB2312"/>
      <w:sz w:val="28"/>
      <w:szCs w:val="24"/>
    </w:rPr>
  </w:style>
  <w:style w:type="paragraph" w:styleId="11">
    <w:name w:val="Plain Text"/>
    <w:basedOn w:val="1"/>
    <w:qFormat/>
    <w:uiPriority w:val="0"/>
    <w:pPr>
      <w:spacing w:line="520" w:lineRule="exact"/>
      <w:ind w:firstLine="640" w:firstLineChars="200"/>
    </w:pPr>
    <w:rPr>
      <w:rFonts w:ascii="宋体" w:hAnsi="Courier New" w:cs="Courier New"/>
      <w:bCs/>
      <w:szCs w:val="21"/>
    </w:rPr>
  </w:style>
  <w:style w:type="paragraph" w:styleId="12">
    <w:name w:val="Balloon Text"/>
    <w:basedOn w:val="1"/>
    <w:qFormat/>
    <w:uiPriority w:val="0"/>
    <w:rPr>
      <w:sz w:val="18"/>
      <w:szCs w:val="18"/>
    </w:rPr>
  </w:style>
  <w:style w:type="paragraph" w:styleId="13">
    <w:name w:val="footer"/>
    <w:basedOn w:val="1"/>
    <w:next w:val="14"/>
    <w:qFormat/>
    <w:uiPriority w:val="0"/>
    <w:pPr>
      <w:tabs>
        <w:tab w:val="center" w:pos="4153"/>
        <w:tab w:val="right" w:pos="8306"/>
      </w:tabs>
      <w:snapToGrid w:val="0"/>
      <w:jc w:val="left"/>
    </w:pPr>
    <w:rPr>
      <w:sz w:val="18"/>
    </w:rPr>
  </w:style>
  <w:style w:type="paragraph" w:customStyle="1" w:styleId="14">
    <w:name w:val="索引 51"/>
    <w:basedOn w:val="1"/>
    <w:next w:val="1"/>
    <w:qFormat/>
    <w:uiPriority w:val="0"/>
    <w:pPr>
      <w:ind w:left="1680"/>
    </w:pPr>
  </w:style>
  <w:style w:type="paragraph" w:styleId="15">
    <w:name w:val="header"/>
    <w:basedOn w:val="1"/>
    <w:qFormat/>
    <w:uiPriority w:val="0"/>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0"/>
    <w:pPr>
      <w:tabs>
        <w:tab w:val="right" w:leader="dot" w:pos="8296"/>
      </w:tabs>
      <w:spacing w:line="360" w:lineRule="auto"/>
    </w:pPr>
    <w:rPr>
      <w:rFonts w:ascii="Arial" w:hAnsi="Arial" w:eastAsia="黑体" w:cs="Arial"/>
      <w:b/>
      <w:sz w:val="24"/>
      <w:szCs w:val="24"/>
    </w:rPr>
  </w:style>
  <w:style w:type="paragraph" w:styleId="17">
    <w:name w:val="toc 2"/>
    <w:basedOn w:val="1"/>
    <w:next w:val="1"/>
    <w:qFormat/>
    <w:uiPriority w:val="0"/>
    <w:pPr>
      <w:tabs>
        <w:tab w:val="right" w:leader="dot" w:pos="8296"/>
      </w:tabs>
      <w:ind w:left="420" w:leftChars="200"/>
    </w:pPr>
    <w:rPr>
      <w:rFonts w:ascii="Arial" w:hAnsi="Arial" w:eastAsia="黑体" w:cs="Arial"/>
      <w:sz w:val="22"/>
      <w:szCs w:val="24"/>
    </w:rPr>
  </w:style>
  <w:style w:type="paragraph" w:styleId="1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9">
    <w:name w:val="Normal (Web)"/>
    <w:basedOn w:val="1"/>
    <w:qFormat/>
    <w:uiPriority w:val="0"/>
    <w:rPr>
      <w:kern w:val="0"/>
      <w:sz w:val="24"/>
      <w:lang w:val="en-US" w:eastAsia="zh-CN"/>
    </w:rPr>
  </w:style>
  <w:style w:type="paragraph" w:styleId="20">
    <w:name w:val="Title"/>
    <w:basedOn w:val="1"/>
    <w:next w:val="1"/>
    <w:qFormat/>
    <w:uiPriority w:val="0"/>
    <w:pPr>
      <w:spacing w:before="240" w:after="60"/>
      <w:jc w:val="center"/>
      <w:outlineLvl w:val="0"/>
    </w:pPr>
    <w:rPr>
      <w:rFonts w:ascii="Cambria" w:hAnsi="Cambria" w:eastAsia="宋体" w:cs="Times New Roman"/>
      <w:b/>
      <w:bCs/>
      <w:szCs w:val="32"/>
    </w:rPr>
  </w:style>
  <w:style w:type="paragraph" w:styleId="21">
    <w:name w:val="Body Text First Indent 2"/>
    <w:basedOn w:val="8"/>
    <w:qFormat/>
    <w:uiPriority w:val="0"/>
    <w:pPr>
      <w:spacing w:after="0" w:line="420" w:lineRule="exact"/>
      <w:ind w:left="0" w:leftChars="0" w:firstLine="200" w:firstLineChars="200"/>
    </w:pPr>
    <w:rPr>
      <w:rFonts w:ascii="Calibri" w:hAnsi="Calibri" w:eastAsia="宋体" w:cs="Times New Roman"/>
      <w:color w:val="000000"/>
      <w:sz w:val="24"/>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page number"/>
    <w:qFormat/>
    <w:uiPriority w:val="0"/>
    <w:rPr>
      <w:rFonts w:ascii="宋体" w:eastAsia="宋体"/>
      <w:snapToGrid/>
      <w:kern w:val="0"/>
      <w:sz w:val="28"/>
    </w:rPr>
  </w:style>
  <w:style w:type="character" w:styleId="27">
    <w:name w:val="Hyperlink"/>
    <w:qFormat/>
    <w:uiPriority w:val="0"/>
    <w:rPr>
      <w:rFonts w:cs="Times New Roman"/>
      <w:color w:val="0000FF"/>
      <w:sz w:val="24"/>
      <w:u w:val="single"/>
    </w:rPr>
  </w:style>
  <w:style w:type="character" w:customStyle="1" w:styleId="28">
    <w:name w:val="page number"/>
    <w:qFormat/>
    <w:uiPriority w:val="0"/>
    <w:rPr>
      <w:sz w:val="28"/>
    </w:rPr>
  </w:style>
  <w:style w:type="character" w:customStyle="1" w:styleId="29">
    <w:name w:val="font31"/>
    <w:basedOn w:val="24"/>
    <w:qFormat/>
    <w:uiPriority w:val="0"/>
    <w:rPr>
      <w:rFonts w:hint="eastAsia" w:ascii="宋体" w:hAnsi="宋体" w:eastAsia="宋体" w:cs="宋体"/>
      <w:color w:val="000000"/>
      <w:sz w:val="24"/>
      <w:szCs w:val="24"/>
      <w:u w:val="none"/>
    </w:rPr>
  </w:style>
  <w:style w:type="character" w:customStyle="1" w:styleId="30">
    <w:name w:val="dash6b63_6587__char1"/>
    <w:qFormat/>
    <w:uiPriority w:val="0"/>
    <w:rPr>
      <w:rFonts w:ascii="Times New Roman" w:hAnsi="Times New Roman" w:eastAsia="仿宋" w:cs="Times New Roman"/>
      <w:sz w:val="32"/>
      <w:szCs w:val="32"/>
      <w:u w:val="none"/>
    </w:rPr>
  </w:style>
  <w:style w:type="character" w:customStyle="1" w:styleId="31">
    <w:name w:val="font61"/>
    <w:basedOn w:val="24"/>
    <w:qFormat/>
    <w:uiPriority w:val="0"/>
    <w:rPr>
      <w:rFonts w:hint="eastAsia" w:ascii="宋体" w:hAnsi="宋体" w:eastAsia="宋体" w:cs="宋体"/>
      <w:color w:val="000000"/>
      <w:sz w:val="20"/>
      <w:szCs w:val="20"/>
      <w:u w:val="none"/>
    </w:rPr>
  </w:style>
  <w:style w:type="character" w:customStyle="1" w:styleId="32">
    <w:name w:val="font51"/>
    <w:basedOn w:val="24"/>
    <w:qFormat/>
    <w:uiPriority w:val="0"/>
    <w:rPr>
      <w:rFonts w:hint="eastAsia" w:ascii="方正仿宋_GBK" w:hAnsi="方正仿宋_GBK" w:eastAsia="方正仿宋_GBK" w:cs="方正仿宋_GBK"/>
      <w:color w:val="000000"/>
      <w:sz w:val="24"/>
      <w:szCs w:val="24"/>
      <w:u w:val="none"/>
    </w:rPr>
  </w:style>
  <w:style w:type="character" w:customStyle="1" w:styleId="33">
    <w:name w:val="font01"/>
    <w:basedOn w:val="24"/>
    <w:qFormat/>
    <w:uiPriority w:val="0"/>
    <w:rPr>
      <w:rFonts w:hint="eastAsia" w:ascii="宋体" w:hAnsi="宋体" w:eastAsia="宋体" w:cs="宋体"/>
      <w:color w:val="000000"/>
      <w:sz w:val="24"/>
      <w:szCs w:val="24"/>
      <w:u w:val="none"/>
    </w:rPr>
  </w:style>
  <w:style w:type="character" w:customStyle="1" w:styleId="34">
    <w:name w:val="color1 Char Char"/>
    <w:link w:val="35"/>
    <w:qFormat/>
    <w:uiPriority w:val="0"/>
    <w:rPr>
      <w:rFonts w:ascii="宋体"/>
      <w:color w:val="2F6698"/>
      <w:sz w:val="24"/>
      <w:szCs w:val="22"/>
      <w:lang w:val="en-US" w:eastAsia="zh-CN" w:bidi="ar-SA"/>
    </w:rPr>
  </w:style>
  <w:style w:type="paragraph" w:customStyle="1" w:styleId="35">
    <w:name w:val="color1"/>
    <w:next w:val="6"/>
    <w:link w:val="34"/>
    <w:qFormat/>
    <w:uiPriority w:val="0"/>
    <w:pPr>
      <w:spacing w:before="100" w:beforeAutospacing="1" w:after="100" w:afterAutospacing="1"/>
    </w:pPr>
    <w:rPr>
      <w:rFonts w:ascii="宋体" w:hAnsi="等线" w:eastAsia="等线" w:cs="Times New Roman"/>
      <w:color w:val="2F6698"/>
      <w:sz w:val="24"/>
      <w:szCs w:val="22"/>
      <w:lang w:val="en-US" w:eastAsia="zh-CN" w:bidi="ar-SA"/>
    </w:rPr>
  </w:style>
  <w:style w:type="paragraph" w:customStyle="1" w:styleId="36">
    <w:name w:val="_Style 1"/>
    <w:basedOn w:val="1"/>
    <w:qFormat/>
    <w:uiPriority w:val="0"/>
    <w:pPr>
      <w:widowControl/>
      <w:spacing w:after="160" w:afterLines="0" w:line="240" w:lineRule="exact"/>
      <w:jc w:val="left"/>
    </w:pPr>
    <w:rPr>
      <w:sz w:val="24"/>
    </w:rPr>
  </w:style>
  <w:style w:type="paragraph" w:customStyle="1" w:styleId="37">
    <w:name w:val="_Style 2"/>
    <w:basedOn w:val="1"/>
    <w:qFormat/>
    <w:uiPriority w:val="0"/>
    <w:pPr>
      <w:numPr>
        <w:ilvl w:val="0"/>
        <w:numId w:val="1"/>
      </w:numPr>
      <w:tabs>
        <w:tab w:val="left" w:pos="0"/>
      </w:tabs>
    </w:pPr>
    <w:rPr>
      <w:rFonts w:eastAsia="方正仿宋简体"/>
      <w:szCs w:val="24"/>
    </w:rPr>
  </w:style>
  <w:style w:type="paragraph" w:customStyle="1" w:styleId="38">
    <w:name w:val="单页页脚"/>
    <w:basedOn w:val="1"/>
    <w:qFormat/>
    <w:uiPriority w:val="0"/>
    <w:pPr>
      <w:tabs>
        <w:tab w:val="center" w:pos="4153"/>
        <w:tab w:val="right" w:pos="8306"/>
      </w:tabs>
      <w:snapToGrid w:val="0"/>
      <w:ind w:right="320" w:rightChars="100"/>
      <w:jc w:val="right"/>
    </w:pPr>
    <w:rPr>
      <w:sz w:val="28"/>
      <w:szCs w:val="18"/>
    </w:rPr>
  </w:style>
  <w:style w:type="paragraph" w:customStyle="1" w:styleId="39">
    <w:name w:val="Plain Text"/>
    <w:basedOn w:val="1"/>
    <w:qFormat/>
    <w:uiPriority w:val="0"/>
    <w:rPr>
      <w:rFonts w:ascii="宋体" w:hAnsi="Courier New" w:cs="Courier New"/>
      <w:szCs w:val="21"/>
    </w:rPr>
  </w:style>
  <w:style w:type="paragraph" w:customStyle="1" w:styleId="40">
    <w:name w:val=" Char Char Char Char"/>
    <w:basedOn w:val="1"/>
    <w:qFormat/>
    <w:uiPriority w:val="0"/>
    <w:pPr>
      <w:numPr>
        <w:ilvl w:val="0"/>
        <w:numId w:val="2"/>
      </w:numPr>
    </w:pPr>
    <w:rPr>
      <w:sz w:val="24"/>
    </w:rPr>
  </w:style>
  <w:style w:type="paragraph" w:customStyle="1" w:styleId="41">
    <w:name w:val="列出段落1"/>
    <w:basedOn w:val="1"/>
    <w:qFormat/>
    <w:uiPriority w:val="99"/>
    <w:pPr>
      <w:ind w:firstLine="420" w:firstLineChars="200"/>
    </w:pPr>
    <w:rPr>
      <w:rFonts w:ascii="Calibri" w:hAnsi="Calibri" w:eastAsia="宋体" w:cs="Times New Roman"/>
      <w:sz w:val="21"/>
      <w:szCs w:val="24"/>
    </w:rPr>
  </w:style>
  <w:style w:type="paragraph" w:customStyle="1" w:styleId="42">
    <w:name w:val=" Char Char6"/>
    <w:basedOn w:val="1"/>
    <w:qFormat/>
    <w:uiPriority w:val="0"/>
    <w:pPr>
      <w:snapToGrid w:val="0"/>
      <w:spacing w:line="360" w:lineRule="auto"/>
      <w:ind w:firstLine="200" w:firstLineChars="200"/>
    </w:pPr>
    <w:rPr>
      <w:rFonts w:eastAsia="宋体"/>
      <w:sz w:val="21"/>
      <w:szCs w:val="22"/>
    </w:rPr>
  </w:style>
  <w:style w:type="paragraph" w:customStyle="1" w:styleId="43">
    <w:name w:val="默认段落字体 Para Char Char Char1 Char"/>
    <w:basedOn w:val="1"/>
    <w:qFormat/>
    <w:uiPriority w:val="0"/>
    <w:pPr>
      <w:spacing w:line="240" w:lineRule="atLeast"/>
      <w:ind w:left="420" w:firstLine="420"/>
    </w:pPr>
    <w:rPr>
      <w:sz w:val="24"/>
    </w:rPr>
  </w:style>
  <w:style w:type="paragraph" w:styleId="44">
    <w:name w:val="No Spacing"/>
    <w:qFormat/>
    <w:uiPriority w:val="0"/>
    <w:pPr>
      <w:widowControl w:val="0"/>
      <w:jc w:val="both"/>
    </w:pPr>
    <w:rPr>
      <w:rFonts w:ascii="等线" w:hAnsi="等线" w:eastAsia="等线" w:cs="Times New Roman"/>
      <w:kern w:val="2"/>
      <w:sz w:val="21"/>
      <w:szCs w:val="22"/>
      <w:lang w:val="en-US" w:eastAsia="zh-CN" w:bidi="ar-SA"/>
    </w:rPr>
  </w:style>
  <w:style w:type="paragraph" w:customStyle="1" w:styleId="45">
    <w:name w:val="预1"/>
    <w:basedOn w:val="3"/>
    <w:next w:val="1"/>
    <w:qFormat/>
    <w:uiPriority w:val="0"/>
    <w:pPr>
      <w:spacing w:before="0" w:beforeLines="0" w:after="0" w:afterLines="0" w:line="240" w:lineRule="auto"/>
      <w:ind w:firstLine="200" w:firstLineChars="200"/>
    </w:pPr>
    <w:rPr>
      <w:rFonts w:eastAsia="方正黑体_GBK" w:cs="宋体"/>
      <w:b w:val="0"/>
      <w:sz w:val="32"/>
      <w:szCs w:val="20"/>
    </w:rPr>
  </w:style>
  <w:style w:type="paragraph" w:customStyle="1" w:styleId="46">
    <w:name w:val="Char Char Char Char Char Char Char Char Char Char Char Char Char Char Char Char Char Char Char Char Char Char Char Char Char Char Char Char Char Char Char Char Char"/>
    <w:basedOn w:val="1"/>
    <w:qFormat/>
    <w:uiPriority w:val="0"/>
    <w:pPr>
      <w:widowControl/>
      <w:spacing w:after="160" w:afterLines="0" w:line="240" w:lineRule="exact"/>
      <w:jc w:val="left"/>
    </w:pPr>
    <w:rPr>
      <w:sz w:val="24"/>
    </w:rPr>
  </w:style>
  <w:style w:type="paragraph" w:customStyle="1" w:styleId="47">
    <w:name w:val="Char Char Char Char"/>
    <w:basedOn w:val="1"/>
    <w:qFormat/>
    <w:uiPriority w:val="0"/>
  </w:style>
  <w:style w:type="paragraph" w:customStyle="1" w:styleId="48">
    <w:name w:val="Char Char Char Char Char Char Char Char Char Char Char Char Char Char Char Char"/>
    <w:basedOn w:val="1"/>
    <w:qFormat/>
    <w:uiPriority w:val="0"/>
    <w:pPr>
      <w:tabs>
        <w:tab w:val="left" w:pos="360"/>
      </w:tabs>
    </w:pPr>
    <w:rPr>
      <w:sz w:val="24"/>
    </w:rPr>
  </w:style>
  <w:style w:type="paragraph" w:customStyle="1" w:styleId="49">
    <w:name w:val="Char Char1 Char"/>
    <w:basedOn w:val="1"/>
    <w:qFormat/>
    <w:uiPriority w:val="0"/>
    <w:rPr>
      <w:sz w:val="24"/>
    </w:rPr>
  </w:style>
  <w:style w:type="paragraph" w:customStyle="1" w:styleId="50">
    <w:name w:val="Char"/>
    <w:basedOn w:val="1"/>
    <w:qFormat/>
    <w:uiPriority w:val="0"/>
    <w:pPr>
      <w:widowControl/>
      <w:spacing w:after="160" w:afterLines="0" w:line="240" w:lineRule="exact"/>
      <w:jc w:val="left"/>
    </w:pPr>
    <w:rPr>
      <w:sz w:val="24"/>
    </w:rPr>
  </w:style>
  <w:style w:type="paragraph" w:customStyle="1" w:styleId="51">
    <w:name w:val="Char Char Char Char Char Char Char Char Char Char Char Char Char Char Char Char Char Char Char"/>
    <w:basedOn w:val="1"/>
    <w:qFormat/>
    <w:uiPriority w:val="0"/>
    <w:pPr>
      <w:tabs>
        <w:tab w:val="left" w:pos="907"/>
      </w:tabs>
      <w:ind w:left="907" w:hanging="453"/>
    </w:pPr>
    <w:rPr>
      <w:sz w:val="24"/>
    </w:rPr>
  </w:style>
  <w:style w:type="paragraph" w:customStyle="1" w:styleId="52">
    <w:name w:val=" Char4 Char Char Char"/>
    <w:basedOn w:val="1"/>
    <w:qFormat/>
    <w:uiPriority w:val="0"/>
    <w:pPr>
      <w:adjustRightInd w:val="0"/>
      <w:snapToGrid w:val="0"/>
      <w:spacing w:line="360" w:lineRule="auto"/>
      <w:ind w:firstLine="200" w:firstLineChars="200"/>
    </w:pPr>
    <w:rPr>
      <w:sz w:val="24"/>
    </w:rPr>
  </w:style>
  <w:style w:type="paragraph" w:customStyle="1" w:styleId="53">
    <w:name w:val=" Char Char Char Char Char Char Char Char Char"/>
    <w:basedOn w:val="1"/>
    <w:qFormat/>
    <w:uiPriority w:val="0"/>
    <w:rPr>
      <w:rFonts w:ascii="Calibri" w:hAnsi="Calibri" w:eastAsia="仿宋_GB2312"/>
      <w:sz w:val="21"/>
      <w:szCs w:val="24"/>
    </w:rPr>
  </w:style>
  <w:style w:type="paragraph" w:customStyle="1" w:styleId="54">
    <w:name w:val="Normal (Web)"/>
    <w:basedOn w:val="1"/>
    <w:qFormat/>
    <w:uiPriority w:val="0"/>
    <w:pPr>
      <w:spacing w:before="0" w:beforeLines="0" w:beforeAutospacing="0" w:after="0" w:afterLines="0" w:afterAutospacing="0"/>
      <w:ind w:left="0" w:right="0"/>
      <w:jc w:val="left"/>
    </w:pPr>
    <w:rPr>
      <w:kern w:val="0"/>
      <w:sz w:val="24"/>
      <w:lang w:val="en-US" w:eastAsia="zh-CN"/>
    </w:rPr>
  </w:style>
  <w:style w:type="paragraph" w:customStyle="1" w:styleId="55">
    <w:name w:val="双页页脚"/>
    <w:basedOn w:val="1"/>
    <w:qFormat/>
    <w:uiPriority w:val="0"/>
    <w:pPr>
      <w:tabs>
        <w:tab w:val="center" w:pos="4153"/>
        <w:tab w:val="right" w:pos="8306"/>
      </w:tabs>
      <w:snapToGrid w:val="0"/>
      <w:ind w:left="100" w:leftChars="100"/>
      <w:jc w:val="left"/>
    </w:pPr>
    <w:rPr>
      <w:sz w:val="28"/>
      <w:szCs w:val="18"/>
    </w:rPr>
  </w:style>
  <w:style w:type="paragraph" w:customStyle="1" w:styleId="56">
    <w:name w:val="_Style 3"/>
    <w:basedOn w:val="1"/>
    <w:qFormat/>
    <w:uiPriority w:val="0"/>
    <w:pPr>
      <w:tabs>
        <w:tab w:val="left" w:pos="360"/>
      </w:tabs>
    </w:pPr>
    <w:rPr>
      <w:sz w:val="24"/>
    </w:rPr>
  </w:style>
  <w:style w:type="paragraph" w:customStyle="1" w:styleId="57">
    <w:name w:val="p0"/>
    <w:basedOn w:val="1"/>
    <w:qFormat/>
    <w:uiPriority w:val="0"/>
    <w:pPr>
      <w:widowControl/>
    </w:pPr>
    <w:rPr>
      <w:rFonts w:ascii="Calibri" w:hAnsi="Calibri" w:eastAsia="宋体" w:cs="宋体"/>
      <w:kern w:val="0"/>
      <w:sz w:val="21"/>
      <w:szCs w:val="21"/>
    </w:rPr>
  </w:style>
  <w:style w:type="paragraph" w:customStyle="1" w:styleId="58">
    <w:name w:val=" Char"/>
    <w:basedOn w:val="1"/>
    <w:qFormat/>
    <w:uiPriority w:val="0"/>
    <w:pPr>
      <w:numPr>
        <w:ilvl w:val="0"/>
        <w:numId w:val="1"/>
      </w:numPr>
      <w:tabs>
        <w:tab w:val="left" w:pos="1080"/>
      </w:tabs>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5</Pages>
  <Words>211</Words>
  <Characters>1206</Characters>
  <Lines>10</Lines>
  <Paragraphs>2</Paragraphs>
  <TotalTime>1</TotalTime>
  <ScaleCrop>false</ScaleCrop>
  <LinksUpToDate>false</LinksUpToDate>
  <CharactersWithSpaces>1415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2020-01-28T16:44:00Z</dcterms:created>
  <dc:creator>微软中国</dc:creator>
  <cp:lastModifiedBy>Administrator</cp:lastModifiedBy>
  <cp:lastPrinted>2026-07-15T11:27:00Z</cp:lastPrinted>
  <dcterms:modified xsi:type="dcterms:W3CDTF">2026-07-15T08:51:45Z</dcterms:modified>
  <dc:title>（来文单位：□□□□）</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D4E93840E878491CB4470418429CBAD2</vt:lpwstr>
  </property>
</Properties>
</file>