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colors8.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charts/style8.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00" w:beforeAutospacing="1" w:after="100" w:afterAutospacing="1" w:line="480" w:lineRule="auto"/>
        <w:jc w:val="center"/>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2018年重庆市荣昌区国民经济和社会发展统计公报</w:t>
      </w:r>
    </w:p>
    <w:p>
      <w:pPr>
        <w:spacing w:line="480" w:lineRule="auto"/>
        <w:ind w:firstLine="560" w:firstLineChars="200"/>
        <w:jc w:val="center"/>
        <w:rPr>
          <w:rFonts w:ascii="仿宋_GB2312" w:eastAsia="仿宋_GB2312"/>
          <w:sz w:val="28"/>
          <w:szCs w:val="28"/>
        </w:rPr>
      </w:pPr>
      <w:r>
        <w:rPr>
          <w:rFonts w:hint="eastAsia" w:ascii="仿宋_GB2312" w:eastAsia="仿宋_GB2312"/>
          <w:sz w:val="28"/>
          <w:szCs w:val="28"/>
        </w:rPr>
        <w:t>重庆市荣昌区统计局</w:t>
      </w:r>
    </w:p>
    <w:p>
      <w:pPr>
        <w:spacing w:line="480" w:lineRule="auto"/>
        <w:ind w:firstLine="560" w:firstLineChars="200"/>
        <w:jc w:val="center"/>
        <w:rPr>
          <w:rFonts w:ascii="仿宋_GB2312" w:eastAsia="仿宋_GB2312"/>
          <w:sz w:val="28"/>
          <w:szCs w:val="28"/>
        </w:rPr>
      </w:pPr>
      <w:r>
        <w:rPr>
          <w:rFonts w:hint="eastAsia" w:ascii="仿宋_GB2312" w:eastAsia="仿宋_GB2312"/>
          <w:sz w:val="28"/>
          <w:szCs w:val="28"/>
        </w:rPr>
        <w:t>2019年3月11日</w:t>
      </w:r>
    </w:p>
    <w:p>
      <w:pPr>
        <w:pStyle w:val="5"/>
        <w:tabs>
          <w:tab w:val="left" w:pos="550"/>
        </w:tabs>
        <w:spacing w:before="0" w:beforeAutospacing="0" w:after="0" w:afterAutospacing="0"/>
        <w:ind w:right="44" w:firstLine="640" w:firstLineChars="200"/>
        <w:jc w:val="both"/>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2018年，全区上下以习近平新时代中国特色社会主义思想为指导，紧紧围绕习近平总书记对重庆提出的“两点”定位、“两地”“两高”目标和营造良好政治生态、做到“四个扎实”的重要指示要求，聚焦“高质量、供给侧、智能化”，坚持“说了算、定了干、马上办”，实施“三大主题年”，推动“三件大事”，做好“四篇文章”，全区经济稳步发展，各项社会事业全面进步。</w:t>
      </w:r>
    </w:p>
    <w:p>
      <w:pPr>
        <w:pStyle w:val="5"/>
        <w:tabs>
          <w:tab w:val="left" w:pos="550"/>
        </w:tabs>
        <w:spacing w:before="0" w:beforeAutospacing="0" w:after="0" w:afterAutospacing="0"/>
        <w:ind w:right="44" w:firstLine="643" w:firstLineChars="200"/>
        <w:jc w:val="both"/>
        <w:rPr>
          <w:rFonts w:ascii="方正黑体_GBK" w:hAnsi="方正黑体_GBK" w:eastAsia="方正黑体_GBK" w:cs="方正黑体_GBK"/>
          <w:b/>
          <w:sz w:val="32"/>
          <w:szCs w:val="32"/>
        </w:rPr>
      </w:pPr>
      <w:r>
        <w:rPr>
          <w:rFonts w:hint="eastAsia" w:ascii="方正黑体_GBK" w:hAnsi="方正黑体_GBK" w:eastAsia="方正黑体_GBK" w:cs="方正黑体_GBK"/>
          <w:b/>
          <w:sz w:val="32"/>
          <w:szCs w:val="32"/>
        </w:rPr>
        <w:tab/>
      </w:r>
      <w:r>
        <w:rPr>
          <w:rFonts w:hint="eastAsia" w:ascii="方正黑体_GBK" w:hAnsi="方正黑体_GBK" w:eastAsia="方正黑体_GBK" w:cs="方正黑体_GBK"/>
          <w:b/>
          <w:sz w:val="32"/>
          <w:szCs w:val="32"/>
        </w:rPr>
        <w:t>一、综合</w:t>
      </w:r>
    </w:p>
    <w:p>
      <w:pPr>
        <w:pStyle w:val="5"/>
        <w:spacing w:before="0" w:beforeAutospacing="0" w:after="0" w:afterAutospacing="0"/>
        <w:ind w:right="44" w:firstLine="640" w:firstLineChars="200"/>
        <w:jc w:val="both"/>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全年实现地区生产总值5048801万元，比上年增长9.5%。按产业分，第一产业增加值489552万元，增长3.8%；第二产业增加值2940926万元，增长8.6%；第三产业增加值1618323万元，增长12.9%。第一产业增加值占地区生产总值的比重为9.7%，比上年下降2.5个百分点；第二产业增加值比重为58.2%，比上年下降5.4个百分点；第三产业增加值比重为32.1%，比上年上升7.9个百分点。</w:t>
      </w:r>
    </w:p>
    <w:p>
      <w:pPr>
        <w:pStyle w:val="5"/>
        <w:spacing w:before="0" w:beforeAutospacing="0" w:after="0" w:afterAutospacing="0"/>
        <w:ind w:right="44" w:firstLine="640" w:firstLineChars="200"/>
        <w:jc w:val="both"/>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按常住人口计算，2018年全区人均生产总值达到70831元，比上年增长8.6%。</w:t>
      </w:r>
    </w:p>
    <w:p>
      <w:pPr>
        <w:pStyle w:val="5"/>
        <w:spacing w:before="0" w:beforeAutospacing="0" w:after="0" w:afterAutospacing="0"/>
        <w:ind w:right="44" w:firstLine="640" w:firstLineChars="200"/>
        <w:jc w:val="both"/>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年末全区常住人口71.56万人，比上年增加0.56万人。其中城镇人口40.49万人，增加1.57万人，城镇化率56.58%，比上年提高1.76个百分点。</w:t>
      </w:r>
    </w:p>
    <w:p>
      <w:pPr>
        <w:pStyle w:val="5"/>
        <w:spacing w:before="0" w:beforeAutospacing="0" w:after="0" w:afterAutospacing="0"/>
        <w:ind w:right="44" w:firstLine="640" w:firstLineChars="200"/>
        <w:jc w:val="both"/>
        <w:rPr>
          <w:rFonts w:ascii="方正仿宋_GBK" w:hAnsi="方正仿宋_GBK" w:eastAsia="方正仿宋_GBK" w:cs="方正仿宋_GBK"/>
          <w:color w:val="0000FF"/>
          <w:sz w:val="32"/>
          <w:szCs w:val="32"/>
        </w:rPr>
      </w:pPr>
      <w:r>
        <w:rPr>
          <w:rFonts w:hint="eastAsia" w:ascii="方正仿宋_GBK" w:hAnsi="方正仿宋_GBK" w:eastAsia="方正仿宋_GBK" w:cs="方正仿宋_GBK"/>
          <w:sz w:val="32"/>
          <w:szCs w:val="32"/>
        </w:rPr>
        <w:t>年末全区户籍人口850143人，比上年增加581人。其中城镇人口4</w:t>
      </w:r>
      <w:r>
        <w:rPr>
          <w:rFonts w:ascii="方正仿宋_GBK" w:hAnsi="方正仿宋_GBK" w:eastAsia="方正仿宋_GBK" w:cs="方正仿宋_GBK"/>
          <w:sz w:val="32"/>
          <w:szCs w:val="32"/>
        </w:rPr>
        <w:t>02222</w:t>
      </w:r>
      <w:r>
        <w:rPr>
          <w:rFonts w:hint="eastAsia" w:ascii="方正仿宋_GBK" w:hAnsi="方正仿宋_GBK" w:eastAsia="方正仿宋_GBK" w:cs="方正仿宋_GBK"/>
          <w:sz w:val="32"/>
          <w:szCs w:val="32"/>
        </w:rPr>
        <w:t>人，乡村人口4</w:t>
      </w:r>
      <w:r>
        <w:rPr>
          <w:rFonts w:ascii="方正仿宋_GBK" w:hAnsi="方正仿宋_GBK" w:eastAsia="方正仿宋_GBK" w:cs="方正仿宋_GBK"/>
          <w:sz w:val="32"/>
          <w:szCs w:val="32"/>
        </w:rPr>
        <w:t>47921</w:t>
      </w:r>
      <w:r>
        <w:rPr>
          <w:rFonts w:hint="eastAsia" w:ascii="方正仿宋_GBK" w:hAnsi="方正仿宋_GBK" w:eastAsia="方正仿宋_GBK" w:cs="方正仿宋_GBK"/>
          <w:sz w:val="32"/>
          <w:szCs w:val="32"/>
        </w:rPr>
        <w:t>人。分性别看，男性人口433110人，女性人口417033人，人口性别比（以女性为1，男性对女性的比例）为1.04。户籍户数311592户。全年出生人口9214人，出生人口性别比为1.03，出生率为10.8‰；死亡人口6511人，死亡率为7.7‰；自然增长率为3.2‰。</w:t>
      </w:r>
    </w:p>
    <w:p>
      <w:pPr>
        <w:widowControl/>
        <w:shd w:val="clear" w:color="auto" w:fill="FFFFFF"/>
        <w:spacing w:line="360" w:lineRule="auto"/>
        <w:ind w:firstLine="562" w:firstLineChars="200"/>
        <w:jc w:val="center"/>
        <w:rPr>
          <w:rFonts w:ascii="方正仿宋_GBK" w:hAnsi="方正仿宋_GBK" w:eastAsia="方正仿宋_GBK" w:cs="方正仿宋_GBK"/>
          <w:b/>
          <w:bCs/>
          <w:kern w:val="0"/>
          <w:sz w:val="28"/>
          <w:szCs w:val="28"/>
        </w:rPr>
      </w:pPr>
      <w:r>
        <w:rPr>
          <w:rFonts w:hint="eastAsia" w:ascii="方正仿宋_GBK" w:hAnsi="方正仿宋_GBK" w:eastAsia="方正仿宋_GBK" w:cs="方正仿宋_GBK"/>
          <w:b/>
          <w:bCs/>
          <w:kern w:val="0"/>
          <w:sz w:val="28"/>
          <w:szCs w:val="28"/>
        </w:rPr>
        <w:t>表1　2018年人口数及其构成</w:t>
      </w:r>
    </w:p>
    <w:tbl>
      <w:tblPr>
        <w:tblStyle w:val="6"/>
        <w:tblW w:w="7573" w:type="dxa"/>
        <w:tblInd w:w="648" w:type="dxa"/>
        <w:tblLayout w:type="fixed"/>
        <w:tblCellMar>
          <w:top w:w="0" w:type="dxa"/>
          <w:left w:w="108" w:type="dxa"/>
          <w:bottom w:w="0" w:type="dxa"/>
          <w:right w:w="108" w:type="dxa"/>
        </w:tblCellMar>
      </w:tblPr>
      <w:tblGrid>
        <w:gridCol w:w="3990"/>
        <w:gridCol w:w="1703"/>
        <w:gridCol w:w="1880"/>
      </w:tblGrid>
      <w:tr>
        <w:tblPrEx>
          <w:tblLayout w:type="fixed"/>
          <w:tblCellMar>
            <w:top w:w="0" w:type="dxa"/>
            <w:left w:w="108" w:type="dxa"/>
            <w:bottom w:w="0" w:type="dxa"/>
            <w:right w:w="108" w:type="dxa"/>
          </w:tblCellMar>
        </w:tblPrEx>
        <w:trPr>
          <w:trHeight w:val="734" w:hRule="atLeast"/>
        </w:trPr>
        <w:tc>
          <w:tcPr>
            <w:tcW w:w="3990" w:type="dxa"/>
            <w:tcBorders>
              <w:top w:val="single" w:color="auto" w:sz="4" w:space="0"/>
              <w:bottom w:val="single" w:color="auto" w:sz="4" w:space="0"/>
              <w:right w:val="single" w:color="auto" w:sz="4" w:space="0"/>
            </w:tcBorders>
            <w:vAlign w:val="center"/>
          </w:tcPr>
          <w:p>
            <w:pPr>
              <w:widowControl/>
              <w:shd w:val="clear" w:color="auto" w:fill="FFFFFF"/>
              <w:spacing w:line="360" w:lineRule="auto"/>
              <w:ind w:firstLine="482" w:firstLineChars="200"/>
              <w:jc w:val="center"/>
              <w:rPr>
                <w:rFonts w:ascii="方正仿宋_GBK" w:hAnsi="方正仿宋_GBK" w:eastAsia="方正仿宋_GBK" w:cs="方正仿宋_GBK"/>
                <w:b/>
                <w:bCs/>
                <w:kern w:val="0"/>
                <w:sz w:val="24"/>
              </w:rPr>
            </w:pPr>
            <w:r>
              <w:rPr>
                <w:rFonts w:hint="eastAsia" w:ascii="方正仿宋_GBK" w:hAnsi="方正仿宋_GBK" w:eastAsia="方正仿宋_GBK" w:cs="方正仿宋_GBK"/>
                <w:b/>
                <w:bCs/>
                <w:kern w:val="0"/>
                <w:sz w:val="24"/>
              </w:rPr>
              <w:t>指标名称</w:t>
            </w:r>
          </w:p>
        </w:tc>
        <w:tc>
          <w:tcPr>
            <w:tcW w:w="1703" w:type="dxa"/>
            <w:tcBorders>
              <w:top w:val="single" w:color="auto" w:sz="4" w:space="0"/>
              <w:left w:val="single" w:color="auto" w:sz="4" w:space="0"/>
              <w:bottom w:val="single" w:color="auto" w:sz="4" w:space="0"/>
              <w:right w:val="single" w:color="auto" w:sz="4" w:space="0"/>
            </w:tcBorders>
            <w:vAlign w:val="center"/>
          </w:tcPr>
          <w:p>
            <w:pPr>
              <w:widowControl/>
              <w:shd w:val="clear" w:color="auto" w:fill="FFFFFF"/>
              <w:spacing w:line="360" w:lineRule="auto"/>
              <w:ind w:firstLine="482" w:firstLineChars="200"/>
              <w:jc w:val="center"/>
              <w:rPr>
                <w:rFonts w:ascii="方正仿宋_GBK" w:hAnsi="方正仿宋_GBK" w:eastAsia="方正仿宋_GBK" w:cs="方正仿宋_GBK"/>
                <w:b/>
                <w:bCs/>
                <w:kern w:val="0"/>
                <w:sz w:val="24"/>
              </w:rPr>
            </w:pPr>
            <w:r>
              <w:rPr>
                <w:rFonts w:hint="eastAsia" w:ascii="方正仿宋_GBK" w:hAnsi="方正仿宋_GBK" w:eastAsia="方正仿宋_GBK" w:cs="方正仿宋_GBK"/>
                <w:b/>
                <w:bCs/>
                <w:kern w:val="0"/>
                <w:sz w:val="24"/>
              </w:rPr>
              <w:t>年末数</w:t>
            </w:r>
          </w:p>
        </w:tc>
        <w:tc>
          <w:tcPr>
            <w:tcW w:w="1880" w:type="dxa"/>
            <w:tcBorders>
              <w:top w:val="single" w:color="auto" w:sz="4" w:space="0"/>
              <w:left w:val="single" w:color="auto" w:sz="4" w:space="0"/>
              <w:bottom w:val="single" w:color="auto" w:sz="4" w:space="0"/>
            </w:tcBorders>
            <w:vAlign w:val="center"/>
          </w:tcPr>
          <w:p>
            <w:pPr>
              <w:widowControl/>
              <w:shd w:val="clear" w:color="auto" w:fill="FFFFFF"/>
              <w:spacing w:line="360" w:lineRule="auto"/>
              <w:ind w:firstLine="482" w:firstLineChars="200"/>
              <w:jc w:val="center"/>
              <w:rPr>
                <w:rFonts w:ascii="方正仿宋_GBK" w:hAnsi="方正仿宋_GBK" w:eastAsia="方正仿宋_GBK" w:cs="方正仿宋_GBK"/>
                <w:b/>
                <w:bCs/>
                <w:kern w:val="0"/>
                <w:sz w:val="24"/>
              </w:rPr>
            </w:pPr>
            <w:r>
              <w:rPr>
                <w:rFonts w:hint="eastAsia" w:ascii="方正仿宋_GBK" w:hAnsi="方正仿宋_GBK" w:eastAsia="方正仿宋_GBK" w:cs="方正仿宋_GBK"/>
                <w:b/>
                <w:bCs/>
                <w:kern w:val="0"/>
                <w:sz w:val="24"/>
              </w:rPr>
              <w:t>比重（％）</w:t>
            </w:r>
          </w:p>
        </w:tc>
      </w:tr>
      <w:tr>
        <w:tblPrEx>
          <w:tblLayout w:type="fixed"/>
          <w:tblCellMar>
            <w:top w:w="0" w:type="dxa"/>
            <w:left w:w="108" w:type="dxa"/>
            <w:bottom w:w="0" w:type="dxa"/>
            <w:right w:w="108" w:type="dxa"/>
          </w:tblCellMar>
        </w:tblPrEx>
        <w:trPr>
          <w:trHeight w:val="553" w:hRule="exact"/>
        </w:trPr>
        <w:tc>
          <w:tcPr>
            <w:tcW w:w="3990" w:type="dxa"/>
            <w:tcBorders>
              <w:right w:val="single" w:color="auto" w:sz="4" w:space="0"/>
            </w:tcBorders>
            <w:vAlign w:val="center"/>
          </w:tcPr>
          <w:p>
            <w:pPr>
              <w:widowControl/>
              <w:shd w:val="clear" w:color="auto" w:fill="FFFFFF"/>
              <w:spacing w:line="360" w:lineRule="auto"/>
              <w:ind w:firstLine="480" w:firstLineChars="200"/>
              <w:rPr>
                <w:rFonts w:ascii="方正仿宋_GBK" w:hAnsi="方正仿宋_GBK" w:eastAsia="方正仿宋_GBK" w:cs="方正仿宋_GBK"/>
                <w:bCs/>
                <w:kern w:val="0"/>
                <w:sz w:val="24"/>
              </w:rPr>
            </w:pPr>
            <w:r>
              <w:rPr>
                <w:rFonts w:hint="eastAsia" w:ascii="方正仿宋_GBK" w:hAnsi="方正仿宋_GBK" w:eastAsia="方正仿宋_GBK" w:cs="方正仿宋_GBK"/>
                <w:bCs/>
                <w:kern w:val="0"/>
                <w:sz w:val="24"/>
              </w:rPr>
              <w:t>常住人口（万人）</w:t>
            </w:r>
          </w:p>
        </w:tc>
        <w:tc>
          <w:tcPr>
            <w:tcW w:w="1703" w:type="dxa"/>
            <w:tcBorders>
              <w:left w:val="single" w:color="auto" w:sz="4" w:space="0"/>
            </w:tcBorders>
            <w:vAlign w:val="center"/>
          </w:tcPr>
          <w:p>
            <w:pPr>
              <w:widowControl/>
              <w:jc w:val="center"/>
              <w:textAlignment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71.56</w:t>
            </w:r>
          </w:p>
        </w:tc>
        <w:tc>
          <w:tcPr>
            <w:tcW w:w="1880" w:type="dxa"/>
            <w:vAlign w:val="center"/>
          </w:tcPr>
          <w:p>
            <w:pPr>
              <w:widowControl/>
              <w:jc w:val="center"/>
              <w:textAlignment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100</w:t>
            </w:r>
          </w:p>
        </w:tc>
      </w:tr>
      <w:tr>
        <w:tblPrEx>
          <w:tblLayout w:type="fixed"/>
          <w:tblCellMar>
            <w:top w:w="0" w:type="dxa"/>
            <w:left w:w="108" w:type="dxa"/>
            <w:bottom w:w="0" w:type="dxa"/>
            <w:right w:w="108" w:type="dxa"/>
          </w:tblCellMar>
        </w:tblPrEx>
        <w:trPr>
          <w:trHeight w:val="553" w:hRule="exact"/>
        </w:trPr>
        <w:tc>
          <w:tcPr>
            <w:tcW w:w="3990" w:type="dxa"/>
            <w:tcBorders>
              <w:right w:val="single" w:color="auto" w:sz="4" w:space="0"/>
            </w:tcBorders>
            <w:vAlign w:val="center"/>
          </w:tcPr>
          <w:p>
            <w:pPr>
              <w:widowControl/>
              <w:shd w:val="clear" w:color="auto" w:fill="FFFFFF"/>
              <w:spacing w:line="360" w:lineRule="auto"/>
              <w:ind w:firstLine="720" w:firstLineChars="300"/>
              <w:rPr>
                <w:rFonts w:ascii="方正仿宋_GBK" w:hAnsi="方正仿宋_GBK" w:eastAsia="方正仿宋_GBK" w:cs="方正仿宋_GBK"/>
                <w:bCs/>
                <w:kern w:val="0"/>
                <w:sz w:val="24"/>
              </w:rPr>
            </w:pPr>
            <w:r>
              <w:rPr>
                <w:rFonts w:hint="eastAsia" w:ascii="方正仿宋_GBK" w:hAnsi="方正仿宋_GBK" w:eastAsia="方正仿宋_GBK" w:cs="方正仿宋_GBK"/>
                <w:bCs/>
                <w:kern w:val="0"/>
                <w:sz w:val="24"/>
              </w:rPr>
              <w:t>其中：城镇人口（万人）</w:t>
            </w:r>
          </w:p>
        </w:tc>
        <w:tc>
          <w:tcPr>
            <w:tcW w:w="1703" w:type="dxa"/>
            <w:tcBorders>
              <w:left w:val="single" w:color="auto" w:sz="4" w:space="0"/>
            </w:tcBorders>
            <w:vAlign w:val="center"/>
          </w:tcPr>
          <w:p>
            <w:pPr>
              <w:widowControl/>
              <w:jc w:val="center"/>
              <w:textAlignment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 xml:space="preserve">40.49 </w:t>
            </w:r>
          </w:p>
        </w:tc>
        <w:tc>
          <w:tcPr>
            <w:tcW w:w="1880" w:type="dxa"/>
            <w:vAlign w:val="center"/>
          </w:tcPr>
          <w:p>
            <w:pPr>
              <w:widowControl/>
              <w:jc w:val="center"/>
              <w:textAlignment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56.58</w:t>
            </w:r>
          </w:p>
        </w:tc>
      </w:tr>
      <w:tr>
        <w:tblPrEx>
          <w:tblLayout w:type="fixed"/>
          <w:tblCellMar>
            <w:top w:w="0" w:type="dxa"/>
            <w:left w:w="108" w:type="dxa"/>
            <w:bottom w:w="0" w:type="dxa"/>
            <w:right w:w="108" w:type="dxa"/>
          </w:tblCellMar>
        </w:tblPrEx>
        <w:trPr>
          <w:trHeight w:val="553" w:hRule="exact"/>
        </w:trPr>
        <w:tc>
          <w:tcPr>
            <w:tcW w:w="3990" w:type="dxa"/>
            <w:tcBorders>
              <w:right w:val="single" w:color="auto" w:sz="4" w:space="0"/>
            </w:tcBorders>
            <w:vAlign w:val="center"/>
          </w:tcPr>
          <w:p>
            <w:pPr>
              <w:widowControl/>
              <w:shd w:val="clear" w:color="auto" w:fill="FFFFFF"/>
              <w:spacing w:line="360" w:lineRule="auto"/>
              <w:ind w:firstLine="480" w:firstLineChars="200"/>
              <w:jc w:val="center"/>
              <w:rPr>
                <w:rFonts w:ascii="方正仿宋_GBK" w:hAnsi="方正仿宋_GBK" w:eastAsia="方正仿宋_GBK" w:cs="方正仿宋_GBK"/>
                <w:bCs/>
                <w:kern w:val="0"/>
                <w:sz w:val="24"/>
              </w:rPr>
            </w:pPr>
            <w:r>
              <w:rPr>
                <w:rFonts w:hint="eastAsia" w:ascii="方正仿宋_GBK" w:hAnsi="方正仿宋_GBK" w:eastAsia="方正仿宋_GBK" w:cs="方正仿宋_GBK"/>
                <w:bCs/>
                <w:kern w:val="0"/>
                <w:sz w:val="24"/>
              </w:rPr>
              <w:t xml:space="preserve">   农村人口（万人）</w:t>
            </w:r>
          </w:p>
        </w:tc>
        <w:tc>
          <w:tcPr>
            <w:tcW w:w="1703" w:type="dxa"/>
            <w:tcBorders>
              <w:top w:val="nil"/>
              <w:left w:val="nil"/>
              <w:bottom w:val="nil"/>
              <w:right w:val="nil"/>
            </w:tcBorders>
            <w:vAlign w:val="center"/>
          </w:tcPr>
          <w:p>
            <w:pPr>
              <w:widowControl/>
              <w:jc w:val="center"/>
              <w:textAlignment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 xml:space="preserve">31.07 </w:t>
            </w:r>
          </w:p>
        </w:tc>
        <w:tc>
          <w:tcPr>
            <w:tcW w:w="1880" w:type="dxa"/>
            <w:tcBorders>
              <w:top w:val="nil"/>
              <w:left w:val="nil"/>
              <w:bottom w:val="nil"/>
              <w:right w:val="nil"/>
            </w:tcBorders>
            <w:vAlign w:val="center"/>
          </w:tcPr>
          <w:p>
            <w:pPr>
              <w:widowControl/>
              <w:jc w:val="center"/>
              <w:textAlignment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43.42</w:t>
            </w:r>
          </w:p>
        </w:tc>
      </w:tr>
      <w:tr>
        <w:tblPrEx>
          <w:tblLayout w:type="fixed"/>
          <w:tblCellMar>
            <w:top w:w="0" w:type="dxa"/>
            <w:left w:w="108" w:type="dxa"/>
            <w:bottom w:w="0" w:type="dxa"/>
            <w:right w:w="108" w:type="dxa"/>
          </w:tblCellMar>
        </w:tblPrEx>
        <w:trPr>
          <w:trHeight w:val="553" w:hRule="exact"/>
        </w:trPr>
        <w:tc>
          <w:tcPr>
            <w:tcW w:w="3990" w:type="dxa"/>
            <w:tcBorders>
              <w:right w:val="single" w:color="auto" w:sz="4" w:space="0"/>
            </w:tcBorders>
            <w:vAlign w:val="center"/>
          </w:tcPr>
          <w:p>
            <w:pPr>
              <w:ind w:firstLine="480" w:firstLineChars="200"/>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户籍总人口（人）</w:t>
            </w:r>
          </w:p>
        </w:tc>
        <w:tc>
          <w:tcPr>
            <w:tcW w:w="1703" w:type="dxa"/>
            <w:tcBorders>
              <w:top w:val="nil"/>
              <w:left w:val="nil"/>
              <w:bottom w:val="nil"/>
              <w:right w:val="nil"/>
            </w:tcBorders>
            <w:vAlign w:val="center"/>
          </w:tcPr>
          <w:p>
            <w:pPr>
              <w:widowControl/>
              <w:jc w:val="center"/>
              <w:textAlignment w:val="center"/>
              <w:rPr>
                <w:rFonts w:ascii="方正仿宋_GBK" w:hAnsi="方正仿宋_GBK" w:eastAsia="方正仿宋_GBK" w:cs="方正仿宋_GBK"/>
                <w:sz w:val="24"/>
              </w:rPr>
            </w:pPr>
            <w:r>
              <w:rPr>
                <w:rFonts w:ascii="方正仿宋_GBK" w:hAnsi="方正仿宋_GBK" w:eastAsia="方正仿宋_GBK" w:cs="方正仿宋_GBK"/>
                <w:kern w:val="0"/>
                <w:sz w:val="24"/>
              </w:rPr>
              <w:t>850143</w:t>
            </w:r>
          </w:p>
        </w:tc>
        <w:tc>
          <w:tcPr>
            <w:tcW w:w="1880" w:type="dxa"/>
            <w:tcBorders>
              <w:top w:val="nil"/>
              <w:left w:val="nil"/>
              <w:bottom w:val="nil"/>
              <w:right w:val="nil"/>
            </w:tcBorders>
            <w:vAlign w:val="center"/>
          </w:tcPr>
          <w:p>
            <w:pPr>
              <w:widowControl/>
              <w:jc w:val="center"/>
              <w:textAlignment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100</w:t>
            </w:r>
          </w:p>
        </w:tc>
      </w:tr>
      <w:tr>
        <w:tblPrEx>
          <w:tblLayout w:type="fixed"/>
          <w:tblCellMar>
            <w:top w:w="0" w:type="dxa"/>
            <w:left w:w="108" w:type="dxa"/>
            <w:bottom w:w="0" w:type="dxa"/>
            <w:right w:w="108" w:type="dxa"/>
          </w:tblCellMar>
        </w:tblPrEx>
        <w:trPr>
          <w:trHeight w:val="553" w:hRule="exact"/>
        </w:trPr>
        <w:tc>
          <w:tcPr>
            <w:tcW w:w="3990" w:type="dxa"/>
            <w:tcBorders>
              <w:right w:val="single" w:color="auto" w:sz="4" w:space="0"/>
            </w:tcBorders>
            <w:vAlign w:val="center"/>
          </w:tcPr>
          <w:p>
            <w:pPr>
              <w:widowControl/>
              <w:textAlignment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 xml:space="preserve">      其中：城镇人口（人）</w:t>
            </w:r>
          </w:p>
        </w:tc>
        <w:tc>
          <w:tcPr>
            <w:tcW w:w="1703" w:type="dxa"/>
            <w:tcBorders>
              <w:top w:val="nil"/>
              <w:left w:val="nil"/>
              <w:bottom w:val="nil"/>
              <w:right w:val="nil"/>
            </w:tcBorders>
            <w:vAlign w:val="center"/>
          </w:tcPr>
          <w:p>
            <w:pPr>
              <w:widowControl/>
              <w:jc w:val="center"/>
              <w:textAlignment w:val="center"/>
              <w:rPr>
                <w:rFonts w:ascii="方正仿宋_GBK" w:hAnsi="方正仿宋_GBK" w:eastAsia="方正仿宋_GBK" w:cs="方正仿宋_GBK"/>
                <w:sz w:val="24"/>
              </w:rPr>
            </w:pPr>
            <w:r>
              <w:rPr>
                <w:rFonts w:ascii="方正仿宋_GBK" w:hAnsi="方正仿宋_GBK" w:eastAsia="方正仿宋_GBK" w:cs="方正仿宋_GBK"/>
                <w:kern w:val="0"/>
                <w:sz w:val="24"/>
              </w:rPr>
              <w:t>402222</w:t>
            </w:r>
          </w:p>
        </w:tc>
        <w:tc>
          <w:tcPr>
            <w:tcW w:w="1880" w:type="dxa"/>
            <w:tcBorders>
              <w:top w:val="nil"/>
              <w:left w:val="nil"/>
              <w:bottom w:val="nil"/>
              <w:right w:val="nil"/>
            </w:tcBorders>
            <w:vAlign w:val="center"/>
          </w:tcPr>
          <w:p>
            <w:pPr>
              <w:widowControl/>
              <w:jc w:val="center"/>
              <w:textAlignment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 xml:space="preserve">47.3 </w:t>
            </w:r>
          </w:p>
        </w:tc>
      </w:tr>
      <w:tr>
        <w:tblPrEx>
          <w:tblLayout w:type="fixed"/>
          <w:tblCellMar>
            <w:top w:w="0" w:type="dxa"/>
            <w:left w:w="108" w:type="dxa"/>
            <w:bottom w:w="0" w:type="dxa"/>
            <w:right w:w="108" w:type="dxa"/>
          </w:tblCellMar>
        </w:tblPrEx>
        <w:trPr>
          <w:trHeight w:val="553" w:hRule="exact"/>
        </w:trPr>
        <w:tc>
          <w:tcPr>
            <w:tcW w:w="3990" w:type="dxa"/>
            <w:tcBorders>
              <w:right w:val="single" w:color="auto" w:sz="4" w:space="0"/>
            </w:tcBorders>
            <w:vAlign w:val="center"/>
          </w:tcPr>
          <w:p>
            <w:pPr>
              <w:widowControl/>
              <w:jc w:val="center"/>
              <w:textAlignment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 xml:space="preserve">    乡村人口（人）</w:t>
            </w:r>
          </w:p>
        </w:tc>
        <w:tc>
          <w:tcPr>
            <w:tcW w:w="1703" w:type="dxa"/>
            <w:tcBorders>
              <w:top w:val="nil"/>
              <w:left w:val="nil"/>
              <w:bottom w:val="nil"/>
              <w:right w:val="nil"/>
            </w:tcBorders>
            <w:vAlign w:val="center"/>
          </w:tcPr>
          <w:p>
            <w:pPr>
              <w:widowControl/>
              <w:jc w:val="center"/>
              <w:textAlignment w:val="center"/>
              <w:rPr>
                <w:rFonts w:ascii="方正仿宋_GBK" w:hAnsi="方正仿宋_GBK" w:eastAsia="方正仿宋_GBK" w:cs="方正仿宋_GBK"/>
                <w:sz w:val="24"/>
              </w:rPr>
            </w:pPr>
            <w:r>
              <w:rPr>
                <w:rFonts w:ascii="方正仿宋_GBK" w:hAnsi="方正仿宋_GBK" w:eastAsia="方正仿宋_GBK" w:cs="方正仿宋_GBK"/>
                <w:kern w:val="0"/>
                <w:sz w:val="24"/>
              </w:rPr>
              <w:t>447921</w:t>
            </w:r>
          </w:p>
        </w:tc>
        <w:tc>
          <w:tcPr>
            <w:tcW w:w="1880" w:type="dxa"/>
            <w:tcBorders>
              <w:top w:val="nil"/>
              <w:left w:val="nil"/>
              <w:bottom w:val="nil"/>
              <w:right w:val="nil"/>
            </w:tcBorders>
            <w:vAlign w:val="center"/>
          </w:tcPr>
          <w:p>
            <w:pPr>
              <w:widowControl/>
              <w:jc w:val="center"/>
              <w:textAlignment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 xml:space="preserve">52.7 </w:t>
            </w:r>
          </w:p>
        </w:tc>
      </w:tr>
      <w:tr>
        <w:tblPrEx>
          <w:tblLayout w:type="fixed"/>
          <w:tblCellMar>
            <w:top w:w="0" w:type="dxa"/>
            <w:left w:w="108" w:type="dxa"/>
            <w:bottom w:w="0" w:type="dxa"/>
            <w:right w:w="108" w:type="dxa"/>
          </w:tblCellMar>
        </w:tblPrEx>
        <w:trPr>
          <w:trHeight w:val="553" w:hRule="exact"/>
        </w:trPr>
        <w:tc>
          <w:tcPr>
            <w:tcW w:w="3990" w:type="dxa"/>
            <w:tcBorders>
              <w:right w:val="single" w:color="auto" w:sz="4" w:space="0"/>
            </w:tcBorders>
            <w:vAlign w:val="center"/>
          </w:tcPr>
          <w:p>
            <w:pPr>
              <w:ind w:firstLine="720" w:firstLineChars="300"/>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其中：男性（人）</w:t>
            </w:r>
          </w:p>
        </w:tc>
        <w:tc>
          <w:tcPr>
            <w:tcW w:w="1703" w:type="dxa"/>
            <w:tcBorders>
              <w:top w:val="nil"/>
              <w:left w:val="nil"/>
              <w:right w:val="nil"/>
            </w:tcBorders>
            <w:vAlign w:val="center"/>
          </w:tcPr>
          <w:p>
            <w:pPr>
              <w:widowControl/>
              <w:jc w:val="center"/>
              <w:textAlignment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433110</w:t>
            </w:r>
          </w:p>
        </w:tc>
        <w:tc>
          <w:tcPr>
            <w:tcW w:w="1880" w:type="dxa"/>
            <w:tcBorders>
              <w:top w:val="nil"/>
              <w:left w:val="nil"/>
              <w:right w:val="nil"/>
            </w:tcBorders>
            <w:vAlign w:val="center"/>
          </w:tcPr>
          <w:p>
            <w:pPr>
              <w:widowControl/>
              <w:jc w:val="center"/>
              <w:textAlignment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 xml:space="preserve">50.9 </w:t>
            </w:r>
          </w:p>
        </w:tc>
      </w:tr>
      <w:tr>
        <w:tblPrEx>
          <w:tblLayout w:type="fixed"/>
          <w:tblCellMar>
            <w:top w:w="0" w:type="dxa"/>
            <w:left w:w="108" w:type="dxa"/>
            <w:bottom w:w="0" w:type="dxa"/>
            <w:right w:w="108" w:type="dxa"/>
          </w:tblCellMar>
        </w:tblPrEx>
        <w:trPr>
          <w:trHeight w:val="559" w:hRule="exact"/>
        </w:trPr>
        <w:tc>
          <w:tcPr>
            <w:tcW w:w="3990" w:type="dxa"/>
            <w:tcBorders>
              <w:bottom w:val="single" w:color="auto" w:sz="4" w:space="0"/>
              <w:right w:val="single" w:color="auto" w:sz="4" w:space="0"/>
            </w:tcBorders>
            <w:vAlign w:val="center"/>
          </w:tcPr>
          <w:p>
            <w:pPr>
              <w:ind w:firstLine="1440" w:firstLineChars="600"/>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女性（人）</w:t>
            </w:r>
          </w:p>
        </w:tc>
        <w:tc>
          <w:tcPr>
            <w:tcW w:w="1703" w:type="dxa"/>
            <w:tcBorders>
              <w:top w:val="nil"/>
              <w:left w:val="nil"/>
              <w:bottom w:val="single" w:color="auto" w:sz="4" w:space="0"/>
              <w:right w:val="nil"/>
            </w:tcBorders>
            <w:vAlign w:val="center"/>
          </w:tcPr>
          <w:p>
            <w:pPr>
              <w:widowControl/>
              <w:jc w:val="center"/>
              <w:textAlignment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417033</w:t>
            </w:r>
          </w:p>
        </w:tc>
        <w:tc>
          <w:tcPr>
            <w:tcW w:w="1880" w:type="dxa"/>
            <w:tcBorders>
              <w:top w:val="nil"/>
              <w:left w:val="nil"/>
              <w:bottom w:val="single" w:color="auto" w:sz="4" w:space="0"/>
              <w:right w:val="nil"/>
            </w:tcBorders>
            <w:vAlign w:val="center"/>
          </w:tcPr>
          <w:p>
            <w:pPr>
              <w:widowControl/>
              <w:jc w:val="center"/>
              <w:textAlignment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 xml:space="preserve">49.1 </w:t>
            </w:r>
          </w:p>
        </w:tc>
      </w:tr>
    </w:tbl>
    <w:p>
      <w:pPr>
        <w:pStyle w:val="5"/>
        <w:spacing w:before="0" w:beforeAutospacing="0" w:after="0" w:afterAutospacing="0"/>
        <w:ind w:right="45"/>
        <w:rPr>
          <w:rFonts w:ascii="方正仿宋_GBK" w:hAnsi="方正仿宋_GBK" w:eastAsia="方正仿宋_GBK" w:cs="方正仿宋_GBK"/>
          <w:color w:val="0000FF"/>
        </w:rPr>
      </w:pPr>
      <w:r>
        <w:drawing>
          <wp:inline distT="0" distB="0" distL="0" distR="0">
            <wp:extent cx="5274310" cy="3375660"/>
            <wp:effectExtent l="0" t="0" r="2540" b="1524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widowControl/>
        <w:shd w:val="clear" w:color="auto" w:fill="FFFFFF"/>
        <w:spacing w:line="360" w:lineRule="auto"/>
        <w:ind w:firstLine="640" w:firstLineChars="200"/>
        <w:rPr>
          <w:rFonts w:ascii="方正仿宋_GBK" w:hAnsi="方正仿宋_GBK" w:eastAsia="方正仿宋_GBK" w:cs="方正仿宋_GBK"/>
          <w:b/>
          <w:bCs/>
          <w:color w:val="000000" w:themeColor="text1"/>
          <w:kern w:val="0"/>
          <w:sz w:val="32"/>
          <w:szCs w:val="32"/>
          <w14:textFill>
            <w14:solidFill>
              <w14:schemeClr w14:val="tx1"/>
            </w14:solidFill>
          </w14:textFill>
        </w:rPr>
      </w:pPr>
      <w:r>
        <w:rPr>
          <w:rFonts w:hint="eastAsia" w:ascii="方正仿宋_GBK" w:hAnsi="方正仿宋_GBK" w:eastAsia="方正仿宋_GBK" w:cs="方正仿宋_GBK"/>
          <w:bCs/>
          <w:color w:val="000000" w:themeColor="text1"/>
          <w:kern w:val="0"/>
          <w:sz w:val="32"/>
          <w:szCs w:val="32"/>
          <w14:textFill>
            <w14:solidFill>
              <w14:schemeClr w14:val="tx1"/>
            </w14:solidFill>
          </w14:textFill>
        </w:rPr>
        <w:t>2018年城镇新增就业人员16715人,比上年下降6.9%。新增转移农村劳动力</w:t>
      </w:r>
      <w:r>
        <w:rPr>
          <w:rFonts w:ascii="方正仿宋_GBK" w:hAnsi="方正仿宋_GBK" w:eastAsia="方正仿宋_GBK" w:cs="方正仿宋_GBK"/>
          <w:bCs/>
          <w:color w:val="000000" w:themeColor="text1"/>
          <w:kern w:val="0"/>
          <w:sz w:val="32"/>
          <w:szCs w:val="32"/>
          <w14:textFill>
            <w14:solidFill>
              <w14:schemeClr w14:val="tx1"/>
            </w14:solidFill>
          </w14:textFill>
        </w:rPr>
        <w:t>1406</w:t>
      </w:r>
      <w:r>
        <w:rPr>
          <w:rFonts w:hint="eastAsia" w:ascii="方正仿宋_GBK" w:hAnsi="方正仿宋_GBK" w:eastAsia="方正仿宋_GBK" w:cs="方正仿宋_GBK"/>
          <w:bCs/>
          <w:color w:val="000000" w:themeColor="text1"/>
          <w:kern w:val="0"/>
          <w:sz w:val="32"/>
          <w:szCs w:val="32"/>
          <w14:textFill>
            <w14:solidFill>
              <w14:schemeClr w14:val="tx1"/>
            </w14:solidFill>
          </w14:textFill>
        </w:rPr>
        <w:t>人，</w:t>
      </w:r>
      <w:r>
        <w:rPr>
          <w:rFonts w:ascii="方正仿宋_GBK" w:hAnsi="方正仿宋_GBK" w:eastAsia="方正仿宋_GBK" w:cs="方正仿宋_GBK"/>
          <w:bCs/>
          <w:color w:val="000000" w:themeColor="text1"/>
          <w:kern w:val="0"/>
          <w:sz w:val="32"/>
          <w:szCs w:val="32"/>
          <w14:textFill>
            <w14:solidFill>
              <w14:schemeClr w14:val="tx1"/>
            </w14:solidFill>
          </w14:textFill>
        </w:rPr>
        <w:t>比上年增长</w:t>
      </w:r>
      <w:r>
        <w:rPr>
          <w:rFonts w:hint="eastAsia" w:ascii="方正仿宋_GBK" w:hAnsi="方正仿宋_GBK" w:eastAsia="方正仿宋_GBK" w:cs="方正仿宋_GBK"/>
          <w:bCs/>
          <w:color w:val="000000" w:themeColor="text1"/>
          <w:kern w:val="0"/>
          <w:sz w:val="32"/>
          <w:szCs w:val="32"/>
          <w14:textFill>
            <w14:solidFill>
              <w14:schemeClr w14:val="tx1"/>
            </w14:solidFill>
          </w14:textFill>
        </w:rPr>
        <w:t>19.9</w:t>
      </w:r>
      <w:r>
        <w:rPr>
          <w:rFonts w:ascii="方正仿宋_GBK" w:hAnsi="方正仿宋_GBK" w:eastAsia="方正仿宋_GBK" w:cs="方正仿宋_GBK"/>
          <w:bCs/>
          <w:color w:val="000000" w:themeColor="text1"/>
          <w:kern w:val="0"/>
          <w:sz w:val="32"/>
          <w:szCs w:val="32"/>
          <w14:textFill>
            <w14:solidFill>
              <w14:schemeClr w14:val="tx1"/>
            </w14:solidFill>
          </w14:textFill>
        </w:rPr>
        <w:t>%</w:t>
      </w:r>
      <w:r>
        <w:rPr>
          <w:rFonts w:hint="eastAsia" w:ascii="方正仿宋_GBK" w:hAnsi="方正仿宋_GBK" w:eastAsia="方正仿宋_GBK" w:cs="方正仿宋_GBK"/>
          <w:bCs/>
          <w:color w:val="000000" w:themeColor="text1"/>
          <w:kern w:val="0"/>
          <w:sz w:val="32"/>
          <w:szCs w:val="32"/>
          <w14:textFill>
            <w14:solidFill>
              <w14:schemeClr w14:val="tx1"/>
            </w14:solidFill>
          </w14:textFill>
        </w:rPr>
        <w:t>。年末城镇登记失业人数</w:t>
      </w:r>
      <w:r>
        <w:rPr>
          <w:rFonts w:ascii="方正仿宋_GBK" w:hAnsi="方正仿宋_GBK" w:eastAsia="方正仿宋_GBK" w:cs="方正仿宋_GBK"/>
          <w:bCs/>
          <w:color w:val="000000" w:themeColor="text1"/>
          <w:kern w:val="0"/>
          <w:sz w:val="32"/>
          <w:szCs w:val="32"/>
          <w14:textFill>
            <w14:solidFill>
              <w14:schemeClr w14:val="tx1"/>
            </w14:solidFill>
          </w14:textFill>
        </w:rPr>
        <w:t>3834</w:t>
      </w:r>
      <w:r>
        <w:rPr>
          <w:rFonts w:hint="eastAsia" w:ascii="方正仿宋_GBK" w:hAnsi="方正仿宋_GBK" w:eastAsia="方正仿宋_GBK" w:cs="方正仿宋_GBK"/>
          <w:bCs/>
          <w:color w:val="000000" w:themeColor="text1"/>
          <w:kern w:val="0"/>
          <w:sz w:val="32"/>
          <w:szCs w:val="32"/>
          <w14:textFill>
            <w14:solidFill>
              <w14:schemeClr w14:val="tx1"/>
            </w14:solidFill>
          </w14:textFill>
        </w:rPr>
        <w:t>人，比上年增长</w:t>
      </w:r>
      <w:r>
        <w:rPr>
          <w:rFonts w:ascii="方正仿宋_GBK" w:hAnsi="方正仿宋_GBK" w:eastAsia="方正仿宋_GBK" w:cs="方正仿宋_GBK"/>
          <w:bCs/>
          <w:color w:val="000000" w:themeColor="text1"/>
          <w:kern w:val="0"/>
          <w:sz w:val="32"/>
          <w:szCs w:val="32"/>
          <w14:textFill>
            <w14:solidFill>
              <w14:schemeClr w14:val="tx1"/>
            </w14:solidFill>
          </w14:textFill>
        </w:rPr>
        <w:t>7.4</w:t>
      </w:r>
      <w:r>
        <w:rPr>
          <w:rFonts w:hint="eastAsia" w:ascii="方正仿宋_GBK" w:hAnsi="方正仿宋_GBK" w:eastAsia="方正仿宋_GBK" w:cs="方正仿宋_GBK"/>
          <w:bCs/>
          <w:color w:val="000000" w:themeColor="text1"/>
          <w:kern w:val="0"/>
          <w:sz w:val="32"/>
          <w:szCs w:val="32"/>
          <w14:textFill>
            <w14:solidFill>
              <w14:schemeClr w14:val="tx1"/>
            </w14:solidFill>
          </w14:textFill>
        </w:rPr>
        <w:t>%。城镇登记失业率</w:t>
      </w:r>
      <w:r>
        <w:rPr>
          <w:rFonts w:ascii="方正仿宋_GBK" w:hAnsi="方正仿宋_GBK" w:eastAsia="方正仿宋_GBK" w:cs="方正仿宋_GBK"/>
          <w:bCs/>
          <w:color w:val="000000" w:themeColor="text1"/>
          <w:kern w:val="0"/>
          <w:sz w:val="32"/>
          <w:szCs w:val="32"/>
          <w14:textFill>
            <w14:solidFill>
              <w14:schemeClr w14:val="tx1"/>
            </w14:solidFill>
          </w14:textFill>
        </w:rPr>
        <w:t>2.79</w:t>
      </w:r>
      <w:r>
        <w:rPr>
          <w:rFonts w:hint="eastAsia" w:ascii="方正仿宋_GBK" w:hAnsi="方正仿宋_GBK" w:eastAsia="方正仿宋_GBK" w:cs="方正仿宋_GBK"/>
          <w:bCs/>
          <w:color w:val="000000" w:themeColor="text1"/>
          <w:kern w:val="0"/>
          <w:sz w:val="32"/>
          <w:szCs w:val="32"/>
          <w14:textFill>
            <w14:solidFill>
              <w14:schemeClr w14:val="tx1"/>
            </w14:solidFill>
          </w14:textFill>
        </w:rPr>
        <w:t>％，比上年下降0.3个百分点</w:t>
      </w:r>
      <w:r>
        <w:rPr>
          <w:rFonts w:hint="eastAsia" w:ascii="方正仿宋_GBK" w:hAnsi="方正仿宋_GBK" w:eastAsia="方正仿宋_GBK" w:cs="方正仿宋_GBK"/>
          <w:b/>
          <w:bCs/>
          <w:color w:val="000000" w:themeColor="text1"/>
          <w:kern w:val="0"/>
          <w:sz w:val="32"/>
          <w:szCs w:val="32"/>
          <w14:textFill>
            <w14:solidFill>
              <w14:schemeClr w14:val="tx1"/>
            </w14:solidFill>
          </w14:textFill>
        </w:rPr>
        <w:t>。</w:t>
      </w:r>
    </w:p>
    <w:p>
      <w:pPr>
        <w:widowControl/>
        <w:shd w:val="clear" w:color="auto" w:fill="FFFFFF"/>
        <w:spacing w:line="360" w:lineRule="auto"/>
        <w:ind w:firstLine="640" w:firstLineChars="200"/>
        <w:rPr>
          <w:rFonts w:ascii="方正仿宋_GBK" w:hAnsi="方正仿宋_GBK" w:eastAsia="方正仿宋_GBK" w:cs="方正仿宋_GBK"/>
          <w:bCs/>
          <w:kern w:val="0"/>
          <w:sz w:val="32"/>
          <w:szCs w:val="32"/>
        </w:rPr>
      </w:pPr>
      <w:r>
        <w:rPr>
          <w:rFonts w:hint="eastAsia" w:ascii="方正仿宋_GBK" w:hAnsi="方正仿宋_GBK" w:eastAsia="方正仿宋_GBK" w:cs="方正仿宋_GBK"/>
          <w:bCs/>
          <w:kern w:val="0"/>
          <w:sz w:val="32"/>
          <w:szCs w:val="32"/>
        </w:rPr>
        <w:t>截止2018年，全区共有各类市场主体58849户，比上年增长16.6%。其中内资企业15586户，外资企业41户，个体工商户42658户，农民专业合作社564户。2018年新发展微型企业3196户，年末微型企业达7959户。</w:t>
      </w:r>
    </w:p>
    <w:p>
      <w:pPr>
        <w:widowControl/>
        <w:shd w:val="clear" w:color="auto" w:fill="FFFFFF"/>
        <w:spacing w:line="360" w:lineRule="auto"/>
        <w:ind w:firstLine="640" w:firstLineChars="200"/>
        <w:rPr>
          <w:rFonts w:ascii="方正仿宋_GBK" w:hAnsi="方正仿宋_GBK" w:eastAsia="方正仿宋_GBK" w:cs="方正仿宋_GBK"/>
          <w:b/>
          <w:kern w:val="0"/>
          <w:sz w:val="32"/>
          <w:szCs w:val="32"/>
        </w:rPr>
      </w:pPr>
      <w:r>
        <w:rPr>
          <w:rFonts w:hint="eastAsia" w:ascii="方正仿宋_GBK" w:hAnsi="方正仿宋_GBK" w:eastAsia="方正仿宋_GBK" w:cs="方正仿宋_GBK"/>
          <w:bCs/>
          <w:kern w:val="0"/>
          <w:sz w:val="32"/>
          <w:szCs w:val="32"/>
        </w:rPr>
        <w:t>全年一般公共预算收入283366万元，比上年同口径增长12.2%；其中税收收入165881万元，同口径增长15.5%。一般公共预算支出710078万元，同口径增长15.1%。其中，城乡社区支出50976万元，同口径</w:t>
      </w:r>
      <w:r>
        <w:rPr>
          <w:rFonts w:ascii="方正仿宋_GBK" w:hAnsi="方正仿宋_GBK" w:eastAsia="方正仿宋_GBK" w:cs="方正仿宋_GBK"/>
          <w:bCs/>
          <w:kern w:val="0"/>
          <w:sz w:val="32"/>
          <w:szCs w:val="32"/>
        </w:rPr>
        <w:t>增长</w:t>
      </w:r>
      <w:r>
        <w:rPr>
          <w:rFonts w:hint="eastAsia" w:ascii="方正仿宋_GBK" w:hAnsi="方正仿宋_GBK" w:eastAsia="方正仿宋_GBK" w:cs="方正仿宋_GBK"/>
          <w:bCs/>
          <w:kern w:val="0"/>
          <w:sz w:val="32"/>
          <w:szCs w:val="32"/>
        </w:rPr>
        <w:t>14.7%；社会保障和就业支出84562万元，同口径增长19.6%；教育支出145757万元，同口径增长12.8%；一般公共服务支出89269万元，同口径增长13.3%；医疗卫生与计划生育支出80802万元，同口径增长21.0%。</w:t>
      </w:r>
    </w:p>
    <w:p>
      <w:pPr>
        <w:widowControl/>
        <w:shd w:val="clear" w:color="auto" w:fill="FFFFFF"/>
        <w:spacing w:line="360" w:lineRule="auto"/>
        <w:ind w:firstLine="643" w:firstLineChars="200"/>
        <w:rPr>
          <w:rFonts w:ascii="方正黑体_GBK" w:hAnsi="方正黑体_GBK" w:eastAsia="方正黑体_GBK" w:cs="方正黑体_GBK"/>
          <w:b/>
          <w:kern w:val="0"/>
          <w:sz w:val="32"/>
          <w:szCs w:val="32"/>
        </w:rPr>
      </w:pPr>
      <w:r>
        <w:rPr>
          <w:rFonts w:hint="eastAsia" w:ascii="方正黑体_GBK" w:hAnsi="方正黑体_GBK" w:eastAsia="方正黑体_GBK" w:cs="方正黑体_GBK"/>
          <w:b/>
          <w:kern w:val="0"/>
          <w:sz w:val="32"/>
          <w:szCs w:val="32"/>
        </w:rPr>
        <w:t>二、农业</w:t>
      </w:r>
    </w:p>
    <w:p>
      <w:pPr>
        <w:widowControl/>
        <w:shd w:val="clear" w:color="auto" w:fill="FFFFFF"/>
        <w:spacing w:line="360" w:lineRule="auto"/>
        <w:ind w:firstLine="640" w:firstLineChars="200"/>
        <w:rPr>
          <w:rFonts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全年完成农林牧渔业总产值</w:t>
      </w:r>
      <w:r>
        <w:rPr>
          <w:rFonts w:ascii="方正仿宋_GBK" w:hAnsi="方正仿宋_GBK" w:eastAsia="方正仿宋_GBK" w:cs="方正仿宋_GBK"/>
          <w:kern w:val="0"/>
          <w:sz w:val="32"/>
          <w:szCs w:val="32"/>
        </w:rPr>
        <w:t>733350</w:t>
      </w:r>
      <w:r>
        <w:rPr>
          <w:rFonts w:hint="eastAsia" w:ascii="方正仿宋_GBK" w:hAnsi="方正仿宋_GBK" w:eastAsia="方正仿宋_GBK" w:cs="方正仿宋_GBK"/>
          <w:kern w:val="0"/>
          <w:sz w:val="32"/>
          <w:szCs w:val="32"/>
        </w:rPr>
        <w:t>万元，比上年增长</w:t>
      </w:r>
      <w:r>
        <w:rPr>
          <w:rFonts w:ascii="方正仿宋_GBK" w:hAnsi="方正仿宋_GBK" w:eastAsia="方正仿宋_GBK" w:cs="方正仿宋_GBK"/>
          <w:kern w:val="0"/>
          <w:sz w:val="32"/>
          <w:szCs w:val="32"/>
        </w:rPr>
        <w:t>4.4</w:t>
      </w:r>
      <w:r>
        <w:rPr>
          <w:rFonts w:hint="eastAsia" w:ascii="方正仿宋_GBK" w:hAnsi="方正仿宋_GBK" w:eastAsia="方正仿宋_GBK" w:cs="方正仿宋_GBK"/>
          <w:kern w:val="0"/>
          <w:sz w:val="32"/>
          <w:szCs w:val="32"/>
        </w:rPr>
        <w:t>%。全年粮食播种面积</w:t>
      </w:r>
      <w:r>
        <w:rPr>
          <w:rFonts w:ascii="方正仿宋_GBK" w:hAnsi="方正仿宋_GBK" w:eastAsia="方正仿宋_GBK" w:cs="方正仿宋_GBK"/>
          <w:kern w:val="0"/>
          <w:sz w:val="32"/>
          <w:szCs w:val="32"/>
        </w:rPr>
        <w:t>668012</w:t>
      </w:r>
      <w:r>
        <w:rPr>
          <w:rFonts w:hint="eastAsia" w:ascii="方正仿宋_GBK" w:hAnsi="方正仿宋_GBK" w:eastAsia="方正仿宋_GBK" w:cs="方正仿宋_GBK"/>
          <w:kern w:val="0"/>
          <w:sz w:val="32"/>
          <w:szCs w:val="32"/>
        </w:rPr>
        <w:t>亩；蔬菜播种面积</w:t>
      </w:r>
      <w:r>
        <w:rPr>
          <w:rFonts w:ascii="方正仿宋_GBK" w:hAnsi="方正仿宋_GBK" w:eastAsia="方正仿宋_GBK" w:cs="方正仿宋_GBK"/>
          <w:kern w:val="0"/>
          <w:sz w:val="32"/>
          <w:szCs w:val="32"/>
        </w:rPr>
        <w:t>283627</w:t>
      </w:r>
      <w:r>
        <w:rPr>
          <w:rFonts w:hint="eastAsia" w:ascii="方正仿宋_GBK" w:hAnsi="方正仿宋_GBK" w:eastAsia="方正仿宋_GBK" w:cs="方正仿宋_GBK"/>
          <w:kern w:val="0"/>
          <w:sz w:val="32"/>
          <w:szCs w:val="32"/>
        </w:rPr>
        <w:t>亩。</w:t>
      </w:r>
    </w:p>
    <w:p>
      <w:pPr>
        <w:widowControl/>
        <w:shd w:val="clear" w:color="auto" w:fill="FFFFFF"/>
        <w:spacing w:line="360" w:lineRule="auto"/>
        <w:ind w:firstLine="640" w:firstLineChars="200"/>
        <w:rPr>
          <w:rFonts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全年粮食产量</w:t>
      </w:r>
      <w:r>
        <w:rPr>
          <w:rFonts w:ascii="方正仿宋_GBK" w:hAnsi="方正仿宋_GBK" w:eastAsia="方正仿宋_GBK" w:cs="方正仿宋_GBK"/>
          <w:kern w:val="0"/>
          <w:sz w:val="32"/>
          <w:szCs w:val="32"/>
        </w:rPr>
        <w:t>297170</w:t>
      </w:r>
      <w:r>
        <w:rPr>
          <w:rFonts w:hint="eastAsia" w:ascii="方正仿宋_GBK" w:hAnsi="方正仿宋_GBK" w:eastAsia="方正仿宋_GBK" w:cs="方正仿宋_GBK"/>
          <w:kern w:val="0"/>
          <w:sz w:val="32"/>
          <w:szCs w:val="32"/>
        </w:rPr>
        <w:t>吨，比上年增长0.8%。蔬菜产量</w:t>
      </w:r>
      <w:r>
        <w:rPr>
          <w:rFonts w:ascii="方正仿宋_GBK" w:hAnsi="方正仿宋_GBK" w:eastAsia="方正仿宋_GBK" w:cs="方正仿宋_GBK"/>
          <w:kern w:val="0"/>
          <w:sz w:val="32"/>
          <w:szCs w:val="32"/>
        </w:rPr>
        <w:t>551514</w:t>
      </w:r>
      <w:r>
        <w:rPr>
          <w:rFonts w:hint="eastAsia" w:ascii="方正仿宋_GBK" w:hAnsi="方正仿宋_GBK" w:eastAsia="方正仿宋_GBK" w:cs="方正仿宋_GBK"/>
          <w:kern w:val="0"/>
          <w:sz w:val="32"/>
          <w:szCs w:val="32"/>
        </w:rPr>
        <w:t>吨，增长</w:t>
      </w:r>
      <w:r>
        <w:rPr>
          <w:rFonts w:ascii="方正仿宋_GBK" w:hAnsi="方正仿宋_GBK" w:eastAsia="方正仿宋_GBK" w:cs="方正仿宋_GBK"/>
          <w:kern w:val="0"/>
          <w:sz w:val="32"/>
          <w:szCs w:val="32"/>
        </w:rPr>
        <w:t>3.7</w:t>
      </w:r>
      <w:r>
        <w:rPr>
          <w:rFonts w:hint="eastAsia" w:ascii="方正仿宋_GBK" w:hAnsi="方正仿宋_GBK" w:eastAsia="方正仿宋_GBK" w:cs="方正仿宋_GBK"/>
          <w:kern w:val="0"/>
          <w:sz w:val="32"/>
          <w:szCs w:val="32"/>
        </w:rPr>
        <w:t>%。肉类总产量</w:t>
      </w:r>
      <w:r>
        <w:rPr>
          <w:rFonts w:ascii="方正仿宋_GBK" w:hAnsi="方正仿宋_GBK" w:eastAsia="方正仿宋_GBK" w:cs="方正仿宋_GBK"/>
          <w:kern w:val="0"/>
          <w:sz w:val="32"/>
          <w:szCs w:val="32"/>
        </w:rPr>
        <w:t>67186</w:t>
      </w:r>
      <w:r>
        <w:rPr>
          <w:rFonts w:hint="eastAsia" w:ascii="方正仿宋_GBK" w:hAnsi="方正仿宋_GBK" w:eastAsia="方正仿宋_GBK" w:cs="方正仿宋_GBK"/>
          <w:kern w:val="0"/>
          <w:sz w:val="32"/>
          <w:szCs w:val="32"/>
        </w:rPr>
        <w:t>吨，增长</w:t>
      </w:r>
      <w:r>
        <w:rPr>
          <w:rFonts w:ascii="方正仿宋_GBK" w:hAnsi="方正仿宋_GBK" w:eastAsia="方正仿宋_GBK" w:cs="方正仿宋_GBK"/>
          <w:kern w:val="0"/>
          <w:sz w:val="32"/>
          <w:szCs w:val="32"/>
        </w:rPr>
        <w:t>1.6</w:t>
      </w:r>
      <w:r>
        <w:rPr>
          <w:rFonts w:hint="eastAsia" w:ascii="方正仿宋_GBK" w:hAnsi="方正仿宋_GBK" w:eastAsia="方正仿宋_GBK" w:cs="方正仿宋_GBK"/>
          <w:kern w:val="0"/>
          <w:sz w:val="32"/>
          <w:szCs w:val="32"/>
        </w:rPr>
        <w:t>%。</w:t>
      </w:r>
    </w:p>
    <w:p>
      <w:pPr>
        <w:widowControl/>
        <w:shd w:val="clear" w:color="auto" w:fill="FFFFFF"/>
        <w:tabs>
          <w:tab w:val="left" w:pos="571"/>
          <w:tab w:val="center" w:pos="4493"/>
        </w:tabs>
        <w:spacing w:line="360" w:lineRule="auto"/>
        <w:ind w:firstLine="562" w:firstLineChars="200"/>
        <w:jc w:val="left"/>
        <w:rPr>
          <w:rFonts w:ascii="方正仿宋_GBK" w:hAnsi="方正仿宋_GBK" w:eastAsia="方正仿宋_GBK" w:cs="方正仿宋_GBK"/>
          <w:b/>
          <w:bCs/>
          <w:kern w:val="0"/>
          <w:sz w:val="28"/>
          <w:szCs w:val="28"/>
        </w:rPr>
      </w:pPr>
      <w:r>
        <w:rPr>
          <w:rFonts w:hint="eastAsia" w:ascii="方正仿宋_GBK" w:hAnsi="方正仿宋_GBK" w:eastAsia="方正仿宋_GBK" w:cs="方正仿宋_GBK"/>
          <w:b/>
          <w:bCs/>
          <w:kern w:val="0"/>
          <w:sz w:val="28"/>
          <w:szCs w:val="28"/>
        </w:rPr>
        <w:tab/>
      </w:r>
      <w:r>
        <w:rPr>
          <w:rFonts w:hint="eastAsia" w:ascii="方正仿宋_GBK" w:hAnsi="方正仿宋_GBK" w:eastAsia="方正仿宋_GBK" w:cs="方正仿宋_GBK"/>
          <w:b/>
          <w:bCs/>
          <w:kern w:val="0"/>
          <w:sz w:val="28"/>
          <w:szCs w:val="28"/>
        </w:rPr>
        <w:tab/>
      </w:r>
      <w:r>
        <w:rPr>
          <w:rFonts w:hint="eastAsia" w:ascii="方正仿宋_GBK" w:hAnsi="方正仿宋_GBK" w:eastAsia="方正仿宋_GBK" w:cs="方正仿宋_GBK"/>
          <w:b/>
          <w:bCs/>
          <w:kern w:val="0"/>
          <w:sz w:val="28"/>
          <w:szCs w:val="28"/>
        </w:rPr>
        <w:t>表2　2018年主要农产品产量及其增长速度</w:t>
      </w:r>
    </w:p>
    <w:tbl>
      <w:tblPr>
        <w:tblStyle w:val="6"/>
        <w:tblW w:w="8200" w:type="dxa"/>
        <w:tblInd w:w="0" w:type="dxa"/>
        <w:tblLayout w:type="fixed"/>
        <w:tblCellMar>
          <w:top w:w="15" w:type="dxa"/>
          <w:left w:w="15" w:type="dxa"/>
          <w:bottom w:w="15" w:type="dxa"/>
          <w:right w:w="15" w:type="dxa"/>
        </w:tblCellMar>
      </w:tblPr>
      <w:tblGrid>
        <w:gridCol w:w="3232"/>
        <w:gridCol w:w="1822"/>
        <w:gridCol w:w="1671"/>
        <w:gridCol w:w="1475"/>
      </w:tblGrid>
      <w:tr>
        <w:tblPrEx>
          <w:tblLayout w:type="fixed"/>
          <w:tblCellMar>
            <w:top w:w="15" w:type="dxa"/>
            <w:left w:w="15" w:type="dxa"/>
            <w:bottom w:w="15" w:type="dxa"/>
            <w:right w:w="15" w:type="dxa"/>
          </w:tblCellMar>
        </w:tblPrEx>
        <w:trPr>
          <w:trHeight w:val="402" w:hRule="atLeast"/>
        </w:trPr>
        <w:tc>
          <w:tcPr>
            <w:tcW w:w="3232" w:type="dxa"/>
            <w:tcBorders>
              <w:top w:val="single" w:color="000000" w:sz="4" w:space="0"/>
              <w:bottom w:val="single" w:color="000000" w:sz="4" w:space="0"/>
              <w:right w:val="single" w:color="000000" w:sz="4" w:space="0"/>
            </w:tcBorders>
            <w:vAlign w:val="center"/>
          </w:tcPr>
          <w:p>
            <w:pPr>
              <w:pStyle w:val="5"/>
              <w:tabs>
                <w:tab w:val="left" w:pos="580"/>
              </w:tabs>
              <w:spacing w:before="0" w:beforeAutospacing="0" w:after="0" w:afterAutospacing="0"/>
              <w:ind w:left="45" w:right="45" w:firstLine="482" w:firstLineChars="200"/>
              <w:rPr>
                <w:rFonts w:ascii="方正仿宋_GBK" w:hAnsi="方正仿宋_GBK" w:eastAsia="方正仿宋_GBK" w:cs="方正仿宋_GBK"/>
              </w:rPr>
            </w:pPr>
            <w:r>
              <w:rPr>
                <w:rFonts w:hint="eastAsia" w:ascii="方正仿宋_GBK" w:hAnsi="方正仿宋_GBK" w:eastAsia="方正仿宋_GBK" w:cs="方正仿宋_GBK"/>
                <w:b/>
              </w:rPr>
              <w:tab/>
            </w:r>
            <w:r>
              <w:rPr>
                <w:rFonts w:hint="eastAsia" w:ascii="方正仿宋_GBK" w:hAnsi="方正仿宋_GBK" w:eastAsia="方正仿宋_GBK" w:cs="方正仿宋_GBK"/>
              </w:rPr>
              <w:t>产品名称</w:t>
            </w:r>
          </w:p>
        </w:tc>
        <w:tc>
          <w:tcPr>
            <w:tcW w:w="1822" w:type="dxa"/>
            <w:tcBorders>
              <w:top w:val="single" w:color="000000" w:sz="4" w:space="0"/>
              <w:bottom w:val="single" w:color="000000" w:sz="4" w:space="0"/>
              <w:right w:val="single" w:color="000000" w:sz="4" w:space="0"/>
            </w:tcBorders>
            <w:vAlign w:val="center"/>
          </w:tcPr>
          <w:p>
            <w:pPr>
              <w:widowControl/>
              <w:jc w:val="center"/>
              <w:textAlignment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单位</w:t>
            </w:r>
          </w:p>
        </w:tc>
        <w:tc>
          <w:tcPr>
            <w:tcW w:w="1671" w:type="dxa"/>
            <w:tcBorders>
              <w:top w:val="single" w:color="000000" w:sz="4" w:space="0"/>
              <w:bottom w:val="single" w:color="000000" w:sz="4" w:space="0"/>
              <w:right w:val="single" w:color="000000" w:sz="4" w:space="0"/>
            </w:tcBorders>
            <w:vAlign w:val="center"/>
          </w:tcPr>
          <w:p>
            <w:pPr>
              <w:widowControl/>
              <w:jc w:val="center"/>
              <w:textAlignment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2018年</w:t>
            </w:r>
          </w:p>
        </w:tc>
        <w:tc>
          <w:tcPr>
            <w:tcW w:w="1475" w:type="dxa"/>
            <w:tcBorders>
              <w:top w:val="single" w:color="000000" w:sz="4" w:space="0"/>
              <w:bottom w:val="single" w:color="000000" w:sz="4" w:space="0"/>
            </w:tcBorders>
            <w:vAlign w:val="center"/>
          </w:tcPr>
          <w:p>
            <w:pPr>
              <w:widowControl/>
              <w:jc w:val="center"/>
              <w:textAlignment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比上年±%</w:t>
            </w:r>
          </w:p>
        </w:tc>
      </w:tr>
      <w:tr>
        <w:tblPrEx>
          <w:tblLayout w:type="fixed"/>
          <w:tblCellMar>
            <w:top w:w="15" w:type="dxa"/>
            <w:left w:w="15" w:type="dxa"/>
            <w:bottom w:w="15" w:type="dxa"/>
            <w:right w:w="15" w:type="dxa"/>
          </w:tblCellMar>
        </w:tblPrEx>
        <w:trPr>
          <w:trHeight w:val="402" w:hRule="atLeast"/>
        </w:trPr>
        <w:tc>
          <w:tcPr>
            <w:tcW w:w="3232" w:type="dxa"/>
            <w:tcBorders>
              <w:right w:val="single" w:color="000000" w:sz="4" w:space="0"/>
            </w:tcBorders>
            <w:vAlign w:val="center"/>
          </w:tcPr>
          <w:p>
            <w:pPr>
              <w:widowControl/>
              <w:jc w:val="left"/>
              <w:textAlignment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粮食播种面积</w:t>
            </w:r>
          </w:p>
        </w:tc>
        <w:tc>
          <w:tcPr>
            <w:tcW w:w="1822" w:type="dxa"/>
            <w:tcBorders>
              <w:right w:val="single" w:color="000000" w:sz="4" w:space="0"/>
            </w:tcBorders>
            <w:vAlign w:val="center"/>
          </w:tcPr>
          <w:p>
            <w:pPr>
              <w:widowControl/>
              <w:jc w:val="center"/>
              <w:textAlignment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亩</w:t>
            </w:r>
          </w:p>
        </w:tc>
        <w:tc>
          <w:tcPr>
            <w:tcW w:w="1671" w:type="dxa"/>
            <w:vAlign w:val="center"/>
          </w:tcPr>
          <w:p>
            <w:pPr>
              <w:widowControl/>
              <w:jc w:val="center"/>
              <w:rPr>
                <w:rFonts w:ascii="方正仿宋_GBK" w:eastAsia="方正仿宋_GBK"/>
                <w:color w:val="000000"/>
                <w:kern w:val="0"/>
                <w:sz w:val="24"/>
              </w:rPr>
            </w:pPr>
            <w:r>
              <w:rPr>
                <w:rFonts w:hint="eastAsia" w:ascii="方正仿宋_GBK" w:eastAsia="方正仿宋_GBK"/>
                <w:color w:val="000000"/>
                <w:sz w:val="24"/>
              </w:rPr>
              <w:t>668012</w:t>
            </w:r>
          </w:p>
        </w:tc>
        <w:tc>
          <w:tcPr>
            <w:tcW w:w="1475" w:type="dxa"/>
            <w:vAlign w:val="center"/>
          </w:tcPr>
          <w:p>
            <w:pPr>
              <w:jc w:val="center"/>
              <w:rPr>
                <w:rFonts w:ascii="方正仿宋_GBK" w:eastAsia="方正仿宋_GBK"/>
                <w:color w:val="000000"/>
                <w:sz w:val="24"/>
              </w:rPr>
            </w:pPr>
            <w:r>
              <w:rPr>
                <w:rFonts w:hint="eastAsia" w:ascii="方正仿宋_GBK" w:eastAsia="方正仿宋_GBK"/>
                <w:color w:val="000000"/>
                <w:sz w:val="24"/>
              </w:rPr>
              <w:t xml:space="preserve">0.0 </w:t>
            </w:r>
          </w:p>
        </w:tc>
      </w:tr>
      <w:tr>
        <w:tblPrEx>
          <w:tblLayout w:type="fixed"/>
          <w:tblCellMar>
            <w:top w:w="15" w:type="dxa"/>
            <w:left w:w="15" w:type="dxa"/>
            <w:bottom w:w="15" w:type="dxa"/>
            <w:right w:w="15" w:type="dxa"/>
          </w:tblCellMar>
        </w:tblPrEx>
        <w:trPr>
          <w:trHeight w:val="390" w:hRule="atLeast"/>
        </w:trPr>
        <w:tc>
          <w:tcPr>
            <w:tcW w:w="3232" w:type="dxa"/>
            <w:tcBorders>
              <w:right w:val="single" w:color="000000" w:sz="4" w:space="0"/>
            </w:tcBorders>
            <w:vAlign w:val="center"/>
          </w:tcPr>
          <w:p>
            <w:pPr>
              <w:widowControl/>
              <w:jc w:val="left"/>
              <w:textAlignment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粮食产量</w:t>
            </w:r>
          </w:p>
        </w:tc>
        <w:tc>
          <w:tcPr>
            <w:tcW w:w="1822" w:type="dxa"/>
            <w:tcBorders>
              <w:right w:val="single" w:color="000000" w:sz="4" w:space="0"/>
            </w:tcBorders>
            <w:vAlign w:val="center"/>
          </w:tcPr>
          <w:p>
            <w:pPr>
              <w:widowControl/>
              <w:jc w:val="center"/>
              <w:textAlignment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吨</w:t>
            </w:r>
          </w:p>
        </w:tc>
        <w:tc>
          <w:tcPr>
            <w:tcW w:w="1671" w:type="dxa"/>
            <w:vAlign w:val="center"/>
          </w:tcPr>
          <w:p>
            <w:pPr>
              <w:jc w:val="center"/>
              <w:rPr>
                <w:rFonts w:ascii="方正仿宋_GBK" w:eastAsia="方正仿宋_GBK"/>
                <w:color w:val="000000"/>
                <w:sz w:val="24"/>
              </w:rPr>
            </w:pPr>
            <w:r>
              <w:rPr>
                <w:rFonts w:hint="eastAsia" w:ascii="方正仿宋_GBK" w:eastAsia="方正仿宋_GBK"/>
                <w:color w:val="000000"/>
                <w:sz w:val="24"/>
              </w:rPr>
              <w:t>297170</w:t>
            </w:r>
          </w:p>
        </w:tc>
        <w:tc>
          <w:tcPr>
            <w:tcW w:w="1475" w:type="dxa"/>
            <w:vAlign w:val="center"/>
          </w:tcPr>
          <w:p>
            <w:pPr>
              <w:jc w:val="center"/>
              <w:rPr>
                <w:rFonts w:ascii="方正仿宋_GBK" w:eastAsia="方正仿宋_GBK"/>
                <w:color w:val="000000"/>
                <w:sz w:val="24"/>
              </w:rPr>
            </w:pPr>
            <w:r>
              <w:rPr>
                <w:rFonts w:hint="eastAsia" w:ascii="方正仿宋_GBK" w:eastAsia="方正仿宋_GBK"/>
                <w:color w:val="000000"/>
                <w:sz w:val="24"/>
              </w:rPr>
              <w:t xml:space="preserve">0.8 </w:t>
            </w:r>
          </w:p>
        </w:tc>
      </w:tr>
      <w:tr>
        <w:tblPrEx>
          <w:tblLayout w:type="fixed"/>
          <w:tblCellMar>
            <w:top w:w="15" w:type="dxa"/>
            <w:left w:w="15" w:type="dxa"/>
            <w:bottom w:w="15" w:type="dxa"/>
            <w:right w:w="15" w:type="dxa"/>
          </w:tblCellMar>
        </w:tblPrEx>
        <w:trPr>
          <w:trHeight w:val="390" w:hRule="atLeast"/>
        </w:trPr>
        <w:tc>
          <w:tcPr>
            <w:tcW w:w="3232" w:type="dxa"/>
            <w:tcBorders>
              <w:right w:val="single" w:color="000000" w:sz="4" w:space="0"/>
            </w:tcBorders>
            <w:vAlign w:val="center"/>
          </w:tcPr>
          <w:p>
            <w:pPr>
              <w:widowControl/>
              <w:jc w:val="left"/>
              <w:textAlignment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＃小麦</w:t>
            </w:r>
          </w:p>
        </w:tc>
        <w:tc>
          <w:tcPr>
            <w:tcW w:w="1822" w:type="dxa"/>
            <w:tcBorders>
              <w:right w:val="single" w:color="000000" w:sz="4" w:space="0"/>
            </w:tcBorders>
            <w:vAlign w:val="center"/>
          </w:tcPr>
          <w:p>
            <w:pPr>
              <w:widowControl/>
              <w:jc w:val="center"/>
              <w:textAlignment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吨</w:t>
            </w:r>
          </w:p>
        </w:tc>
        <w:tc>
          <w:tcPr>
            <w:tcW w:w="1671" w:type="dxa"/>
            <w:vAlign w:val="center"/>
          </w:tcPr>
          <w:p>
            <w:pPr>
              <w:jc w:val="center"/>
              <w:rPr>
                <w:rFonts w:ascii="方正仿宋_GBK" w:eastAsia="方正仿宋_GBK"/>
                <w:color w:val="000000"/>
                <w:sz w:val="24"/>
              </w:rPr>
            </w:pPr>
            <w:r>
              <w:rPr>
                <w:rFonts w:hint="eastAsia" w:ascii="方正仿宋_GBK" w:eastAsia="方正仿宋_GBK"/>
                <w:color w:val="000000"/>
                <w:sz w:val="24"/>
              </w:rPr>
              <w:t>37</w:t>
            </w:r>
          </w:p>
        </w:tc>
        <w:tc>
          <w:tcPr>
            <w:tcW w:w="1475" w:type="dxa"/>
            <w:vAlign w:val="center"/>
          </w:tcPr>
          <w:p>
            <w:pPr>
              <w:jc w:val="center"/>
              <w:rPr>
                <w:rFonts w:ascii="方正仿宋_GBK" w:eastAsia="方正仿宋_GBK"/>
                <w:color w:val="000000"/>
                <w:sz w:val="24"/>
              </w:rPr>
            </w:pPr>
            <w:r>
              <w:rPr>
                <w:rFonts w:hint="eastAsia" w:ascii="方正仿宋_GBK" w:eastAsia="方正仿宋_GBK"/>
                <w:color w:val="000000"/>
                <w:sz w:val="24"/>
              </w:rPr>
              <w:t xml:space="preserve">-24.4 </w:t>
            </w:r>
          </w:p>
        </w:tc>
      </w:tr>
      <w:tr>
        <w:tblPrEx>
          <w:tblLayout w:type="fixed"/>
          <w:tblCellMar>
            <w:top w:w="15" w:type="dxa"/>
            <w:left w:w="15" w:type="dxa"/>
            <w:bottom w:w="15" w:type="dxa"/>
            <w:right w:w="15" w:type="dxa"/>
          </w:tblCellMar>
        </w:tblPrEx>
        <w:trPr>
          <w:trHeight w:val="390" w:hRule="atLeast"/>
        </w:trPr>
        <w:tc>
          <w:tcPr>
            <w:tcW w:w="3232" w:type="dxa"/>
            <w:tcBorders>
              <w:right w:val="single" w:color="000000" w:sz="4" w:space="0"/>
            </w:tcBorders>
            <w:vAlign w:val="center"/>
          </w:tcPr>
          <w:p>
            <w:pPr>
              <w:widowControl/>
              <w:jc w:val="left"/>
              <w:textAlignment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　稻谷</w:t>
            </w:r>
          </w:p>
        </w:tc>
        <w:tc>
          <w:tcPr>
            <w:tcW w:w="1822" w:type="dxa"/>
            <w:tcBorders>
              <w:right w:val="single" w:color="000000" w:sz="4" w:space="0"/>
            </w:tcBorders>
            <w:vAlign w:val="center"/>
          </w:tcPr>
          <w:p>
            <w:pPr>
              <w:widowControl/>
              <w:jc w:val="center"/>
              <w:textAlignment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吨</w:t>
            </w:r>
          </w:p>
        </w:tc>
        <w:tc>
          <w:tcPr>
            <w:tcW w:w="1671" w:type="dxa"/>
            <w:vAlign w:val="center"/>
          </w:tcPr>
          <w:p>
            <w:pPr>
              <w:jc w:val="center"/>
              <w:rPr>
                <w:rFonts w:ascii="方正仿宋_GBK" w:eastAsia="方正仿宋_GBK"/>
                <w:color w:val="000000"/>
                <w:sz w:val="24"/>
              </w:rPr>
            </w:pPr>
            <w:r>
              <w:rPr>
                <w:rFonts w:hint="eastAsia" w:ascii="方正仿宋_GBK" w:eastAsia="方正仿宋_GBK"/>
                <w:color w:val="000000"/>
                <w:sz w:val="24"/>
              </w:rPr>
              <w:t>181365</w:t>
            </w:r>
          </w:p>
        </w:tc>
        <w:tc>
          <w:tcPr>
            <w:tcW w:w="1475" w:type="dxa"/>
            <w:vAlign w:val="center"/>
          </w:tcPr>
          <w:p>
            <w:pPr>
              <w:jc w:val="center"/>
              <w:rPr>
                <w:rFonts w:ascii="方正仿宋_GBK" w:eastAsia="方正仿宋_GBK"/>
                <w:color w:val="000000"/>
                <w:sz w:val="24"/>
              </w:rPr>
            </w:pPr>
            <w:r>
              <w:rPr>
                <w:rFonts w:hint="eastAsia" w:ascii="方正仿宋_GBK" w:eastAsia="方正仿宋_GBK"/>
                <w:color w:val="000000"/>
                <w:sz w:val="24"/>
              </w:rPr>
              <w:t xml:space="preserve">0.7 </w:t>
            </w:r>
          </w:p>
        </w:tc>
      </w:tr>
      <w:tr>
        <w:tblPrEx>
          <w:tblLayout w:type="fixed"/>
          <w:tblCellMar>
            <w:top w:w="15" w:type="dxa"/>
            <w:left w:w="15" w:type="dxa"/>
            <w:bottom w:w="15" w:type="dxa"/>
            <w:right w:w="15" w:type="dxa"/>
          </w:tblCellMar>
        </w:tblPrEx>
        <w:trPr>
          <w:trHeight w:val="390" w:hRule="atLeast"/>
        </w:trPr>
        <w:tc>
          <w:tcPr>
            <w:tcW w:w="3232" w:type="dxa"/>
            <w:tcBorders>
              <w:right w:val="single" w:color="000000" w:sz="4" w:space="0"/>
            </w:tcBorders>
            <w:vAlign w:val="center"/>
          </w:tcPr>
          <w:p>
            <w:pPr>
              <w:widowControl/>
              <w:jc w:val="left"/>
              <w:textAlignment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　玉米</w:t>
            </w:r>
          </w:p>
        </w:tc>
        <w:tc>
          <w:tcPr>
            <w:tcW w:w="1822" w:type="dxa"/>
            <w:tcBorders>
              <w:right w:val="single" w:color="000000" w:sz="4" w:space="0"/>
            </w:tcBorders>
            <w:vAlign w:val="center"/>
          </w:tcPr>
          <w:p>
            <w:pPr>
              <w:widowControl/>
              <w:jc w:val="center"/>
              <w:textAlignment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吨</w:t>
            </w:r>
          </w:p>
        </w:tc>
        <w:tc>
          <w:tcPr>
            <w:tcW w:w="1671" w:type="dxa"/>
            <w:vAlign w:val="center"/>
          </w:tcPr>
          <w:p>
            <w:pPr>
              <w:jc w:val="center"/>
              <w:rPr>
                <w:rFonts w:ascii="方正仿宋_GBK" w:eastAsia="方正仿宋_GBK"/>
                <w:color w:val="000000"/>
                <w:sz w:val="24"/>
              </w:rPr>
            </w:pPr>
            <w:r>
              <w:rPr>
                <w:rFonts w:hint="eastAsia" w:ascii="方正仿宋_GBK" w:eastAsia="方正仿宋_GBK"/>
                <w:color w:val="000000"/>
                <w:sz w:val="24"/>
              </w:rPr>
              <w:t>37800</w:t>
            </w:r>
          </w:p>
        </w:tc>
        <w:tc>
          <w:tcPr>
            <w:tcW w:w="1475" w:type="dxa"/>
            <w:vAlign w:val="center"/>
          </w:tcPr>
          <w:p>
            <w:pPr>
              <w:jc w:val="center"/>
              <w:rPr>
                <w:rFonts w:ascii="方正仿宋_GBK" w:eastAsia="方正仿宋_GBK"/>
                <w:color w:val="000000"/>
                <w:sz w:val="24"/>
              </w:rPr>
            </w:pPr>
            <w:r>
              <w:rPr>
                <w:rFonts w:hint="eastAsia" w:ascii="方正仿宋_GBK" w:eastAsia="方正仿宋_GBK"/>
                <w:color w:val="000000"/>
                <w:sz w:val="24"/>
              </w:rPr>
              <w:t xml:space="preserve">1.1 </w:t>
            </w:r>
          </w:p>
        </w:tc>
      </w:tr>
      <w:tr>
        <w:tblPrEx>
          <w:tblLayout w:type="fixed"/>
          <w:tblCellMar>
            <w:top w:w="15" w:type="dxa"/>
            <w:left w:w="15" w:type="dxa"/>
            <w:bottom w:w="15" w:type="dxa"/>
            <w:right w:w="15" w:type="dxa"/>
          </w:tblCellMar>
        </w:tblPrEx>
        <w:trPr>
          <w:trHeight w:val="390" w:hRule="atLeast"/>
        </w:trPr>
        <w:tc>
          <w:tcPr>
            <w:tcW w:w="3232" w:type="dxa"/>
            <w:tcBorders>
              <w:right w:val="single" w:color="000000" w:sz="4" w:space="0"/>
            </w:tcBorders>
            <w:vAlign w:val="center"/>
          </w:tcPr>
          <w:p>
            <w:pPr>
              <w:widowControl/>
              <w:jc w:val="left"/>
              <w:textAlignment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 xml:space="preserve">  高粱</w:t>
            </w:r>
          </w:p>
        </w:tc>
        <w:tc>
          <w:tcPr>
            <w:tcW w:w="1822" w:type="dxa"/>
            <w:tcBorders>
              <w:right w:val="single" w:color="000000" w:sz="4" w:space="0"/>
            </w:tcBorders>
            <w:vAlign w:val="center"/>
          </w:tcPr>
          <w:p>
            <w:pPr>
              <w:widowControl/>
              <w:jc w:val="center"/>
              <w:textAlignment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吨</w:t>
            </w:r>
          </w:p>
        </w:tc>
        <w:tc>
          <w:tcPr>
            <w:tcW w:w="1671" w:type="dxa"/>
            <w:vAlign w:val="center"/>
          </w:tcPr>
          <w:p>
            <w:pPr>
              <w:jc w:val="center"/>
              <w:rPr>
                <w:rFonts w:ascii="方正仿宋_GBK" w:eastAsia="方正仿宋_GBK"/>
                <w:color w:val="000000"/>
                <w:sz w:val="24"/>
              </w:rPr>
            </w:pPr>
            <w:r>
              <w:rPr>
                <w:rFonts w:hint="eastAsia" w:ascii="方正仿宋_GBK" w:eastAsia="方正仿宋_GBK"/>
                <w:color w:val="000000"/>
                <w:sz w:val="24"/>
              </w:rPr>
              <w:t>8383</w:t>
            </w:r>
          </w:p>
        </w:tc>
        <w:tc>
          <w:tcPr>
            <w:tcW w:w="1475" w:type="dxa"/>
            <w:vAlign w:val="center"/>
          </w:tcPr>
          <w:p>
            <w:pPr>
              <w:jc w:val="center"/>
              <w:rPr>
                <w:rFonts w:ascii="方正仿宋_GBK" w:eastAsia="方正仿宋_GBK"/>
                <w:color w:val="000000"/>
                <w:sz w:val="24"/>
              </w:rPr>
            </w:pPr>
            <w:r>
              <w:rPr>
                <w:rFonts w:hint="eastAsia" w:ascii="方正仿宋_GBK" w:eastAsia="方正仿宋_GBK"/>
                <w:color w:val="000000"/>
                <w:sz w:val="24"/>
              </w:rPr>
              <w:t xml:space="preserve">3.3 </w:t>
            </w:r>
          </w:p>
        </w:tc>
      </w:tr>
      <w:tr>
        <w:tblPrEx>
          <w:tblLayout w:type="fixed"/>
          <w:tblCellMar>
            <w:top w:w="15" w:type="dxa"/>
            <w:left w:w="15" w:type="dxa"/>
            <w:bottom w:w="15" w:type="dxa"/>
            <w:right w:w="15" w:type="dxa"/>
          </w:tblCellMar>
        </w:tblPrEx>
        <w:trPr>
          <w:trHeight w:val="390" w:hRule="atLeast"/>
        </w:trPr>
        <w:tc>
          <w:tcPr>
            <w:tcW w:w="3232" w:type="dxa"/>
            <w:tcBorders>
              <w:right w:val="single" w:color="000000" w:sz="4" w:space="0"/>
            </w:tcBorders>
            <w:vAlign w:val="center"/>
          </w:tcPr>
          <w:p>
            <w:pPr>
              <w:widowControl/>
              <w:jc w:val="left"/>
              <w:textAlignment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油料产量</w:t>
            </w:r>
          </w:p>
        </w:tc>
        <w:tc>
          <w:tcPr>
            <w:tcW w:w="1822" w:type="dxa"/>
            <w:tcBorders>
              <w:right w:val="single" w:color="000000" w:sz="4" w:space="0"/>
            </w:tcBorders>
            <w:vAlign w:val="center"/>
          </w:tcPr>
          <w:p>
            <w:pPr>
              <w:widowControl/>
              <w:jc w:val="center"/>
              <w:textAlignment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吨</w:t>
            </w:r>
          </w:p>
        </w:tc>
        <w:tc>
          <w:tcPr>
            <w:tcW w:w="1671" w:type="dxa"/>
            <w:vAlign w:val="center"/>
          </w:tcPr>
          <w:p>
            <w:pPr>
              <w:jc w:val="center"/>
              <w:rPr>
                <w:rFonts w:ascii="方正仿宋_GBK" w:eastAsia="方正仿宋_GBK"/>
                <w:sz w:val="24"/>
              </w:rPr>
            </w:pPr>
            <w:r>
              <w:rPr>
                <w:rFonts w:hint="eastAsia" w:ascii="方正仿宋_GBK" w:eastAsia="方正仿宋_GBK"/>
                <w:sz w:val="24"/>
              </w:rPr>
              <w:t>23809</w:t>
            </w:r>
          </w:p>
        </w:tc>
        <w:tc>
          <w:tcPr>
            <w:tcW w:w="1475" w:type="dxa"/>
            <w:vAlign w:val="center"/>
          </w:tcPr>
          <w:p>
            <w:pPr>
              <w:jc w:val="center"/>
              <w:rPr>
                <w:rFonts w:ascii="方正仿宋_GBK" w:eastAsia="方正仿宋_GBK"/>
                <w:sz w:val="24"/>
              </w:rPr>
            </w:pPr>
            <w:r>
              <w:rPr>
                <w:rFonts w:hint="eastAsia" w:ascii="方正仿宋_GBK" w:eastAsia="方正仿宋_GBK"/>
                <w:sz w:val="24"/>
              </w:rPr>
              <w:t xml:space="preserve">3.9 </w:t>
            </w:r>
          </w:p>
        </w:tc>
      </w:tr>
      <w:tr>
        <w:tblPrEx>
          <w:tblLayout w:type="fixed"/>
          <w:tblCellMar>
            <w:top w:w="15" w:type="dxa"/>
            <w:left w:w="15" w:type="dxa"/>
            <w:bottom w:w="15" w:type="dxa"/>
            <w:right w:w="15" w:type="dxa"/>
          </w:tblCellMar>
        </w:tblPrEx>
        <w:trPr>
          <w:trHeight w:val="390" w:hRule="atLeast"/>
        </w:trPr>
        <w:tc>
          <w:tcPr>
            <w:tcW w:w="3232" w:type="dxa"/>
            <w:tcBorders>
              <w:right w:val="single" w:color="000000" w:sz="4" w:space="0"/>
            </w:tcBorders>
            <w:vAlign w:val="center"/>
          </w:tcPr>
          <w:p>
            <w:pPr>
              <w:widowControl/>
              <w:jc w:val="left"/>
              <w:textAlignment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蔬菜面积</w:t>
            </w:r>
          </w:p>
        </w:tc>
        <w:tc>
          <w:tcPr>
            <w:tcW w:w="1822" w:type="dxa"/>
            <w:tcBorders>
              <w:right w:val="single" w:color="000000" w:sz="4" w:space="0"/>
            </w:tcBorders>
            <w:vAlign w:val="center"/>
          </w:tcPr>
          <w:p>
            <w:pPr>
              <w:widowControl/>
              <w:jc w:val="center"/>
              <w:textAlignment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亩</w:t>
            </w:r>
          </w:p>
        </w:tc>
        <w:tc>
          <w:tcPr>
            <w:tcW w:w="1671" w:type="dxa"/>
            <w:vAlign w:val="center"/>
          </w:tcPr>
          <w:p>
            <w:pPr>
              <w:jc w:val="center"/>
              <w:rPr>
                <w:rFonts w:ascii="方正仿宋_GBK" w:eastAsia="方正仿宋_GBK"/>
                <w:sz w:val="24"/>
              </w:rPr>
            </w:pPr>
            <w:r>
              <w:rPr>
                <w:rFonts w:hint="eastAsia" w:ascii="方正仿宋_GBK" w:eastAsia="方正仿宋_GBK"/>
                <w:sz w:val="24"/>
              </w:rPr>
              <w:t>283627</w:t>
            </w:r>
          </w:p>
        </w:tc>
        <w:tc>
          <w:tcPr>
            <w:tcW w:w="1475" w:type="dxa"/>
            <w:vAlign w:val="center"/>
          </w:tcPr>
          <w:p>
            <w:pPr>
              <w:jc w:val="center"/>
              <w:rPr>
                <w:rFonts w:ascii="方正仿宋_GBK" w:eastAsia="方正仿宋_GBK"/>
                <w:sz w:val="24"/>
              </w:rPr>
            </w:pPr>
            <w:r>
              <w:rPr>
                <w:rFonts w:hint="eastAsia" w:ascii="方正仿宋_GBK" w:eastAsia="方正仿宋_GBK"/>
                <w:sz w:val="24"/>
              </w:rPr>
              <w:t xml:space="preserve">2.0 </w:t>
            </w:r>
          </w:p>
        </w:tc>
      </w:tr>
      <w:tr>
        <w:tblPrEx>
          <w:tblLayout w:type="fixed"/>
          <w:tblCellMar>
            <w:top w:w="15" w:type="dxa"/>
            <w:left w:w="15" w:type="dxa"/>
            <w:bottom w:w="15" w:type="dxa"/>
            <w:right w:w="15" w:type="dxa"/>
          </w:tblCellMar>
        </w:tblPrEx>
        <w:trPr>
          <w:trHeight w:val="390" w:hRule="atLeast"/>
        </w:trPr>
        <w:tc>
          <w:tcPr>
            <w:tcW w:w="3232" w:type="dxa"/>
            <w:tcBorders>
              <w:right w:val="single" w:color="000000" w:sz="4" w:space="0"/>
            </w:tcBorders>
            <w:vAlign w:val="center"/>
          </w:tcPr>
          <w:p>
            <w:pPr>
              <w:widowControl/>
              <w:jc w:val="left"/>
              <w:textAlignment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蔬菜产量</w:t>
            </w:r>
          </w:p>
        </w:tc>
        <w:tc>
          <w:tcPr>
            <w:tcW w:w="1822" w:type="dxa"/>
            <w:tcBorders>
              <w:right w:val="single" w:color="000000" w:sz="4" w:space="0"/>
            </w:tcBorders>
            <w:vAlign w:val="center"/>
          </w:tcPr>
          <w:p>
            <w:pPr>
              <w:widowControl/>
              <w:jc w:val="center"/>
              <w:textAlignment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吨</w:t>
            </w:r>
          </w:p>
        </w:tc>
        <w:tc>
          <w:tcPr>
            <w:tcW w:w="1671" w:type="dxa"/>
            <w:vAlign w:val="center"/>
          </w:tcPr>
          <w:p>
            <w:pPr>
              <w:jc w:val="center"/>
              <w:rPr>
                <w:rFonts w:ascii="方正仿宋_GBK" w:eastAsia="方正仿宋_GBK"/>
                <w:sz w:val="24"/>
              </w:rPr>
            </w:pPr>
            <w:r>
              <w:rPr>
                <w:rFonts w:hint="eastAsia" w:ascii="方正仿宋_GBK" w:eastAsia="方正仿宋_GBK"/>
                <w:sz w:val="24"/>
              </w:rPr>
              <w:t>551514</w:t>
            </w:r>
          </w:p>
        </w:tc>
        <w:tc>
          <w:tcPr>
            <w:tcW w:w="1475" w:type="dxa"/>
            <w:vAlign w:val="center"/>
          </w:tcPr>
          <w:p>
            <w:pPr>
              <w:jc w:val="center"/>
              <w:rPr>
                <w:rFonts w:ascii="方正仿宋_GBK" w:eastAsia="方正仿宋_GBK"/>
                <w:sz w:val="24"/>
              </w:rPr>
            </w:pPr>
            <w:r>
              <w:rPr>
                <w:rFonts w:hint="eastAsia" w:ascii="方正仿宋_GBK" w:eastAsia="方正仿宋_GBK"/>
                <w:sz w:val="24"/>
              </w:rPr>
              <w:t xml:space="preserve">3.7 </w:t>
            </w:r>
          </w:p>
        </w:tc>
      </w:tr>
      <w:tr>
        <w:tblPrEx>
          <w:tblLayout w:type="fixed"/>
          <w:tblCellMar>
            <w:top w:w="15" w:type="dxa"/>
            <w:left w:w="15" w:type="dxa"/>
            <w:bottom w:w="15" w:type="dxa"/>
            <w:right w:w="15" w:type="dxa"/>
          </w:tblCellMar>
        </w:tblPrEx>
        <w:trPr>
          <w:trHeight w:val="390" w:hRule="atLeast"/>
        </w:trPr>
        <w:tc>
          <w:tcPr>
            <w:tcW w:w="3232" w:type="dxa"/>
            <w:tcBorders>
              <w:right w:val="single" w:color="000000" w:sz="4" w:space="0"/>
            </w:tcBorders>
            <w:vAlign w:val="center"/>
          </w:tcPr>
          <w:p>
            <w:pPr>
              <w:widowControl/>
              <w:jc w:val="left"/>
              <w:textAlignment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肉类产量</w:t>
            </w:r>
          </w:p>
        </w:tc>
        <w:tc>
          <w:tcPr>
            <w:tcW w:w="1822" w:type="dxa"/>
            <w:tcBorders>
              <w:right w:val="single" w:color="000000" w:sz="4" w:space="0"/>
            </w:tcBorders>
            <w:vAlign w:val="center"/>
          </w:tcPr>
          <w:p>
            <w:pPr>
              <w:widowControl/>
              <w:jc w:val="center"/>
              <w:textAlignment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吨</w:t>
            </w:r>
          </w:p>
        </w:tc>
        <w:tc>
          <w:tcPr>
            <w:tcW w:w="1671" w:type="dxa"/>
            <w:vAlign w:val="center"/>
          </w:tcPr>
          <w:p>
            <w:pPr>
              <w:jc w:val="center"/>
              <w:rPr>
                <w:rFonts w:ascii="方正仿宋_GBK" w:eastAsia="方正仿宋_GBK"/>
                <w:sz w:val="24"/>
              </w:rPr>
            </w:pPr>
            <w:r>
              <w:rPr>
                <w:rFonts w:hint="eastAsia" w:ascii="方正仿宋_GBK" w:eastAsia="方正仿宋_GBK"/>
                <w:sz w:val="24"/>
              </w:rPr>
              <w:t>67186</w:t>
            </w:r>
          </w:p>
        </w:tc>
        <w:tc>
          <w:tcPr>
            <w:tcW w:w="1475" w:type="dxa"/>
            <w:vAlign w:val="center"/>
          </w:tcPr>
          <w:p>
            <w:pPr>
              <w:jc w:val="center"/>
              <w:rPr>
                <w:rFonts w:ascii="方正仿宋_GBK" w:eastAsia="方正仿宋_GBK"/>
                <w:sz w:val="24"/>
              </w:rPr>
            </w:pPr>
            <w:r>
              <w:rPr>
                <w:rFonts w:hint="eastAsia" w:ascii="方正仿宋_GBK" w:eastAsia="方正仿宋_GBK"/>
                <w:sz w:val="24"/>
              </w:rPr>
              <w:t xml:space="preserve">1.6 </w:t>
            </w:r>
          </w:p>
        </w:tc>
      </w:tr>
      <w:tr>
        <w:tblPrEx>
          <w:tblLayout w:type="fixed"/>
          <w:tblCellMar>
            <w:top w:w="15" w:type="dxa"/>
            <w:left w:w="15" w:type="dxa"/>
            <w:bottom w:w="15" w:type="dxa"/>
            <w:right w:w="15" w:type="dxa"/>
          </w:tblCellMar>
        </w:tblPrEx>
        <w:trPr>
          <w:trHeight w:val="390" w:hRule="atLeast"/>
        </w:trPr>
        <w:tc>
          <w:tcPr>
            <w:tcW w:w="3232" w:type="dxa"/>
            <w:tcBorders>
              <w:right w:val="single" w:color="000000" w:sz="4" w:space="0"/>
            </w:tcBorders>
            <w:vAlign w:val="center"/>
          </w:tcPr>
          <w:p>
            <w:pPr>
              <w:widowControl/>
              <w:jc w:val="left"/>
              <w:textAlignment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＃猪肉</w:t>
            </w:r>
          </w:p>
        </w:tc>
        <w:tc>
          <w:tcPr>
            <w:tcW w:w="1822" w:type="dxa"/>
            <w:tcBorders>
              <w:right w:val="single" w:color="000000" w:sz="4" w:space="0"/>
            </w:tcBorders>
            <w:vAlign w:val="center"/>
          </w:tcPr>
          <w:p>
            <w:pPr>
              <w:widowControl/>
              <w:jc w:val="center"/>
              <w:textAlignment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吨</w:t>
            </w:r>
          </w:p>
        </w:tc>
        <w:tc>
          <w:tcPr>
            <w:tcW w:w="1671" w:type="dxa"/>
            <w:vAlign w:val="center"/>
          </w:tcPr>
          <w:p>
            <w:pPr>
              <w:jc w:val="center"/>
              <w:rPr>
                <w:rFonts w:ascii="方正仿宋_GBK" w:eastAsia="方正仿宋_GBK"/>
                <w:color w:val="000000"/>
                <w:sz w:val="24"/>
              </w:rPr>
            </w:pPr>
            <w:r>
              <w:rPr>
                <w:rFonts w:hint="eastAsia" w:ascii="方正仿宋_GBK" w:eastAsia="方正仿宋_GBK"/>
                <w:color w:val="000000"/>
                <w:sz w:val="24"/>
              </w:rPr>
              <w:t>54393</w:t>
            </w:r>
          </w:p>
        </w:tc>
        <w:tc>
          <w:tcPr>
            <w:tcW w:w="1475" w:type="dxa"/>
            <w:vAlign w:val="center"/>
          </w:tcPr>
          <w:p>
            <w:pPr>
              <w:jc w:val="center"/>
              <w:rPr>
                <w:rFonts w:ascii="方正仿宋_GBK" w:eastAsia="方正仿宋_GBK"/>
                <w:color w:val="000000"/>
                <w:sz w:val="24"/>
              </w:rPr>
            </w:pPr>
            <w:r>
              <w:rPr>
                <w:rFonts w:hint="eastAsia" w:ascii="方正仿宋_GBK" w:eastAsia="方正仿宋_GBK"/>
                <w:color w:val="000000"/>
                <w:sz w:val="24"/>
              </w:rPr>
              <w:t xml:space="preserve">1.6 </w:t>
            </w:r>
          </w:p>
        </w:tc>
      </w:tr>
      <w:tr>
        <w:tblPrEx>
          <w:tblLayout w:type="fixed"/>
          <w:tblCellMar>
            <w:top w:w="15" w:type="dxa"/>
            <w:left w:w="15" w:type="dxa"/>
            <w:bottom w:w="15" w:type="dxa"/>
            <w:right w:w="15" w:type="dxa"/>
          </w:tblCellMar>
        </w:tblPrEx>
        <w:trPr>
          <w:trHeight w:val="390" w:hRule="atLeast"/>
        </w:trPr>
        <w:tc>
          <w:tcPr>
            <w:tcW w:w="3232" w:type="dxa"/>
            <w:tcBorders>
              <w:right w:val="single" w:color="000000" w:sz="4" w:space="0"/>
            </w:tcBorders>
            <w:vAlign w:val="center"/>
          </w:tcPr>
          <w:p>
            <w:pPr>
              <w:widowControl/>
              <w:jc w:val="left"/>
              <w:textAlignment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＃禽肉</w:t>
            </w:r>
          </w:p>
        </w:tc>
        <w:tc>
          <w:tcPr>
            <w:tcW w:w="1822" w:type="dxa"/>
            <w:tcBorders>
              <w:right w:val="single" w:color="000000" w:sz="4" w:space="0"/>
            </w:tcBorders>
            <w:vAlign w:val="center"/>
          </w:tcPr>
          <w:p>
            <w:pPr>
              <w:widowControl/>
              <w:jc w:val="center"/>
              <w:textAlignment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吨</w:t>
            </w:r>
          </w:p>
        </w:tc>
        <w:tc>
          <w:tcPr>
            <w:tcW w:w="1671" w:type="dxa"/>
            <w:vAlign w:val="center"/>
          </w:tcPr>
          <w:p>
            <w:pPr>
              <w:jc w:val="center"/>
              <w:rPr>
                <w:rFonts w:ascii="方正仿宋_GBK" w:eastAsia="方正仿宋_GBK"/>
                <w:color w:val="000000"/>
                <w:sz w:val="24"/>
              </w:rPr>
            </w:pPr>
            <w:r>
              <w:rPr>
                <w:rFonts w:hint="eastAsia" w:ascii="方正仿宋_GBK" w:eastAsia="方正仿宋_GBK"/>
                <w:color w:val="000000"/>
                <w:sz w:val="24"/>
              </w:rPr>
              <w:t>10323</w:t>
            </w:r>
          </w:p>
        </w:tc>
        <w:tc>
          <w:tcPr>
            <w:tcW w:w="1475" w:type="dxa"/>
            <w:vAlign w:val="center"/>
          </w:tcPr>
          <w:p>
            <w:pPr>
              <w:jc w:val="center"/>
              <w:rPr>
                <w:rFonts w:ascii="方正仿宋_GBK" w:eastAsia="方正仿宋_GBK"/>
                <w:color w:val="000000"/>
                <w:sz w:val="24"/>
              </w:rPr>
            </w:pPr>
            <w:r>
              <w:rPr>
                <w:rFonts w:hint="eastAsia" w:ascii="方正仿宋_GBK" w:eastAsia="方正仿宋_GBK"/>
                <w:color w:val="000000"/>
                <w:sz w:val="24"/>
              </w:rPr>
              <w:t xml:space="preserve">1.9 </w:t>
            </w:r>
          </w:p>
        </w:tc>
      </w:tr>
      <w:tr>
        <w:tblPrEx>
          <w:tblLayout w:type="fixed"/>
          <w:tblCellMar>
            <w:top w:w="15" w:type="dxa"/>
            <w:left w:w="15" w:type="dxa"/>
            <w:bottom w:w="15" w:type="dxa"/>
            <w:right w:w="15" w:type="dxa"/>
          </w:tblCellMar>
        </w:tblPrEx>
        <w:trPr>
          <w:trHeight w:val="390" w:hRule="atLeast"/>
        </w:trPr>
        <w:tc>
          <w:tcPr>
            <w:tcW w:w="3232" w:type="dxa"/>
            <w:tcBorders>
              <w:right w:val="single" w:color="000000" w:sz="4" w:space="0"/>
            </w:tcBorders>
            <w:vAlign w:val="center"/>
          </w:tcPr>
          <w:p>
            <w:pPr>
              <w:widowControl/>
              <w:jc w:val="left"/>
              <w:textAlignment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生猪出栏</w:t>
            </w:r>
          </w:p>
        </w:tc>
        <w:tc>
          <w:tcPr>
            <w:tcW w:w="1822" w:type="dxa"/>
            <w:tcBorders>
              <w:right w:val="single" w:color="000000" w:sz="4" w:space="0"/>
            </w:tcBorders>
            <w:vAlign w:val="center"/>
          </w:tcPr>
          <w:p>
            <w:pPr>
              <w:widowControl/>
              <w:jc w:val="center"/>
              <w:textAlignment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头</w:t>
            </w:r>
          </w:p>
        </w:tc>
        <w:tc>
          <w:tcPr>
            <w:tcW w:w="1671" w:type="dxa"/>
            <w:vAlign w:val="center"/>
          </w:tcPr>
          <w:p>
            <w:pPr>
              <w:jc w:val="center"/>
              <w:rPr>
                <w:rFonts w:ascii="方正仿宋_GBK" w:eastAsia="方正仿宋_GBK"/>
                <w:color w:val="000000"/>
                <w:sz w:val="24"/>
              </w:rPr>
            </w:pPr>
            <w:r>
              <w:rPr>
                <w:rFonts w:hint="eastAsia" w:ascii="方正仿宋_GBK" w:eastAsia="方正仿宋_GBK"/>
                <w:color w:val="000000"/>
                <w:sz w:val="24"/>
              </w:rPr>
              <w:t>722791</w:t>
            </w:r>
          </w:p>
        </w:tc>
        <w:tc>
          <w:tcPr>
            <w:tcW w:w="1475" w:type="dxa"/>
            <w:vAlign w:val="center"/>
          </w:tcPr>
          <w:p>
            <w:pPr>
              <w:jc w:val="center"/>
              <w:rPr>
                <w:rFonts w:ascii="方正仿宋_GBK" w:eastAsia="方正仿宋_GBK"/>
                <w:color w:val="000000"/>
                <w:sz w:val="24"/>
              </w:rPr>
            </w:pPr>
            <w:r>
              <w:rPr>
                <w:rFonts w:hint="eastAsia" w:ascii="方正仿宋_GBK" w:eastAsia="方正仿宋_GBK"/>
                <w:color w:val="000000"/>
                <w:sz w:val="24"/>
              </w:rPr>
              <w:t xml:space="preserve">0.2 </w:t>
            </w:r>
          </w:p>
        </w:tc>
      </w:tr>
      <w:tr>
        <w:tblPrEx>
          <w:tblLayout w:type="fixed"/>
          <w:tblCellMar>
            <w:top w:w="15" w:type="dxa"/>
            <w:left w:w="15" w:type="dxa"/>
            <w:bottom w:w="15" w:type="dxa"/>
            <w:right w:w="15" w:type="dxa"/>
          </w:tblCellMar>
        </w:tblPrEx>
        <w:trPr>
          <w:trHeight w:val="390" w:hRule="atLeast"/>
        </w:trPr>
        <w:tc>
          <w:tcPr>
            <w:tcW w:w="3232" w:type="dxa"/>
            <w:tcBorders>
              <w:right w:val="single" w:color="000000" w:sz="4" w:space="0"/>
            </w:tcBorders>
            <w:vAlign w:val="center"/>
          </w:tcPr>
          <w:p>
            <w:pPr>
              <w:widowControl/>
              <w:jc w:val="left"/>
              <w:textAlignment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羊出栏</w:t>
            </w:r>
          </w:p>
        </w:tc>
        <w:tc>
          <w:tcPr>
            <w:tcW w:w="1822" w:type="dxa"/>
            <w:tcBorders>
              <w:right w:val="single" w:color="000000" w:sz="4" w:space="0"/>
            </w:tcBorders>
            <w:vAlign w:val="center"/>
          </w:tcPr>
          <w:p>
            <w:pPr>
              <w:widowControl/>
              <w:jc w:val="center"/>
              <w:textAlignment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头</w:t>
            </w:r>
          </w:p>
        </w:tc>
        <w:tc>
          <w:tcPr>
            <w:tcW w:w="1671" w:type="dxa"/>
            <w:vAlign w:val="center"/>
          </w:tcPr>
          <w:p>
            <w:pPr>
              <w:jc w:val="center"/>
              <w:rPr>
                <w:rFonts w:ascii="方正仿宋_GBK" w:eastAsia="方正仿宋_GBK"/>
                <w:color w:val="000000"/>
                <w:sz w:val="24"/>
              </w:rPr>
            </w:pPr>
            <w:r>
              <w:rPr>
                <w:rFonts w:hint="eastAsia" w:ascii="方正仿宋_GBK" w:eastAsia="方正仿宋_GBK"/>
                <w:color w:val="000000"/>
                <w:sz w:val="24"/>
              </w:rPr>
              <w:t>18580</w:t>
            </w:r>
          </w:p>
        </w:tc>
        <w:tc>
          <w:tcPr>
            <w:tcW w:w="1475" w:type="dxa"/>
            <w:vAlign w:val="center"/>
          </w:tcPr>
          <w:p>
            <w:pPr>
              <w:jc w:val="center"/>
              <w:rPr>
                <w:rFonts w:ascii="方正仿宋_GBK" w:eastAsia="方正仿宋_GBK"/>
                <w:color w:val="000000"/>
                <w:sz w:val="24"/>
              </w:rPr>
            </w:pPr>
            <w:r>
              <w:rPr>
                <w:rFonts w:hint="eastAsia" w:ascii="方正仿宋_GBK" w:eastAsia="方正仿宋_GBK"/>
                <w:color w:val="000000"/>
                <w:sz w:val="24"/>
              </w:rPr>
              <w:t xml:space="preserve">1.0 </w:t>
            </w:r>
          </w:p>
        </w:tc>
      </w:tr>
      <w:tr>
        <w:tblPrEx>
          <w:tblLayout w:type="fixed"/>
          <w:tblCellMar>
            <w:top w:w="15" w:type="dxa"/>
            <w:left w:w="15" w:type="dxa"/>
            <w:bottom w:w="15" w:type="dxa"/>
            <w:right w:w="15" w:type="dxa"/>
          </w:tblCellMar>
        </w:tblPrEx>
        <w:trPr>
          <w:trHeight w:val="390" w:hRule="atLeast"/>
        </w:trPr>
        <w:tc>
          <w:tcPr>
            <w:tcW w:w="3232" w:type="dxa"/>
            <w:tcBorders>
              <w:right w:val="single" w:color="000000" w:sz="4" w:space="0"/>
            </w:tcBorders>
            <w:vAlign w:val="center"/>
          </w:tcPr>
          <w:p>
            <w:pPr>
              <w:widowControl/>
              <w:jc w:val="left"/>
              <w:textAlignment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家禽出栏</w:t>
            </w:r>
          </w:p>
        </w:tc>
        <w:tc>
          <w:tcPr>
            <w:tcW w:w="1822" w:type="dxa"/>
            <w:tcBorders>
              <w:right w:val="single" w:color="000000" w:sz="4" w:space="0"/>
            </w:tcBorders>
            <w:vAlign w:val="center"/>
          </w:tcPr>
          <w:p>
            <w:pPr>
              <w:widowControl/>
              <w:jc w:val="center"/>
              <w:textAlignment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万只</w:t>
            </w:r>
          </w:p>
        </w:tc>
        <w:tc>
          <w:tcPr>
            <w:tcW w:w="1671" w:type="dxa"/>
            <w:vAlign w:val="center"/>
          </w:tcPr>
          <w:p>
            <w:pPr>
              <w:jc w:val="center"/>
              <w:rPr>
                <w:rFonts w:ascii="方正仿宋_GBK" w:eastAsia="方正仿宋_GBK"/>
                <w:color w:val="000000"/>
                <w:sz w:val="24"/>
              </w:rPr>
            </w:pPr>
            <w:r>
              <w:rPr>
                <w:rFonts w:hint="eastAsia" w:ascii="方正仿宋_GBK" w:eastAsia="方正仿宋_GBK"/>
                <w:color w:val="000000"/>
                <w:sz w:val="24"/>
              </w:rPr>
              <w:t>682.89</w:t>
            </w:r>
          </w:p>
        </w:tc>
        <w:tc>
          <w:tcPr>
            <w:tcW w:w="1475" w:type="dxa"/>
            <w:vAlign w:val="center"/>
          </w:tcPr>
          <w:p>
            <w:pPr>
              <w:jc w:val="center"/>
              <w:rPr>
                <w:rFonts w:ascii="方正仿宋_GBK" w:eastAsia="方正仿宋_GBK"/>
                <w:color w:val="000000"/>
                <w:sz w:val="24"/>
              </w:rPr>
            </w:pPr>
            <w:r>
              <w:rPr>
                <w:rFonts w:hint="eastAsia" w:ascii="方正仿宋_GBK" w:eastAsia="方正仿宋_GBK"/>
                <w:color w:val="000000"/>
                <w:sz w:val="24"/>
              </w:rPr>
              <w:t xml:space="preserve">1.6 </w:t>
            </w:r>
          </w:p>
        </w:tc>
      </w:tr>
      <w:tr>
        <w:tblPrEx>
          <w:tblLayout w:type="fixed"/>
          <w:tblCellMar>
            <w:top w:w="15" w:type="dxa"/>
            <w:left w:w="15" w:type="dxa"/>
            <w:bottom w:w="15" w:type="dxa"/>
            <w:right w:w="15" w:type="dxa"/>
          </w:tblCellMar>
        </w:tblPrEx>
        <w:trPr>
          <w:trHeight w:val="390" w:hRule="atLeast"/>
        </w:trPr>
        <w:tc>
          <w:tcPr>
            <w:tcW w:w="3232" w:type="dxa"/>
            <w:tcBorders>
              <w:right w:val="single" w:color="000000" w:sz="4" w:space="0"/>
            </w:tcBorders>
            <w:vAlign w:val="center"/>
          </w:tcPr>
          <w:p>
            <w:pPr>
              <w:widowControl/>
              <w:jc w:val="left"/>
              <w:textAlignment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禽蛋产量</w:t>
            </w:r>
          </w:p>
        </w:tc>
        <w:tc>
          <w:tcPr>
            <w:tcW w:w="1822" w:type="dxa"/>
            <w:tcBorders>
              <w:right w:val="single" w:color="000000" w:sz="4" w:space="0"/>
            </w:tcBorders>
            <w:vAlign w:val="center"/>
          </w:tcPr>
          <w:p>
            <w:pPr>
              <w:widowControl/>
              <w:jc w:val="center"/>
              <w:textAlignment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吨</w:t>
            </w:r>
          </w:p>
        </w:tc>
        <w:tc>
          <w:tcPr>
            <w:tcW w:w="1671" w:type="dxa"/>
            <w:vAlign w:val="center"/>
          </w:tcPr>
          <w:p>
            <w:pPr>
              <w:jc w:val="center"/>
              <w:rPr>
                <w:rFonts w:ascii="方正仿宋_GBK" w:eastAsia="方正仿宋_GBK"/>
                <w:color w:val="000000"/>
                <w:sz w:val="24"/>
              </w:rPr>
            </w:pPr>
            <w:r>
              <w:rPr>
                <w:rFonts w:hint="eastAsia" w:ascii="方正仿宋_GBK" w:eastAsia="方正仿宋_GBK"/>
                <w:color w:val="000000"/>
                <w:sz w:val="24"/>
              </w:rPr>
              <w:t>9618</w:t>
            </w:r>
          </w:p>
        </w:tc>
        <w:tc>
          <w:tcPr>
            <w:tcW w:w="1475" w:type="dxa"/>
            <w:vAlign w:val="center"/>
          </w:tcPr>
          <w:p>
            <w:pPr>
              <w:jc w:val="center"/>
              <w:rPr>
                <w:rFonts w:ascii="方正仿宋_GBK" w:eastAsia="方正仿宋_GBK"/>
                <w:color w:val="000000"/>
                <w:sz w:val="24"/>
              </w:rPr>
            </w:pPr>
            <w:r>
              <w:rPr>
                <w:rFonts w:hint="eastAsia" w:ascii="方正仿宋_GBK" w:eastAsia="方正仿宋_GBK"/>
                <w:color w:val="000000"/>
                <w:sz w:val="24"/>
              </w:rPr>
              <w:t xml:space="preserve">4.2 </w:t>
            </w:r>
          </w:p>
        </w:tc>
      </w:tr>
      <w:tr>
        <w:tblPrEx>
          <w:tblLayout w:type="fixed"/>
          <w:tblCellMar>
            <w:top w:w="15" w:type="dxa"/>
            <w:left w:w="15" w:type="dxa"/>
            <w:bottom w:w="15" w:type="dxa"/>
            <w:right w:w="15" w:type="dxa"/>
          </w:tblCellMar>
        </w:tblPrEx>
        <w:trPr>
          <w:trHeight w:val="402" w:hRule="atLeast"/>
        </w:trPr>
        <w:tc>
          <w:tcPr>
            <w:tcW w:w="3232" w:type="dxa"/>
            <w:tcBorders>
              <w:bottom w:val="single" w:color="000000" w:sz="4" w:space="0"/>
              <w:right w:val="single" w:color="000000" w:sz="4" w:space="0"/>
            </w:tcBorders>
            <w:vAlign w:val="center"/>
          </w:tcPr>
          <w:p>
            <w:pPr>
              <w:widowControl/>
              <w:jc w:val="left"/>
              <w:textAlignment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牛奶产量</w:t>
            </w:r>
          </w:p>
        </w:tc>
        <w:tc>
          <w:tcPr>
            <w:tcW w:w="1822" w:type="dxa"/>
            <w:tcBorders>
              <w:bottom w:val="single" w:color="000000" w:sz="4" w:space="0"/>
              <w:right w:val="single" w:color="000000" w:sz="4" w:space="0"/>
            </w:tcBorders>
            <w:vAlign w:val="center"/>
          </w:tcPr>
          <w:p>
            <w:pPr>
              <w:widowControl/>
              <w:jc w:val="center"/>
              <w:textAlignment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吨</w:t>
            </w:r>
          </w:p>
        </w:tc>
        <w:tc>
          <w:tcPr>
            <w:tcW w:w="1671" w:type="dxa"/>
            <w:tcBorders>
              <w:bottom w:val="single" w:color="000000" w:sz="4" w:space="0"/>
            </w:tcBorders>
            <w:vAlign w:val="center"/>
          </w:tcPr>
          <w:p>
            <w:pPr>
              <w:jc w:val="center"/>
              <w:rPr>
                <w:rFonts w:ascii="方正仿宋_GBK" w:eastAsia="方正仿宋_GBK"/>
                <w:color w:val="000000"/>
                <w:sz w:val="24"/>
              </w:rPr>
            </w:pPr>
            <w:r>
              <w:rPr>
                <w:rFonts w:hint="eastAsia" w:ascii="方正仿宋_GBK" w:eastAsia="方正仿宋_GBK"/>
                <w:color w:val="000000"/>
                <w:sz w:val="24"/>
              </w:rPr>
              <w:t>3361</w:t>
            </w:r>
          </w:p>
        </w:tc>
        <w:tc>
          <w:tcPr>
            <w:tcW w:w="1475" w:type="dxa"/>
            <w:tcBorders>
              <w:bottom w:val="single" w:color="000000" w:sz="4" w:space="0"/>
            </w:tcBorders>
            <w:vAlign w:val="center"/>
          </w:tcPr>
          <w:p>
            <w:pPr>
              <w:jc w:val="center"/>
              <w:rPr>
                <w:rFonts w:ascii="方正仿宋_GBK" w:eastAsia="方正仿宋_GBK"/>
                <w:color w:val="000000"/>
                <w:sz w:val="24"/>
              </w:rPr>
            </w:pPr>
            <w:r>
              <w:rPr>
                <w:rFonts w:hint="eastAsia" w:ascii="方正仿宋_GBK" w:eastAsia="方正仿宋_GBK"/>
                <w:color w:val="000000"/>
                <w:sz w:val="24"/>
              </w:rPr>
              <w:t xml:space="preserve">0.6 </w:t>
            </w:r>
          </w:p>
        </w:tc>
      </w:tr>
    </w:tbl>
    <w:p>
      <w:pPr>
        <w:pStyle w:val="5"/>
        <w:tabs>
          <w:tab w:val="left" w:pos="580"/>
        </w:tabs>
        <w:spacing w:before="0" w:beforeAutospacing="0" w:after="0" w:afterAutospacing="0"/>
        <w:ind w:left="45" w:right="45" w:firstLine="643" w:firstLineChars="200"/>
        <w:rPr>
          <w:rFonts w:ascii="方正黑体_GBK" w:hAnsi="方正黑体_GBK" w:eastAsia="方正黑体_GBK" w:cs="方正黑体_GBK"/>
          <w:b/>
          <w:sz w:val="32"/>
          <w:szCs w:val="32"/>
        </w:rPr>
      </w:pPr>
      <w:r>
        <w:rPr>
          <w:rFonts w:hint="eastAsia" w:ascii="方正黑体_GBK" w:hAnsi="方正黑体_GBK" w:eastAsia="方正黑体_GBK" w:cs="方正黑体_GBK"/>
          <w:b/>
          <w:sz w:val="32"/>
          <w:szCs w:val="32"/>
        </w:rPr>
        <w:t>三、工业和建筑业</w:t>
      </w:r>
    </w:p>
    <w:p>
      <w:pPr>
        <w:pStyle w:val="5"/>
        <w:spacing w:before="0" w:beforeAutospacing="0" w:after="0" w:afterAutospacing="0"/>
        <w:ind w:left="45" w:right="45" w:firstLine="640" w:firstLineChars="200"/>
        <w:jc w:val="both"/>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全年实现工业增加值2320914万元，比上年增长9.1%；规模以上工业增加值增长9.0%；规模以上工业企业实现总产值 7109299万元，同比增长13.8％。</w:t>
      </w:r>
    </w:p>
    <w:p>
      <w:pPr>
        <w:pStyle w:val="5"/>
        <w:spacing w:before="0" w:beforeAutospacing="0" w:after="0" w:afterAutospacing="0"/>
        <w:ind w:left="45" w:right="45" w:firstLine="640" w:firstLineChars="200"/>
        <w:jc w:val="both"/>
        <w:rPr>
          <w:rFonts w:ascii="方正仿宋_GBK" w:hAnsi="方正仿宋_GBK" w:eastAsia="方正仿宋_GBK" w:cs="方正仿宋_GBK"/>
          <w:color w:val="0000FF"/>
          <w:sz w:val="32"/>
          <w:szCs w:val="32"/>
        </w:rPr>
      </w:pPr>
    </w:p>
    <w:p>
      <w:pPr>
        <w:pStyle w:val="5"/>
        <w:spacing w:before="0" w:beforeAutospacing="0" w:after="0" w:afterAutospacing="0"/>
        <w:ind w:right="45"/>
        <w:jc w:val="both"/>
        <w:rPr>
          <w:rFonts w:ascii="方正仿宋_GBK" w:hAnsi="方正仿宋_GBK" w:eastAsia="方正仿宋_GBK" w:cs="方正仿宋_GBK"/>
          <w:b/>
          <w:color w:val="0000FF"/>
          <w:sz w:val="28"/>
          <w:szCs w:val="28"/>
        </w:rPr>
      </w:pPr>
      <w:r>
        <w:drawing>
          <wp:inline distT="0" distB="0" distL="0" distR="0">
            <wp:extent cx="5095875" cy="3333750"/>
            <wp:effectExtent l="0" t="0" r="9525" b="0"/>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5"/>
        <w:tabs>
          <w:tab w:val="left" w:pos="1360"/>
        </w:tabs>
        <w:spacing w:before="0" w:beforeAutospacing="0" w:after="0" w:afterAutospacing="0"/>
        <w:ind w:left="45" w:right="45" w:firstLine="562" w:firstLineChars="200"/>
        <w:rPr>
          <w:rFonts w:ascii="方正仿宋_GBK" w:hAnsi="方正仿宋_GBK" w:eastAsia="方正仿宋_GBK" w:cs="方正仿宋_GBK"/>
          <w:b/>
          <w:color w:val="0000FF"/>
          <w:sz w:val="28"/>
          <w:szCs w:val="28"/>
        </w:rPr>
      </w:pPr>
    </w:p>
    <w:p>
      <w:pPr>
        <w:widowControl/>
        <w:shd w:val="clear" w:color="auto" w:fill="FFFFFF"/>
        <w:tabs>
          <w:tab w:val="left" w:pos="1360"/>
        </w:tabs>
        <w:spacing w:line="360" w:lineRule="auto"/>
        <w:ind w:firstLine="562" w:firstLineChars="200"/>
        <w:jc w:val="center"/>
        <w:rPr>
          <w:rFonts w:ascii="方正仿宋_GBK" w:hAnsi="方正仿宋_GBK" w:eastAsia="方正仿宋_GBK" w:cs="方正仿宋_GBK"/>
          <w:b/>
          <w:bCs/>
          <w:kern w:val="0"/>
          <w:sz w:val="28"/>
          <w:szCs w:val="28"/>
        </w:rPr>
      </w:pPr>
    </w:p>
    <w:p>
      <w:pPr>
        <w:widowControl/>
        <w:shd w:val="clear" w:color="auto" w:fill="FFFFFF"/>
        <w:tabs>
          <w:tab w:val="left" w:pos="1360"/>
        </w:tabs>
        <w:spacing w:line="360" w:lineRule="auto"/>
        <w:ind w:firstLine="562" w:firstLineChars="200"/>
        <w:jc w:val="center"/>
        <w:rPr>
          <w:rFonts w:ascii="方正仿宋_GBK" w:hAnsi="方正仿宋_GBK" w:eastAsia="方正仿宋_GBK" w:cs="方正仿宋_GBK"/>
          <w:b/>
          <w:bCs/>
          <w:kern w:val="0"/>
          <w:sz w:val="28"/>
          <w:szCs w:val="28"/>
        </w:rPr>
      </w:pPr>
      <w:r>
        <w:rPr>
          <w:rFonts w:hint="eastAsia" w:ascii="方正仿宋_GBK" w:hAnsi="方正仿宋_GBK" w:eastAsia="方正仿宋_GBK" w:cs="方正仿宋_GBK"/>
          <w:b/>
          <w:bCs/>
          <w:kern w:val="0"/>
          <w:sz w:val="28"/>
          <w:szCs w:val="28"/>
        </w:rPr>
        <w:t>表3　2018年规模以上工业企业主要产品产量及其增长速度</w:t>
      </w:r>
    </w:p>
    <w:tbl>
      <w:tblPr>
        <w:tblStyle w:val="6"/>
        <w:tblW w:w="7320" w:type="dxa"/>
        <w:jc w:val="center"/>
        <w:tblInd w:w="0" w:type="dxa"/>
        <w:tblLayout w:type="fixed"/>
        <w:tblCellMar>
          <w:top w:w="0" w:type="dxa"/>
          <w:left w:w="108" w:type="dxa"/>
          <w:bottom w:w="0" w:type="dxa"/>
          <w:right w:w="108" w:type="dxa"/>
        </w:tblCellMar>
      </w:tblPr>
      <w:tblGrid>
        <w:gridCol w:w="2471"/>
        <w:gridCol w:w="1540"/>
        <w:gridCol w:w="1639"/>
        <w:gridCol w:w="1670"/>
      </w:tblGrid>
      <w:tr>
        <w:tblPrEx>
          <w:tblLayout w:type="fixed"/>
          <w:tblCellMar>
            <w:top w:w="0" w:type="dxa"/>
            <w:left w:w="108" w:type="dxa"/>
            <w:bottom w:w="0" w:type="dxa"/>
            <w:right w:w="108" w:type="dxa"/>
          </w:tblCellMar>
        </w:tblPrEx>
        <w:trPr>
          <w:trHeight w:val="717" w:hRule="exact"/>
          <w:jc w:val="center"/>
        </w:trPr>
        <w:tc>
          <w:tcPr>
            <w:tcW w:w="2471" w:type="dxa"/>
            <w:tcBorders>
              <w:top w:val="single" w:color="auto" w:sz="4" w:space="0"/>
              <w:bottom w:val="single" w:color="auto" w:sz="4" w:space="0"/>
              <w:right w:val="single" w:color="auto" w:sz="4" w:space="0"/>
            </w:tcBorders>
            <w:vAlign w:val="center"/>
          </w:tcPr>
          <w:p>
            <w:pPr>
              <w:widowControl/>
              <w:shd w:val="clear" w:color="auto" w:fill="FFFFFF"/>
              <w:spacing w:line="360" w:lineRule="auto"/>
              <w:jc w:val="center"/>
              <w:rPr>
                <w:rFonts w:ascii="方正仿宋_GBK" w:hAnsi="方正仿宋_GBK" w:eastAsia="方正仿宋_GBK" w:cs="方正仿宋_GBK"/>
                <w:bCs/>
                <w:kern w:val="0"/>
                <w:sz w:val="24"/>
              </w:rPr>
            </w:pPr>
            <w:r>
              <w:rPr>
                <w:rFonts w:hint="eastAsia" w:ascii="方正仿宋_GBK" w:hAnsi="方正仿宋_GBK" w:eastAsia="方正仿宋_GBK" w:cs="方正仿宋_GBK"/>
                <w:bCs/>
                <w:kern w:val="0"/>
                <w:sz w:val="24"/>
              </w:rPr>
              <w:t>产品名称</w:t>
            </w:r>
          </w:p>
        </w:tc>
        <w:tc>
          <w:tcPr>
            <w:tcW w:w="1540" w:type="dxa"/>
            <w:tcBorders>
              <w:top w:val="single" w:color="auto" w:sz="4" w:space="0"/>
              <w:left w:val="single" w:color="auto" w:sz="4" w:space="0"/>
              <w:bottom w:val="single" w:color="auto" w:sz="4" w:space="0"/>
              <w:right w:val="single" w:color="auto" w:sz="4" w:space="0"/>
            </w:tcBorders>
            <w:vAlign w:val="center"/>
          </w:tcPr>
          <w:p>
            <w:pPr>
              <w:widowControl/>
              <w:shd w:val="clear" w:color="auto" w:fill="FFFFFF"/>
              <w:spacing w:line="360" w:lineRule="auto"/>
              <w:jc w:val="center"/>
              <w:rPr>
                <w:rFonts w:ascii="方正仿宋_GBK" w:hAnsi="方正仿宋_GBK" w:eastAsia="方正仿宋_GBK" w:cs="方正仿宋_GBK"/>
                <w:bCs/>
                <w:kern w:val="0"/>
                <w:sz w:val="24"/>
              </w:rPr>
            </w:pPr>
            <w:r>
              <w:rPr>
                <w:rFonts w:hint="eastAsia" w:ascii="方正仿宋_GBK" w:hAnsi="方正仿宋_GBK" w:eastAsia="方正仿宋_GBK" w:cs="方正仿宋_GBK"/>
                <w:bCs/>
                <w:kern w:val="0"/>
                <w:sz w:val="24"/>
              </w:rPr>
              <w:t>单位</w:t>
            </w:r>
          </w:p>
        </w:tc>
        <w:tc>
          <w:tcPr>
            <w:tcW w:w="1639" w:type="dxa"/>
            <w:tcBorders>
              <w:top w:val="single" w:color="auto" w:sz="4" w:space="0"/>
              <w:left w:val="single" w:color="auto" w:sz="4" w:space="0"/>
              <w:bottom w:val="single" w:color="auto" w:sz="4" w:space="0"/>
              <w:right w:val="single" w:color="auto" w:sz="4" w:space="0"/>
            </w:tcBorders>
            <w:vAlign w:val="center"/>
          </w:tcPr>
          <w:p>
            <w:pPr>
              <w:widowControl/>
              <w:shd w:val="clear" w:color="auto" w:fill="FFFFFF"/>
              <w:spacing w:line="360" w:lineRule="auto"/>
              <w:jc w:val="center"/>
              <w:rPr>
                <w:rFonts w:ascii="方正仿宋_GBK" w:hAnsi="方正仿宋_GBK" w:eastAsia="方正仿宋_GBK" w:cs="方正仿宋_GBK"/>
                <w:bCs/>
                <w:kern w:val="0"/>
                <w:sz w:val="24"/>
              </w:rPr>
            </w:pPr>
            <w:r>
              <w:rPr>
                <w:rFonts w:hint="eastAsia" w:ascii="方正仿宋_GBK" w:hAnsi="方正仿宋_GBK" w:eastAsia="方正仿宋_GBK" w:cs="方正仿宋_GBK"/>
                <w:bCs/>
                <w:kern w:val="0"/>
                <w:sz w:val="24"/>
              </w:rPr>
              <w:t>产量</w:t>
            </w:r>
          </w:p>
        </w:tc>
        <w:tc>
          <w:tcPr>
            <w:tcW w:w="1670" w:type="dxa"/>
            <w:tcBorders>
              <w:top w:val="single" w:color="auto" w:sz="4" w:space="0"/>
              <w:left w:val="single" w:color="auto" w:sz="4" w:space="0"/>
              <w:bottom w:val="single" w:color="auto" w:sz="4" w:space="0"/>
            </w:tcBorders>
            <w:vAlign w:val="center"/>
          </w:tcPr>
          <w:p>
            <w:pPr>
              <w:widowControl/>
              <w:shd w:val="clear" w:color="auto" w:fill="FFFFFF"/>
              <w:spacing w:line="360" w:lineRule="auto"/>
              <w:jc w:val="center"/>
              <w:rPr>
                <w:rFonts w:ascii="方正仿宋_GBK" w:hAnsi="方正仿宋_GBK" w:eastAsia="方正仿宋_GBK" w:cs="方正仿宋_GBK"/>
                <w:bCs/>
                <w:kern w:val="0"/>
                <w:sz w:val="24"/>
              </w:rPr>
            </w:pPr>
            <w:r>
              <w:rPr>
                <w:rFonts w:hint="eastAsia" w:ascii="方正仿宋_GBK" w:hAnsi="方正仿宋_GBK" w:eastAsia="方正仿宋_GBK" w:cs="方正仿宋_GBK"/>
                <w:bCs/>
                <w:kern w:val="0"/>
                <w:sz w:val="24"/>
              </w:rPr>
              <w:t>比上年增长（％）</w:t>
            </w:r>
          </w:p>
        </w:tc>
      </w:tr>
      <w:tr>
        <w:tblPrEx>
          <w:tblLayout w:type="fixed"/>
          <w:tblCellMar>
            <w:top w:w="0" w:type="dxa"/>
            <w:left w:w="108" w:type="dxa"/>
            <w:bottom w:w="0" w:type="dxa"/>
            <w:right w:w="108" w:type="dxa"/>
          </w:tblCellMar>
        </w:tblPrEx>
        <w:trPr>
          <w:trHeight w:val="478" w:hRule="exact"/>
          <w:jc w:val="center"/>
        </w:trPr>
        <w:tc>
          <w:tcPr>
            <w:tcW w:w="2471" w:type="dxa"/>
            <w:tcBorders>
              <w:top w:val="nil"/>
              <w:left w:val="nil"/>
              <w:bottom w:val="nil"/>
              <w:right w:val="single" w:color="auto" w:sz="4" w:space="0"/>
            </w:tcBorders>
            <w:vAlign w:val="center"/>
          </w:tcPr>
          <w:p>
            <w:pPr>
              <w:widowControl/>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原煤</w:t>
            </w:r>
          </w:p>
        </w:tc>
        <w:tc>
          <w:tcPr>
            <w:tcW w:w="1540" w:type="dxa"/>
            <w:tcBorders>
              <w:top w:val="single" w:color="auto" w:sz="4" w:space="0"/>
              <w:left w:val="single" w:color="auto" w:sz="4" w:space="0"/>
              <w:bottom w:val="nil"/>
              <w:right w:val="single" w:color="auto" w:sz="4" w:space="0"/>
            </w:tcBorders>
            <w:vAlign w:val="center"/>
          </w:tcPr>
          <w:p>
            <w:pPr>
              <w:rPr>
                <w:rFonts w:ascii="方正仿宋_GBK" w:hAnsi="方正仿宋_GBK" w:eastAsia="方正仿宋_GBK" w:cs="方正仿宋_GBK"/>
                <w:sz w:val="24"/>
              </w:rPr>
            </w:pPr>
            <w:r>
              <w:rPr>
                <w:rFonts w:hint="eastAsia" w:ascii="方正仿宋_GBK" w:hAnsi="方正仿宋_GBK" w:eastAsia="方正仿宋_GBK" w:cs="方正仿宋_GBK"/>
                <w:sz w:val="24"/>
              </w:rPr>
              <w:t>吨</w:t>
            </w:r>
          </w:p>
        </w:tc>
        <w:tc>
          <w:tcPr>
            <w:tcW w:w="1639" w:type="dxa"/>
            <w:tcBorders>
              <w:top w:val="nil"/>
              <w:left w:val="single" w:color="auto" w:sz="4" w:space="0"/>
              <w:bottom w:val="nil"/>
              <w:right w:val="nil"/>
            </w:tcBorders>
            <w:vAlign w:val="center"/>
          </w:tcPr>
          <w:p>
            <w:pPr>
              <w:widowControl/>
              <w:jc w:val="right"/>
              <w:rPr>
                <w:color w:val="000000"/>
                <w:kern w:val="0"/>
                <w:sz w:val="22"/>
                <w:szCs w:val="22"/>
              </w:rPr>
            </w:pPr>
            <w:r>
              <w:rPr>
                <w:rFonts w:hint="eastAsia"/>
                <w:color w:val="000000"/>
                <w:sz w:val="22"/>
                <w:szCs w:val="22"/>
              </w:rPr>
              <w:t xml:space="preserve">621954 </w:t>
            </w:r>
          </w:p>
        </w:tc>
        <w:tc>
          <w:tcPr>
            <w:tcW w:w="1670" w:type="dxa"/>
            <w:tcBorders>
              <w:top w:val="nil"/>
              <w:left w:val="nil"/>
              <w:bottom w:val="nil"/>
              <w:right w:val="nil"/>
            </w:tcBorders>
            <w:vAlign w:val="center"/>
          </w:tcPr>
          <w:p>
            <w:pPr>
              <w:jc w:val="right"/>
              <w:rPr>
                <w:color w:val="000000"/>
                <w:sz w:val="22"/>
                <w:szCs w:val="22"/>
              </w:rPr>
            </w:pPr>
            <w:r>
              <w:rPr>
                <w:rFonts w:hint="eastAsia"/>
                <w:color w:val="000000"/>
                <w:sz w:val="22"/>
                <w:szCs w:val="22"/>
              </w:rPr>
              <w:t xml:space="preserve">-49.7 </w:t>
            </w:r>
          </w:p>
        </w:tc>
      </w:tr>
      <w:tr>
        <w:tblPrEx>
          <w:tblLayout w:type="fixed"/>
          <w:tblCellMar>
            <w:top w:w="0" w:type="dxa"/>
            <w:left w:w="108" w:type="dxa"/>
            <w:bottom w:w="0" w:type="dxa"/>
            <w:right w:w="108" w:type="dxa"/>
          </w:tblCellMar>
        </w:tblPrEx>
        <w:trPr>
          <w:trHeight w:val="478" w:hRule="exact"/>
          <w:jc w:val="center"/>
        </w:trPr>
        <w:tc>
          <w:tcPr>
            <w:tcW w:w="2471" w:type="dxa"/>
            <w:tcBorders>
              <w:top w:val="nil"/>
              <w:left w:val="nil"/>
              <w:bottom w:val="nil"/>
              <w:right w:val="single" w:color="auto" w:sz="4" w:space="0"/>
            </w:tcBorders>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洗煤</w:t>
            </w:r>
          </w:p>
        </w:tc>
        <w:tc>
          <w:tcPr>
            <w:tcW w:w="1540" w:type="dxa"/>
            <w:tcBorders>
              <w:top w:val="nil"/>
              <w:left w:val="single" w:color="auto" w:sz="4" w:space="0"/>
              <w:bottom w:val="nil"/>
              <w:right w:val="single" w:color="auto" w:sz="4" w:space="0"/>
            </w:tcBorders>
            <w:vAlign w:val="center"/>
          </w:tcPr>
          <w:p>
            <w:pPr>
              <w:rPr>
                <w:rFonts w:ascii="方正仿宋_GBK" w:hAnsi="方正仿宋_GBK" w:eastAsia="方正仿宋_GBK" w:cs="方正仿宋_GBK"/>
                <w:sz w:val="24"/>
              </w:rPr>
            </w:pPr>
            <w:r>
              <w:rPr>
                <w:rFonts w:hint="eastAsia" w:ascii="方正仿宋_GBK" w:hAnsi="方正仿宋_GBK" w:eastAsia="方正仿宋_GBK" w:cs="方正仿宋_GBK"/>
                <w:sz w:val="24"/>
              </w:rPr>
              <w:t>吨</w:t>
            </w:r>
          </w:p>
        </w:tc>
        <w:tc>
          <w:tcPr>
            <w:tcW w:w="1639" w:type="dxa"/>
            <w:tcBorders>
              <w:top w:val="nil"/>
              <w:left w:val="single" w:color="auto" w:sz="4" w:space="0"/>
              <w:bottom w:val="nil"/>
              <w:right w:val="nil"/>
            </w:tcBorders>
            <w:vAlign w:val="center"/>
          </w:tcPr>
          <w:p>
            <w:pPr>
              <w:jc w:val="right"/>
              <w:rPr>
                <w:color w:val="000000"/>
                <w:sz w:val="22"/>
                <w:szCs w:val="22"/>
              </w:rPr>
            </w:pPr>
            <w:r>
              <w:rPr>
                <w:rFonts w:hint="eastAsia"/>
                <w:color w:val="000000"/>
                <w:sz w:val="22"/>
                <w:szCs w:val="22"/>
              </w:rPr>
              <w:t xml:space="preserve">767142 </w:t>
            </w:r>
          </w:p>
        </w:tc>
        <w:tc>
          <w:tcPr>
            <w:tcW w:w="1670" w:type="dxa"/>
            <w:tcBorders>
              <w:top w:val="nil"/>
              <w:left w:val="nil"/>
              <w:bottom w:val="nil"/>
              <w:right w:val="nil"/>
            </w:tcBorders>
            <w:vAlign w:val="center"/>
          </w:tcPr>
          <w:p>
            <w:pPr>
              <w:jc w:val="right"/>
              <w:rPr>
                <w:color w:val="000000"/>
                <w:sz w:val="22"/>
                <w:szCs w:val="22"/>
              </w:rPr>
            </w:pPr>
            <w:r>
              <w:rPr>
                <w:rFonts w:hint="eastAsia"/>
                <w:color w:val="000000"/>
                <w:sz w:val="22"/>
                <w:szCs w:val="22"/>
              </w:rPr>
              <w:t xml:space="preserve">-62.2 </w:t>
            </w:r>
          </w:p>
        </w:tc>
      </w:tr>
      <w:tr>
        <w:tblPrEx>
          <w:tblLayout w:type="fixed"/>
          <w:tblCellMar>
            <w:top w:w="0" w:type="dxa"/>
            <w:left w:w="108" w:type="dxa"/>
            <w:bottom w:w="0" w:type="dxa"/>
            <w:right w:w="108" w:type="dxa"/>
          </w:tblCellMar>
        </w:tblPrEx>
        <w:trPr>
          <w:trHeight w:val="478" w:hRule="exact"/>
          <w:jc w:val="center"/>
        </w:trPr>
        <w:tc>
          <w:tcPr>
            <w:tcW w:w="2471" w:type="dxa"/>
            <w:tcBorders>
              <w:top w:val="nil"/>
              <w:left w:val="nil"/>
              <w:bottom w:val="nil"/>
              <w:right w:val="single" w:color="auto" w:sz="4" w:space="0"/>
            </w:tcBorders>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发电量</w:t>
            </w:r>
          </w:p>
        </w:tc>
        <w:tc>
          <w:tcPr>
            <w:tcW w:w="1540" w:type="dxa"/>
            <w:tcBorders>
              <w:top w:val="nil"/>
              <w:left w:val="single" w:color="auto" w:sz="4" w:space="0"/>
              <w:bottom w:val="nil"/>
              <w:right w:val="single" w:color="auto" w:sz="4" w:space="0"/>
            </w:tcBorders>
            <w:vAlign w:val="center"/>
          </w:tcPr>
          <w:p>
            <w:pPr>
              <w:rPr>
                <w:rFonts w:ascii="方正仿宋_GBK" w:hAnsi="方正仿宋_GBK" w:eastAsia="方正仿宋_GBK" w:cs="方正仿宋_GBK"/>
                <w:sz w:val="24"/>
              </w:rPr>
            </w:pPr>
            <w:r>
              <w:rPr>
                <w:rFonts w:hint="eastAsia" w:ascii="方正仿宋_GBK" w:hAnsi="方正仿宋_GBK" w:eastAsia="方正仿宋_GBK" w:cs="方正仿宋_GBK"/>
                <w:sz w:val="24"/>
              </w:rPr>
              <w:t>万千瓦时</w:t>
            </w:r>
          </w:p>
        </w:tc>
        <w:tc>
          <w:tcPr>
            <w:tcW w:w="1639" w:type="dxa"/>
            <w:tcBorders>
              <w:top w:val="nil"/>
              <w:left w:val="single" w:color="auto" w:sz="4" w:space="0"/>
              <w:bottom w:val="nil"/>
              <w:right w:val="nil"/>
            </w:tcBorders>
            <w:vAlign w:val="center"/>
          </w:tcPr>
          <w:p>
            <w:pPr>
              <w:jc w:val="right"/>
              <w:rPr>
                <w:color w:val="000000"/>
                <w:sz w:val="22"/>
                <w:szCs w:val="22"/>
              </w:rPr>
            </w:pPr>
            <w:r>
              <w:rPr>
                <w:rFonts w:hint="eastAsia"/>
                <w:color w:val="000000"/>
                <w:sz w:val="22"/>
                <w:szCs w:val="22"/>
              </w:rPr>
              <w:t xml:space="preserve">7497 </w:t>
            </w:r>
          </w:p>
        </w:tc>
        <w:tc>
          <w:tcPr>
            <w:tcW w:w="1670" w:type="dxa"/>
            <w:tcBorders>
              <w:top w:val="nil"/>
              <w:left w:val="nil"/>
              <w:bottom w:val="nil"/>
              <w:right w:val="nil"/>
            </w:tcBorders>
            <w:vAlign w:val="center"/>
          </w:tcPr>
          <w:p>
            <w:pPr>
              <w:jc w:val="right"/>
              <w:rPr>
                <w:color w:val="000000"/>
                <w:sz w:val="22"/>
                <w:szCs w:val="22"/>
              </w:rPr>
            </w:pPr>
            <w:r>
              <w:rPr>
                <w:rFonts w:hint="eastAsia"/>
                <w:color w:val="000000"/>
                <w:sz w:val="22"/>
                <w:szCs w:val="22"/>
              </w:rPr>
              <w:t xml:space="preserve">-42.6 </w:t>
            </w:r>
          </w:p>
        </w:tc>
      </w:tr>
      <w:tr>
        <w:tblPrEx>
          <w:tblLayout w:type="fixed"/>
          <w:tblCellMar>
            <w:top w:w="0" w:type="dxa"/>
            <w:left w:w="108" w:type="dxa"/>
            <w:bottom w:w="0" w:type="dxa"/>
            <w:right w:w="108" w:type="dxa"/>
          </w:tblCellMar>
        </w:tblPrEx>
        <w:trPr>
          <w:trHeight w:val="478" w:hRule="exact"/>
          <w:jc w:val="center"/>
        </w:trPr>
        <w:tc>
          <w:tcPr>
            <w:tcW w:w="2471" w:type="dxa"/>
            <w:tcBorders>
              <w:top w:val="nil"/>
              <w:left w:val="nil"/>
              <w:bottom w:val="nil"/>
              <w:right w:val="single" w:color="auto" w:sz="4" w:space="0"/>
            </w:tcBorders>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饲料</w:t>
            </w:r>
          </w:p>
        </w:tc>
        <w:tc>
          <w:tcPr>
            <w:tcW w:w="1540" w:type="dxa"/>
            <w:tcBorders>
              <w:top w:val="nil"/>
              <w:left w:val="single" w:color="auto" w:sz="4" w:space="0"/>
              <w:bottom w:val="nil"/>
              <w:right w:val="single" w:color="auto" w:sz="4" w:space="0"/>
            </w:tcBorders>
            <w:vAlign w:val="center"/>
          </w:tcPr>
          <w:p>
            <w:pPr>
              <w:rPr>
                <w:rFonts w:ascii="方正仿宋_GBK" w:hAnsi="方正仿宋_GBK" w:eastAsia="方正仿宋_GBK" w:cs="方正仿宋_GBK"/>
                <w:sz w:val="24"/>
              </w:rPr>
            </w:pPr>
            <w:r>
              <w:rPr>
                <w:rFonts w:hint="eastAsia" w:ascii="方正仿宋_GBK" w:hAnsi="方正仿宋_GBK" w:eastAsia="方正仿宋_GBK" w:cs="方正仿宋_GBK"/>
                <w:sz w:val="24"/>
              </w:rPr>
              <w:t>吨</w:t>
            </w:r>
          </w:p>
        </w:tc>
        <w:tc>
          <w:tcPr>
            <w:tcW w:w="1639" w:type="dxa"/>
            <w:tcBorders>
              <w:top w:val="nil"/>
              <w:left w:val="single" w:color="auto" w:sz="4" w:space="0"/>
              <w:bottom w:val="nil"/>
              <w:right w:val="nil"/>
            </w:tcBorders>
            <w:vAlign w:val="center"/>
          </w:tcPr>
          <w:p>
            <w:pPr>
              <w:jc w:val="right"/>
              <w:rPr>
                <w:color w:val="000000"/>
                <w:sz w:val="22"/>
                <w:szCs w:val="22"/>
              </w:rPr>
            </w:pPr>
            <w:r>
              <w:rPr>
                <w:rFonts w:hint="eastAsia"/>
                <w:color w:val="000000"/>
                <w:sz w:val="22"/>
                <w:szCs w:val="22"/>
              </w:rPr>
              <w:t xml:space="preserve">1017348 </w:t>
            </w:r>
          </w:p>
        </w:tc>
        <w:tc>
          <w:tcPr>
            <w:tcW w:w="1670" w:type="dxa"/>
            <w:tcBorders>
              <w:top w:val="nil"/>
              <w:left w:val="nil"/>
              <w:bottom w:val="nil"/>
              <w:right w:val="nil"/>
            </w:tcBorders>
            <w:vAlign w:val="center"/>
          </w:tcPr>
          <w:p>
            <w:pPr>
              <w:jc w:val="right"/>
              <w:rPr>
                <w:color w:val="000000"/>
                <w:sz w:val="22"/>
                <w:szCs w:val="22"/>
              </w:rPr>
            </w:pPr>
            <w:r>
              <w:rPr>
                <w:rFonts w:hint="eastAsia"/>
                <w:color w:val="000000"/>
                <w:sz w:val="22"/>
                <w:szCs w:val="22"/>
              </w:rPr>
              <w:t xml:space="preserve">27.2 </w:t>
            </w:r>
          </w:p>
        </w:tc>
      </w:tr>
      <w:tr>
        <w:tblPrEx>
          <w:tblLayout w:type="fixed"/>
          <w:tblCellMar>
            <w:top w:w="0" w:type="dxa"/>
            <w:left w:w="108" w:type="dxa"/>
            <w:bottom w:w="0" w:type="dxa"/>
            <w:right w:w="108" w:type="dxa"/>
          </w:tblCellMar>
        </w:tblPrEx>
        <w:trPr>
          <w:trHeight w:val="478" w:hRule="exact"/>
          <w:jc w:val="center"/>
        </w:trPr>
        <w:tc>
          <w:tcPr>
            <w:tcW w:w="2471" w:type="dxa"/>
            <w:tcBorders>
              <w:top w:val="nil"/>
              <w:left w:val="nil"/>
              <w:bottom w:val="nil"/>
              <w:right w:val="single" w:color="auto" w:sz="4" w:space="0"/>
            </w:tcBorders>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鲜、冷藏肉</w:t>
            </w:r>
          </w:p>
        </w:tc>
        <w:tc>
          <w:tcPr>
            <w:tcW w:w="1540" w:type="dxa"/>
            <w:tcBorders>
              <w:top w:val="nil"/>
              <w:left w:val="single" w:color="auto" w:sz="4" w:space="0"/>
              <w:bottom w:val="nil"/>
              <w:right w:val="single" w:color="auto" w:sz="4" w:space="0"/>
            </w:tcBorders>
            <w:vAlign w:val="center"/>
          </w:tcPr>
          <w:p>
            <w:pPr>
              <w:rPr>
                <w:rFonts w:ascii="方正仿宋_GBK" w:hAnsi="方正仿宋_GBK" w:eastAsia="方正仿宋_GBK" w:cs="方正仿宋_GBK"/>
                <w:sz w:val="24"/>
              </w:rPr>
            </w:pPr>
            <w:r>
              <w:rPr>
                <w:rFonts w:hint="eastAsia" w:ascii="方正仿宋_GBK" w:hAnsi="方正仿宋_GBK" w:eastAsia="方正仿宋_GBK" w:cs="方正仿宋_GBK"/>
                <w:sz w:val="24"/>
              </w:rPr>
              <w:t>吨</w:t>
            </w:r>
          </w:p>
        </w:tc>
        <w:tc>
          <w:tcPr>
            <w:tcW w:w="1639" w:type="dxa"/>
            <w:tcBorders>
              <w:top w:val="nil"/>
              <w:left w:val="single" w:color="auto" w:sz="4" w:space="0"/>
              <w:bottom w:val="nil"/>
              <w:right w:val="nil"/>
            </w:tcBorders>
            <w:vAlign w:val="center"/>
          </w:tcPr>
          <w:p>
            <w:pPr>
              <w:jc w:val="right"/>
              <w:rPr>
                <w:color w:val="000000"/>
                <w:sz w:val="22"/>
                <w:szCs w:val="22"/>
              </w:rPr>
            </w:pPr>
            <w:r>
              <w:rPr>
                <w:rFonts w:hint="eastAsia"/>
                <w:color w:val="000000"/>
                <w:sz w:val="22"/>
                <w:szCs w:val="22"/>
              </w:rPr>
              <w:t xml:space="preserve">57592 </w:t>
            </w:r>
          </w:p>
        </w:tc>
        <w:tc>
          <w:tcPr>
            <w:tcW w:w="1670" w:type="dxa"/>
            <w:tcBorders>
              <w:top w:val="nil"/>
              <w:left w:val="nil"/>
              <w:bottom w:val="nil"/>
              <w:right w:val="nil"/>
            </w:tcBorders>
            <w:vAlign w:val="center"/>
          </w:tcPr>
          <w:p>
            <w:pPr>
              <w:jc w:val="right"/>
              <w:rPr>
                <w:color w:val="000000"/>
                <w:sz w:val="22"/>
                <w:szCs w:val="22"/>
              </w:rPr>
            </w:pPr>
            <w:r>
              <w:rPr>
                <w:rFonts w:hint="eastAsia"/>
                <w:color w:val="000000"/>
                <w:sz w:val="22"/>
                <w:szCs w:val="22"/>
              </w:rPr>
              <w:t xml:space="preserve">12.0 </w:t>
            </w:r>
          </w:p>
        </w:tc>
      </w:tr>
      <w:tr>
        <w:tblPrEx>
          <w:tblLayout w:type="fixed"/>
          <w:tblCellMar>
            <w:top w:w="0" w:type="dxa"/>
            <w:left w:w="108" w:type="dxa"/>
            <w:bottom w:w="0" w:type="dxa"/>
            <w:right w:w="108" w:type="dxa"/>
          </w:tblCellMar>
        </w:tblPrEx>
        <w:trPr>
          <w:trHeight w:val="587" w:hRule="exact"/>
          <w:jc w:val="center"/>
        </w:trPr>
        <w:tc>
          <w:tcPr>
            <w:tcW w:w="2471" w:type="dxa"/>
            <w:tcBorders>
              <w:top w:val="nil"/>
              <w:left w:val="nil"/>
              <w:bottom w:val="nil"/>
              <w:right w:val="single" w:color="auto" w:sz="4" w:space="0"/>
            </w:tcBorders>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精制茶</w:t>
            </w:r>
          </w:p>
        </w:tc>
        <w:tc>
          <w:tcPr>
            <w:tcW w:w="1540" w:type="dxa"/>
            <w:tcBorders>
              <w:top w:val="nil"/>
              <w:left w:val="single" w:color="auto" w:sz="4" w:space="0"/>
              <w:bottom w:val="nil"/>
              <w:right w:val="single" w:color="auto" w:sz="4" w:space="0"/>
            </w:tcBorders>
            <w:vAlign w:val="center"/>
          </w:tcPr>
          <w:p>
            <w:pPr>
              <w:rPr>
                <w:rFonts w:ascii="方正仿宋_GBK" w:hAnsi="方正仿宋_GBK" w:eastAsia="方正仿宋_GBK" w:cs="方正仿宋_GBK"/>
                <w:sz w:val="24"/>
              </w:rPr>
            </w:pPr>
            <w:r>
              <w:rPr>
                <w:rFonts w:hint="eastAsia" w:ascii="方正仿宋_GBK" w:hAnsi="方正仿宋_GBK" w:eastAsia="方正仿宋_GBK" w:cs="方正仿宋_GBK"/>
                <w:sz w:val="24"/>
              </w:rPr>
              <w:t>吨</w:t>
            </w:r>
          </w:p>
        </w:tc>
        <w:tc>
          <w:tcPr>
            <w:tcW w:w="1639" w:type="dxa"/>
            <w:tcBorders>
              <w:top w:val="nil"/>
              <w:left w:val="single" w:color="auto" w:sz="4" w:space="0"/>
              <w:bottom w:val="nil"/>
              <w:right w:val="nil"/>
            </w:tcBorders>
            <w:vAlign w:val="center"/>
          </w:tcPr>
          <w:p>
            <w:pPr>
              <w:jc w:val="right"/>
              <w:rPr>
                <w:color w:val="000000"/>
                <w:sz w:val="22"/>
                <w:szCs w:val="22"/>
              </w:rPr>
            </w:pPr>
            <w:r>
              <w:rPr>
                <w:rFonts w:hint="eastAsia"/>
                <w:color w:val="000000"/>
                <w:sz w:val="22"/>
                <w:szCs w:val="22"/>
              </w:rPr>
              <w:t xml:space="preserve">94492 </w:t>
            </w:r>
          </w:p>
        </w:tc>
        <w:tc>
          <w:tcPr>
            <w:tcW w:w="1670" w:type="dxa"/>
            <w:tcBorders>
              <w:top w:val="nil"/>
              <w:left w:val="nil"/>
              <w:bottom w:val="nil"/>
              <w:right w:val="nil"/>
            </w:tcBorders>
            <w:vAlign w:val="center"/>
          </w:tcPr>
          <w:p>
            <w:pPr>
              <w:jc w:val="right"/>
              <w:rPr>
                <w:color w:val="000000"/>
                <w:sz w:val="22"/>
                <w:szCs w:val="22"/>
              </w:rPr>
            </w:pPr>
            <w:r>
              <w:rPr>
                <w:rFonts w:hint="eastAsia"/>
                <w:color w:val="000000"/>
                <w:sz w:val="22"/>
                <w:szCs w:val="22"/>
              </w:rPr>
              <w:t xml:space="preserve">12.5 </w:t>
            </w:r>
          </w:p>
        </w:tc>
      </w:tr>
      <w:tr>
        <w:tblPrEx>
          <w:tblLayout w:type="fixed"/>
          <w:tblCellMar>
            <w:top w:w="0" w:type="dxa"/>
            <w:left w:w="108" w:type="dxa"/>
            <w:bottom w:w="0" w:type="dxa"/>
            <w:right w:w="108" w:type="dxa"/>
          </w:tblCellMar>
        </w:tblPrEx>
        <w:trPr>
          <w:trHeight w:val="478" w:hRule="exact"/>
          <w:jc w:val="center"/>
        </w:trPr>
        <w:tc>
          <w:tcPr>
            <w:tcW w:w="2471" w:type="dxa"/>
            <w:tcBorders>
              <w:top w:val="nil"/>
              <w:left w:val="nil"/>
              <w:bottom w:val="nil"/>
              <w:right w:val="single" w:color="auto" w:sz="4" w:space="0"/>
            </w:tcBorders>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苎麻布（含苎麻≥55％）</w:t>
            </w:r>
          </w:p>
        </w:tc>
        <w:tc>
          <w:tcPr>
            <w:tcW w:w="1540" w:type="dxa"/>
            <w:tcBorders>
              <w:top w:val="nil"/>
              <w:left w:val="single" w:color="auto" w:sz="4" w:space="0"/>
              <w:bottom w:val="nil"/>
              <w:right w:val="single" w:color="auto" w:sz="4" w:space="0"/>
            </w:tcBorders>
            <w:vAlign w:val="center"/>
          </w:tcPr>
          <w:p>
            <w:pPr>
              <w:rPr>
                <w:rFonts w:ascii="方正仿宋_GBK" w:hAnsi="方正仿宋_GBK" w:eastAsia="方正仿宋_GBK" w:cs="方正仿宋_GBK"/>
                <w:sz w:val="24"/>
              </w:rPr>
            </w:pPr>
            <w:r>
              <w:rPr>
                <w:rFonts w:hint="eastAsia" w:ascii="方正仿宋_GBK" w:hAnsi="方正仿宋_GBK" w:eastAsia="方正仿宋_GBK" w:cs="方正仿宋_GBK"/>
                <w:sz w:val="24"/>
              </w:rPr>
              <w:t>万米</w:t>
            </w:r>
          </w:p>
        </w:tc>
        <w:tc>
          <w:tcPr>
            <w:tcW w:w="1639" w:type="dxa"/>
            <w:tcBorders>
              <w:top w:val="nil"/>
              <w:left w:val="single" w:color="auto" w:sz="4" w:space="0"/>
              <w:bottom w:val="nil"/>
              <w:right w:val="nil"/>
            </w:tcBorders>
            <w:vAlign w:val="center"/>
          </w:tcPr>
          <w:p>
            <w:pPr>
              <w:jc w:val="right"/>
              <w:rPr>
                <w:color w:val="000000"/>
                <w:sz w:val="22"/>
                <w:szCs w:val="22"/>
              </w:rPr>
            </w:pPr>
            <w:r>
              <w:rPr>
                <w:rFonts w:hint="eastAsia"/>
                <w:color w:val="000000"/>
                <w:sz w:val="22"/>
                <w:szCs w:val="22"/>
              </w:rPr>
              <w:t xml:space="preserve">3085 </w:t>
            </w:r>
          </w:p>
        </w:tc>
        <w:tc>
          <w:tcPr>
            <w:tcW w:w="1670" w:type="dxa"/>
            <w:tcBorders>
              <w:top w:val="nil"/>
              <w:left w:val="nil"/>
              <w:bottom w:val="nil"/>
              <w:right w:val="nil"/>
            </w:tcBorders>
            <w:vAlign w:val="center"/>
          </w:tcPr>
          <w:p>
            <w:pPr>
              <w:jc w:val="right"/>
              <w:rPr>
                <w:color w:val="000000"/>
                <w:sz w:val="22"/>
                <w:szCs w:val="22"/>
              </w:rPr>
            </w:pPr>
            <w:r>
              <w:rPr>
                <w:rFonts w:hint="eastAsia"/>
                <w:color w:val="000000"/>
                <w:sz w:val="22"/>
                <w:szCs w:val="22"/>
              </w:rPr>
              <w:t xml:space="preserve">-5.5 </w:t>
            </w:r>
          </w:p>
        </w:tc>
      </w:tr>
      <w:tr>
        <w:tblPrEx>
          <w:tblLayout w:type="fixed"/>
          <w:tblCellMar>
            <w:top w:w="0" w:type="dxa"/>
            <w:left w:w="108" w:type="dxa"/>
            <w:bottom w:w="0" w:type="dxa"/>
            <w:right w:w="108" w:type="dxa"/>
          </w:tblCellMar>
        </w:tblPrEx>
        <w:trPr>
          <w:trHeight w:val="478" w:hRule="exact"/>
          <w:jc w:val="center"/>
        </w:trPr>
        <w:tc>
          <w:tcPr>
            <w:tcW w:w="2471" w:type="dxa"/>
            <w:tcBorders>
              <w:top w:val="nil"/>
              <w:left w:val="nil"/>
              <w:bottom w:val="nil"/>
              <w:right w:val="single" w:color="auto" w:sz="4" w:space="0"/>
            </w:tcBorders>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纸制品</w:t>
            </w:r>
          </w:p>
        </w:tc>
        <w:tc>
          <w:tcPr>
            <w:tcW w:w="1540" w:type="dxa"/>
            <w:tcBorders>
              <w:top w:val="nil"/>
              <w:left w:val="single" w:color="auto" w:sz="4" w:space="0"/>
              <w:bottom w:val="nil"/>
              <w:right w:val="single" w:color="auto" w:sz="4" w:space="0"/>
            </w:tcBorders>
            <w:vAlign w:val="center"/>
          </w:tcPr>
          <w:p>
            <w:pPr>
              <w:rPr>
                <w:rFonts w:ascii="方正仿宋_GBK" w:hAnsi="方正仿宋_GBK" w:eastAsia="方正仿宋_GBK" w:cs="方正仿宋_GBK"/>
                <w:sz w:val="24"/>
              </w:rPr>
            </w:pPr>
            <w:r>
              <w:rPr>
                <w:rFonts w:hint="eastAsia" w:ascii="方正仿宋_GBK" w:hAnsi="方正仿宋_GBK" w:eastAsia="方正仿宋_GBK" w:cs="方正仿宋_GBK"/>
                <w:sz w:val="24"/>
              </w:rPr>
              <w:t>吨</w:t>
            </w:r>
          </w:p>
        </w:tc>
        <w:tc>
          <w:tcPr>
            <w:tcW w:w="1639" w:type="dxa"/>
            <w:tcBorders>
              <w:top w:val="nil"/>
              <w:left w:val="single" w:color="auto" w:sz="4" w:space="0"/>
              <w:bottom w:val="nil"/>
              <w:right w:val="nil"/>
            </w:tcBorders>
            <w:vAlign w:val="center"/>
          </w:tcPr>
          <w:p>
            <w:pPr>
              <w:jc w:val="right"/>
              <w:rPr>
                <w:color w:val="000000"/>
                <w:sz w:val="22"/>
                <w:szCs w:val="22"/>
              </w:rPr>
            </w:pPr>
            <w:r>
              <w:rPr>
                <w:rFonts w:hint="eastAsia"/>
                <w:color w:val="000000"/>
                <w:sz w:val="22"/>
                <w:szCs w:val="22"/>
              </w:rPr>
              <w:t xml:space="preserve">82083 </w:t>
            </w:r>
          </w:p>
        </w:tc>
        <w:tc>
          <w:tcPr>
            <w:tcW w:w="1670" w:type="dxa"/>
            <w:tcBorders>
              <w:top w:val="nil"/>
              <w:left w:val="nil"/>
              <w:bottom w:val="nil"/>
              <w:right w:val="nil"/>
            </w:tcBorders>
            <w:vAlign w:val="center"/>
          </w:tcPr>
          <w:p>
            <w:pPr>
              <w:jc w:val="right"/>
              <w:rPr>
                <w:color w:val="000000"/>
                <w:sz w:val="22"/>
                <w:szCs w:val="22"/>
              </w:rPr>
            </w:pPr>
            <w:r>
              <w:rPr>
                <w:rFonts w:hint="eastAsia"/>
                <w:color w:val="000000"/>
                <w:sz w:val="22"/>
                <w:szCs w:val="22"/>
              </w:rPr>
              <w:t xml:space="preserve">-69.2 </w:t>
            </w:r>
          </w:p>
        </w:tc>
      </w:tr>
      <w:tr>
        <w:tblPrEx>
          <w:tblLayout w:type="fixed"/>
          <w:tblCellMar>
            <w:top w:w="0" w:type="dxa"/>
            <w:left w:w="108" w:type="dxa"/>
            <w:bottom w:w="0" w:type="dxa"/>
            <w:right w:w="108" w:type="dxa"/>
          </w:tblCellMar>
        </w:tblPrEx>
        <w:trPr>
          <w:trHeight w:val="478" w:hRule="exact"/>
          <w:jc w:val="center"/>
        </w:trPr>
        <w:tc>
          <w:tcPr>
            <w:tcW w:w="2471" w:type="dxa"/>
            <w:tcBorders>
              <w:top w:val="nil"/>
              <w:left w:val="nil"/>
              <w:bottom w:val="nil"/>
              <w:right w:val="single" w:color="auto" w:sz="4" w:space="0"/>
            </w:tcBorders>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不锈钢日用制品</w:t>
            </w:r>
          </w:p>
        </w:tc>
        <w:tc>
          <w:tcPr>
            <w:tcW w:w="1540" w:type="dxa"/>
            <w:tcBorders>
              <w:top w:val="nil"/>
              <w:left w:val="single" w:color="auto" w:sz="4" w:space="0"/>
              <w:bottom w:val="nil"/>
              <w:right w:val="single" w:color="auto" w:sz="4" w:space="0"/>
            </w:tcBorders>
            <w:vAlign w:val="center"/>
          </w:tcPr>
          <w:p>
            <w:pPr>
              <w:rPr>
                <w:rFonts w:ascii="方正仿宋_GBK" w:hAnsi="方正仿宋_GBK" w:eastAsia="方正仿宋_GBK" w:cs="方正仿宋_GBK"/>
                <w:sz w:val="24"/>
              </w:rPr>
            </w:pPr>
            <w:r>
              <w:rPr>
                <w:rFonts w:hint="eastAsia" w:ascii="方正仿宋_GBK" w:hAnsi="方正仿宋_GBK" w:eastAsia="方正仿宋_GBK" w:cs="方正仿宋_GBK"/>
                <w:sz w:val="24"/>
              </w:rPr>
              <w:t>吨</w:t>
            </w:r>
          </w:p>
        </w:tc>
        <w:tc>
          <w:tcPr>
            <w:tcW w:w="1639" w:type="dxa"/>
            <w:tcBorders>
              <w:top w:val="nil"/>
              <w:left w:val="single" w:color="auto" w:sz="4" w:space="0"/>
              <w:bottom w:val="nil"/>
              <w:right w:val="nil"/>
            </w:tcBorders>
            <w:vAlign w:val="center"/>
          </w:tcPr>
          <w:p>
            <w:pPr>
              <w:jc w:val="right"/>
              <w:rPr>
                <w:color w:val="000000"/>
                <w:sz w:val="22"/>
                <w:szCs w:val="22"/>
              </w:rPr>
            </w:pPr>
            <w:r>
              <w:rPr>
                <w:rFonts w:hint="eastAsia"/>
                <w:color w:val="000000"/>
                <w:sz w:val="22"/>
                <w:szCs w:val="22"/>
              </w:rPr>
              <w:t xml:space="preserve">17222 </w:t>
            </w:r>
          </w:p>
        </w:tc>
        <w:tc>
          <w:tcPr>
            <w:tcW w:w="1670" w:type="dxa"/>
            <w:tcBorders>
              <w:top w:val="nil"/>
              <w:left w:val="nil"/>
              <w:bottom w:val="nil"/>
              <w:right w:val="nil"/>
            </w:tcBorders>
            <w:vAlign w:val="center"/>
          </w:tcPr>
          <w:p>
            <w:pPr>
              <w:jc w:val="right"/>
              <w:rPr>
                <w:color w:val="000000"/>
                <w:sz w:val="22"/>
                <w:szCs w:val="22"/>
              </w:rPr>
            </w:pPr>
            <w:r>
              <w:rPr>
                <w:rFonts w:hint="eastAsia"/>
                <w:color w:val="000000"/>
                <w:sz w:val="22"/>
                <w:szCs w:val="22"/>
              </w:rPr>
              <w:t xml:space="preserve">-0.1 </w:t>
            </w:r>
          </w:p>
        </w:tc>
      </w:tr>
      <w:tr>
        <w:tblPrEx>
          <w:tblLayout w:type="fixed"/>
          <w:tblCellMar>
            <w:top w:w="0" w:type="dxa"/>
            <w:left w:w="108" w:type="dxa"/>
            <w:bottom w:w="0" w:type="dxa"/>
            <w:right w:w="108" w:type="dxa"/>
          </w:tblCellMar>
        </w:tblPrEx>
        <w:trPr>
          <w:trHeight w:val="478" w:hRule="exact"/>
          <w:jc w:val="center"/>
        </w:trPr>
        <w:tc>
          <w:tcPr>
            <w:tcW w:w="2471" w:type="dxa"/>
            <w:tcBorders>
              <w:top w:val="nil"/>
              <w:left w:val="nil"/>
              <w:bottom w:val="nil"/>
              <w:right w:val="single" w:color="auto" w:sz="4" w:space="0"/>
            </w:tcBorders>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阀门</w:t>
            </w:r>
          </w:p>
        </w:tc>
        <w:tc>
          <w:tcPr>
            <w:tcW w:w="1540" w:type="dxa"/>
            <w:tcBorders>
              <w:top w:val="nil"/>
              <w:left w:val="single" w:color="auto" w:sz="4" w:space="0"/>
              <w:bottom w:val="nil"/>
              <w:right w:val="single" w:color="auto" w:sz="4" w:space="0"/>
            </w:tcBorders>
            <w:vAlign w:val="center"/>
          </w:tcPr>
          <w:p>
            <w:pPr>
              <w:rPr>
                <w:rFonts w:ascii="方正仿宋_GBK" w:hAnsi="方正仿宋_GBK" w:eastAsia="方正仿宋_GBK" w:cs="方正仿宋_GBK"/>
                <w:sz w:val="24"/>
              </w:rPr>
            </w:pPr>
            <w:r>
              <w:rPr>
                <w:rFonts w:hint="eastAsia" w:ascii="方正仿宋_GBK" w:hAnsi="方正仿宋_GBK" w:eastAsia="方正仿宋_GBK" w:cs="方正仿宋_GBK"/>
                <w:sz w:val="24"/>
              </w:rPr>
              <w:t>吨</w:t>
            </w:r>
          </w:p>
        </w:tc>
        <w:tc>
          <w:tcPr>
            <w:tcW w:w="1639" w:type="dxa"/>
            <w:tcBorders>
              <w:top w:val="nil"/>
              <w:left w:val="single" w:color="auto" w:sz="4" w:space="0"/>
              <w:bottom w:val="nil"/>
              <w:right w:val="nil"/>
            </w:tcBorders>
            <w:vAlign w:val="center"/>
          </w:tcPr>
          <w:p>
            <w:pPr>
              <w:jc w:val="right"/>
              <w:rPr>
                <w:color w:val="000000"/>
                <w:sz w:val="22"/>
                <w:szCs w:val="22"/>
              </w:rPr>
            </w:pPr>
            <w:r>
              <w:rPr>
                <w:rFonts w:hint="eastAsia"/>
                <w:color w:val="000000"/>
                <w:sz w:val="22"/>
                <w:szCs w:val="22"/>
              </w:rPr>
              <w:t xml:space="preserve">139268 </w:t>
            </w:r>
          </w:p>
        </w:tc>
        <w:tc>
          <w:tcPr>
            <w:tcW w:w="1670" w:type="dxa"/>
            <w:tcBorders>
              <w:top w:val="nil"/>
              <w:left w:val="nil"/>
              <w:bottom w:val="nil"/>
              <w:right w:val="nil"/>
            </w:tcBorders>
            <w:vAlign w:val="center"/>
          </w:tcPr>
          <w:p>
            <w:pPr>
              <w:jc w:val="right"/>
              <w:rPr>
                <w:color w:val="000000"/>
                <w:sz w:val="22"/>
                <w:szCs w:val="22"/>
              </w:rPr>
            </w:pPr>
            <w:r>
              <w:rPr>
                <w:rFonts w:hint="eastAsia"/>
                <w:color w:val="000000"/>
                <w:sz w:val="22"/>
                <w:szCs w:val="22"/>
              </w:rPr>
              <w:t xml:space="preserve">-1.5 </w:t>
            </w:r>
          </w:p>
        </w:tc>
      </w:tr>
      <w:tr>
        <w:tblPrEx>
          <w:tblLayout w:type="fixed"/>
          <w:tblCellMar>
            <w:top w:w="0" w:type="dxa"/>
            <w:left w:w="108" w:type="dxa"/>
            <w:bottom w:w="0" w:type="dxa"/>
            <w:right w:w="108" w:type="dxa"/>
          </w:tblCellMar>
        </w:tblPrEx>
        <w:trPr>
          <w:trHeight w:val="478" w:hRule="exact"/>
          <w:jc w:val="center"/>
        </w:trPr>
        <w:tc>
          <w:tcPr>
            <w:tcW w:w="2471" w:type="dxa"/>
            <w:tcBorders>
              <w:top w:val="nil"/>
              <w:left w:val="nil"/>
              <w:bottom w:val="nil"/>
              <w:right w:val="single" w:color="auto" w:sz="4" w:space="0"/>
            </w:tcBorders>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电子元件</w:t>
            </w:r>
          </w:p>
        </w:tc>
        <w:tc>
          <w:tcPr>
            <w:tcW w:w="1540" w:type="dxa"/>
            <w:tcBorders>
              <w:top w:val="nil"/>
              <w:left w:val="single" w:color="auto" w:sz="4" w:space="0"/>
              <w:bottom w:val="nil"/>
              <w:right w:val="single" w:color="auto" w:sz="4" w:space="0"/>
            </w:tcBorders>
            <w:vAlign w:val="center"/>
          </w:tcPr>
          <w:p>
            <w:pPr>
              <w:rPr>
                <w:rFonts w:ascii="方正仿宋_GBK" w:hAnsi="方正仿宋_GBK" w:eastAsia="方正仿宋_GBK" w:cs="方正仿宋_GBK"/>
                <w:sz w:val="24"/>
              </w:rPr>
            </w:pPr>
            <w:r>
              <w:rPr>
                <w:rFonts w:hint="eastAsia" w:ascii="方正仿宋_GBK" w:hAnsi="方正仿宋_GBK" w:eastAsia="方正仿宋_GBK" w:cs="方正仿宋_GBK"/>
                <w:sz w:val="24"/>
              </w:rPr>
              <w:t>万只</w:t>
            </w:r>
          </w:p>
        </w:tc>
        <w:tc>
          <w:tcPr>
            <w:tcW w:w="1639" w:type="dxa"/>
            <w:tcBorders>
              <w:top w:val="nil"/>
              <w:left w:val="single" w:color="auto" w:sz="4" w:space="0"/>
              <w:bottom w:val="nil"/>
              <w:right w:val="nil"/>
            </w:tcBorders>
            <w:vAlign w:val="center"/>
          </w:tcPr>
          <w:p>
            <w:pPr>
              <w:jc w:val="right"/>
              <w:rPr>
                <w:color w:val="000000"/>
                <w:sz w:val="22"/>
                <w:szCs w:val="22"/>
              </w:rPr>
            </w:pPr>
            <w:r>
              <w:rPr>
                <w:rFonts w:hint="eastAsia"/>
                <w:color w:val="000000"/>
                <w:sz w:val="22"/>
                <w:szCs w:val="22"/>
              </w:rPr>
              <w:t xml:space="preserve">400296 </w:t>
            </w:r>
          </w:p>
        </w:tc>
        <w:tc>
          <w:tcPr>
            <w:tcW w:w="1670" w:type="dxa"/>
            <w:tcBorders>
              <w:top w:val="nil"/>
              <w:left w:val="nil"/>
              <w:bottom w:val="nil"/>
              <w:right w:val="nil"/>
            </w:tcBorders>
            <w:vAlign w:val="center"/>
          </w:tcPr>
          <w:p>
            <w:pPr>
              <w:jc w:val="right"/>
              <w:rPr>
                <w:color w:val="000000"/>
                <w:sz w:val="22"/>
                <w:szCs w:val="22"/>
              </w:rPr>
            </w:pPr>
            <w:r>
              <w:rPr>
                <w:rFonts w:hint="eastAsia"/>
                <w:color w:val="000000"/>
                <w:sz w:val="22"/>
                <w:szCs w:val="22"/>
              </w:rPr>
              <w:t xml:space="preserve">12.5 </w:t>
            </w:r>
          </w:p>
        </w:tc>
      </w:tr>
      <w:tr>
        <w:tblPrEx>
          <w:tblLayout w:type="fixed"/>
          <w:tblCellMar>
            <w:top w:w="0" w:type="dxa"/>
            <w:left w:w="108" w:type="dxa"/>
            <w:bottom w:w="0" w:type="dxa"/>
            <w:right w:w="108" w:type="dxa"/>
          </w:tblCellMar>
        </w:tblPrEx>
        <w:trPr>
          <w:trHeight w:val="478" w:hRule="exact"/>
          <w:jc w:val="center"/>
        </w:trPr>
        <w:tc>
          <w:tcPr>
            <w:tcW w:w="2471" w:type="dxa"/>
            <w:tcBorders>
              <w:top w:val="nil"/>
              <w:left w:val="nil"/>
              <w:bottom w:val="nil"/>
              <w:right w:val="single" w:color="auto" w:sz="4" w:space="0"/>
            </w:tcBorders>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印制电路板</w:t>
            </w:r>
          </w:p>
        </w:tc>
        <w:tc>
          <w:tcPr>
            <w:tcW w:w="1540" w:type="dxa"/>
            <w:tcBorders>
              <w:top w:val="nil"/>
              <w:left w:val="single" w:color="auto" w:sz="4" w:space="0"/>
              <w:bottom w:val="nil"/>
              <w:right w:val="single" w:color="auto" w:sz="4" w:space="0"/>
            </w:tcBorders>
            <w:vAlign w:val="center"/>
          </w:tcPr>
          <w:p>
            <w:pPr>
              <w:rPr>
                <w:rFonts w:ascii="方正仿宋_GBK" w:hAnsi="方正仿宋_GBK" w:eastAsia="方正仿宋_GBK" w:cs="方正仿宋_GBK"/>
                <w:sz w:val="24"/>
              </w:rPr>
            </w:pPr>
            <w:r>
              <w:rPr>
                <w:rFonts w:hint="eastAsia" w:ascii="方正仿宋_GBK" w:hAnsi="方正仿宋_GBK" w:eastAsia="方正仿宋_GBK" w:cs="方正仿宋_GBK"/>
                <w:sz w:val="24"/>
              </w:rPr>
              <w:t>平方米</w:t>
            </w:r>
          </w:p>
        </w:tc>
        <w:tc>
          <w:tcPr>
            <w:tcW w:w="1639" w:type="dxa"/>
            <w:tcBorders>
              <w:top w:val="nil"/>
              <w:left w:val="single" w:color="auto" w:sz="4" w:space="0"/>
              <w:bottom w:val="nil"/>
              <w:right w:val="nil"/>
            </w:tcBorders>
            <w:vAlign w:val="center"/>
          </w:tcPr>
          <w:p>
            <w:pPr>
              <w:jc w:val="right"/>
              <w:rPr>
                <w:color w:val="000000"/>
                <w:sz w:val="22"/>
                <w:szCs w:val="22"/>
              </w:rPr>
            </w:pPr>
            <w:r>
              <w:rPr>
                <w:rFonts w:hint="eastAsia"/>
                <w:color w:val="000000"/>
                <w:sz w:val="22"/>
                <w:szCs w:val="22"/>
              </w:rPr>
              <w:t xml:space="preserve">712450 </w:t>
            </w:r>
          </w:p>
        </w:tc>
        <w:tc>
          <w:tcPr>
            <w:tcW w:w="1670" w:type="dxa"/>
            <w:tcBorders>
              <w:top w:val="nil"/>
              <w:left w:val="nil"/>
              <w:bottom w:val="nil"/>
              <w:right w:val="nil"/>
            </w:tcBorders>
            <w:vAlign w:val="center"/>
          </w:tcPr>
          <w:p>
            <w:pPr>
              <w:jc w:val="right"/>
              <w:rPr>
                <w:color w:val="000000"/>
                <w:sz w:val="22"/>
                <w:szCs w:val="22"/>
              </w:rPr>
            </w:pPr>
            <w:r>
              <w:rPr>
                <w:rFonts w:hint="eastAsia"/>
                <w:color w:val="000000"/>
                <w:sz w:val="22"/>
                <w:szCs w:val="22"/>
              </w:rPr>
              <w:t xml:space="preserve">12.4 </w:t>
            </w:r>
          </w:p>
        </w:tc>
      </w:tr>
      <w:tr>
        <w:tblPrEx>
          <w:tblLayout w:type="fixed"/>
          <w:tblCellMar>
            <w:top w:w="0" w:type="dxa"/>
            <w:left w:w="108" w:type="dxa"/>
            <w:bottom w:w="0" w:type="dxa"/>
            <w:right w:w="108" w:type="dxa"/>
          </w:tblCellMar>
        </w:tblPrEx>
        <w:trPr>
          <w:trHeight w:val="478" w:hRule="exact"/>
          <w:jc w:val="center"/>
        </w:trPr>
        <w:tc>
          <w:tcPr>
            <w:tcW w:w="2471" w:type="dxa"/>
            <w:tcBorders>
              <w:top w:val="nil"/>
              <w:left w:val="nil"/>
              <w:right w:val="single" w:color="auto" w:sz="4" w:space="0"/>
            </w:tcBorders>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兽用药品</w:t>
            </w:r>
          </w:p>
        </w:tc>
        <w:tc>
          <w:tcPr>
            <w:tcW w:w="1540" w:type="dxa"/>
            <w:tcBorders>
              <w:top w:val="nil"/>
              <w:left w:val="single" w:color="auto" w:sz="4" w:space="0"/>
              <w:right w:val="single" w:color="auto" w:sz="4" w:space="0"/>
            </w:tcBorders>
            <w:vAlign w:val="center"/>
          </w:tcPr>
          <w:p>
            <w:pPr>
              <w:rPr>
                <w:rFonts w:ascii="方正仿宋_GBK" w:hAnsi="方正仿宋_GBK" w:eastAsia="方正仿宋_GBK" w:cs="方正仿宋_GBK"/>
                <w:sz w:val="24"/>
              </w:rPr>
            </w:pPr>
            <w:r>
              <w:rPr>
                <w:rFonts w:hint="eastAsia" w:ascii="方正仿宋_GBK" w:hAnsi="方正仿宋_GBK" w:eastAsia="方正仿宋_GBK" w:cs="方正仿宋_GBK"/>
                <w:sz w:val="24"/>
              </w:rPr>
              <w:t>吨</w:t>
            </w:r>
          </w:p>
        </w:tc>
        <w:tc>
          <w:tcPr>
            <w:tcW w:w="1639" w:type="dxa"/>
            <w:tcBorders>
              <w:top w:val="nil"/>
              <w:left w:val="single" w:color="auto" w:sz="4" w:space="0"/>
              <w:right w:val="nil"/>
            </w:tcBorders>
            <w:vAlign w:val="center"/>
          </w:tcPr>
          <w:p>
            <w:pPr>
              <w:jc w:val="right"/>
              <w:rPr>
                <w:color w:val="000000"/>
                <w:sz w:val="22"/>
                <w:szCs w:val="22"/>
              </w:rPr>
            </w:pPr>
            <w:r>
              <w:rPr>
                <w:rFonts w:hint="eastAsia"/>
                <w:color w:val="000000"/>
                <w:sz w:val="22"/>
                <w:szCs w:val="22"/>
              </w:rPr>
              <w:t xml:space="preserve">1492 </w:t>
            </w:r>
          </w:p>
        </w:tc>
        <w:tc>
          <w:tcPr>
            <w:tcW w:w="1670" w:type="dxa"/>
            <w:tcBorders>
              <w:top w:val="nil"/>
              <w:left w:val="nil"/>
              <w:right w:val="nil"/>
            </w:tcBorders>
            <w:vAlign w:val="center"/>
          </w:tcPr>
          <w:p>
            <w:pPr>
              <w:jc w:val="right"/>
              <w:rPr>
                <w:color w:val="000000"/>
                <w:sz w:val="22"/>
                <w:szCs w:val="22"/>
              </w:rPr>
            </w:pPr>
            <w:r>
              <w:rPr>
                <w:rFonts w:hint="eastAsia"/>
                <w:color w:val="000000"/>
                <w:sz w:val="22"/>
                <w:szCs w:val="22"/>
              </w:rPr>
              <w:t xml:space="preserve">3.4 </w:t>
            </w:r>
          </w:p>
        </w:tc>
      </w:tr>
      <w:tr>
        <w:tblPrEx>
          <w:tblLayout w:type="fixed"/>
          <w:tblCellMar>
            <w:top w:w="0" w:type="dxa"/>
            <w:left w:w="108" w:type="dxa"/>
            <w:bottom w:w="0" w:type="dxa"/>
            <w:right w:w="108" w:type="dxa"/>
          </w:tblCellMar>
        </w:tblPrEx>
        <w:trPr>
          <w:trHeight w:val="487" w:hRule="exact"/>
          <w:jc w:val="center"/>
        </w:trPr>
        <w:tc>
          <w:tcPr>
            <w:tcW w:w="2471" w:type="dxa"/>
            <w:tcBorders>
              <w:top w:val="nil"/>
              <w:left w:val="nil"/>
              <w:bottom w:val="single" w:color="auto" w:sz="4" w:space="0"/>
              <w:right w:val="single" w:color="auto" w:sz="4" w:space="0"/>
            </w:tcBorders>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日用玻璃制品</w:t>
            </w:r>
          </w:p>
        </w:tc>
        <w:tc>
          <w:tcPr>
            <w:tcW w:w="1540" w:type="dxa"/>
            <w:tcBorders>
              <w:top w:val="nil"/>
              <w:left w:val="single" w:color="auto" w:sz="4" w:space="0"/>
              <w:bottom w:val="single" w:color="auto" w:sz="4" w:space="0"/>
              <w:right w:val="single" w:color="auto" w:sz="4" w:space="0"/>
            </w:tcBorders>
            <w:vAlign w:val="center"/>
          </w:tcPr>
          <w:p>
            <w:pPr>
              <w:rPr>
                <w:rFonts w:ascii="方正仿宋_GBK" w:hAnsi="方正仿宋_GBK" w:eastAsia="方正仿宋_GBK" w:cs="方正仿宋_GBK"/>
                <w:sz w:val="24"/>
              </w:rPr>
            </w:pPr>
            <w:r>
              <w:rPr>
                <w:rFonts w:hint="eastAsia" w:ascii="方正仿宋_GBK" w:hAnsi="方正仿宋_GBK" w:eastAsia="方正仿宋_GBK" w:cs="方正仿宋_GBK"/>
                <w:sz w:val="24"/>
              </w:rPr>
              <w:t>吨</w:t>
            </w:r>
          </w:p>
        </w:tc>
        <w:tc>
          <w:tcPr>
            <w:tcW w:w="1639" w:type="dxa"/>
            <w:tcBorders>
              <w:top w:val="nil"/>
              <w:left w:val="single" w:color="auto" w:sz="4" w:space="0"/>
              <w:bottom w:val="single" w:color="auto" w:sz="4" w:space="0"/>
              <w:right w:val="nil"/>
            </w:tcBorders>
            <w:vAlign w:val="center"/>
          </w:tcPr>
          <w:p>
            <w:pPr>
              <w:jc w:val="right"/>
              <w:rPr>
                <w:color w:val="000000"/>
                <w:sz w:val="22"/>
                <w:szCs w:val="22"/>
              </w:rPr>
            </w:pPr>
            <w:r>
              <w:rPr>
                <w:rFonts w:hint="eastAsia"/>
                <w:color w:val="000000"/>
                <w:sz w:val="22"/>
                <w:szCs w:val="22"/>
              </w:rPr>
              <w:t xml:space="preserve">42572 </w:t>
            </w:r>
          </w:p>
        </w:tc>
        <w:tc>
          <w:tcPr>
            <w:tcW w:w="1670" w:type="dxa"/>
            <w:tcBorders>
              <w:top w:val="nil"/>
              <w:left w:val="nil"/>
              <w:bottom w:val="single" w:color="auto" w:sz="4" w:space="0"/>
              <w:right w:val="nil"/>
            </w:tcBorders>
            <w:vAlign w:val="center"/>
          </w:tcPr>
          <w:p>
            <w:pPr>
              <w:jc w:val="right"/>
              <w:rPr>
                <w:color w:val="000000"/>
                <w:sz w:val="22"/>
                <w:szCs w:val="22"/>
              </w:rPr>
            </w:pPr>
            <w:r>
              <w:rPr>
                <w:rFonts w:hint="eastAsia"/>
                <w:color w:val="000000"/>
                <w:sz w:val="22"/>
                <w:szCs w:val="22"/>
              </w:rPr>
              <w:t xml:space="preserve">-8.4 </w:t>
            </w:r>
          </w:p>
        </w:tc>
      </w:tr>
    </w:tbl>
    <w:p>
      <w:pPr>
        <w:ind w:firstLine="640" w:firstLineChars="200"/>
        <w:rPr>
          <w:rFonts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全区建筑业实现增加值620012万元，比上年增长6.6%。年末在荣昌注册具有资质等级的总承包和专业承包的独立核算建筑业法人企业47家，实现建筑业总产值达到145.39亿元，增长11.0%。全年建筑企业房屋施工面积557.3万平方米，比上年下降1.7%；房屋建筑竣工面积264.4万平方米，比上年下降26.8% 。</w:t>
      </w:r>
    </w:p>
    <w:p>
      <w:pPr>
        <w:rPr>
          <w:rFonts w:ascii="方正仿宋_GBK" w:hAnsi="方正仿宋_GBK" w:eastAsia="方正仿宋_GBK" w:cs="方正仿宋_GBK"/>
          <w:color w:val="FF0000"/>
          <w:kern w:val="0"/>
          <w:sz w:val="32"/>
          <w:szCs w:val="32"/>
        </w:rPr>
      </w:pPr>
      <w:r>
        <w:drawing>
          <wp:inline distT="0" distB="0" distL="0" distR="0">
            <wp:extent cx="5229225" cy="3343275"/>
            <wp:effectExtent l="57150" t="57150" r="47625" b="47625"/>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rPr>
          <w:rFonts w:ascii="方正仿宋_GBK" w:hAnsi="方正仿宋_GBK" w:eastAsia="方正仿宋_GBK" w:cs="方正仿宋_GBK"/>
          <w:kern w:val="0"/>
          <w:sz w:val="28"/>
        </w:rPr>
      </w:pPr>
    </w:p>
    <w:p>
      <w:pPr>
        <w:ind w:firstLine="643" w:firstLineChars="200"/>
        <w:rPr>
          <w:rFonts w:ascii="方正黑体_GBK" w:hAnsi="方正黑体_GBK" w:eastAsia="方正黑体_GBK" w:cs="方正黑体_GBK"/>
          <w:b/>
          <w:kern w:val="0"/>
          <w:sz w:val="32"/>
          <w:szCs w:val="32"/>
        </w:rPr>
      </w:pPr>
      <w:r>
        <w:rPr>
          <w:rFonts w:hint="eastAsia" w:ascii="方正黑体_GBK" w:hAnsi="方正黑体_GBK" w:eastAsia="方正黑体_GBK" w:cs="方正黑体_GBK"/>
          <w:b/>
          <w:kern w:val="0"/>
          <w:sz w:val="32"/>
          <w:szCs w:val="32"/>
        </w:rPr>
        <w:t>四、固定资产投资</w:t>
      </w:r>
    </w:p>
    <w:p>
      <w:pPr>
        <w:widowControl/>
        <w:shd w:val="clear" w:color="auto" w:fill="FFFFFF"/>
        <w:spacing w:line="360" w:lineRule="auto"/>
        <w:ind w:firstLine="640" w:firstLineChars="200"/>
        <w:rPr>
          <w:rFonts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固定资产投资平稳增长。全年固定资产投资比上年增长10.7％。其中基础设施建设投资增长39.7%。从投资主体看，国有投资下降19.4%；民间投资增长26.5%。从三次产业投资看，第一产业投资下降41.7%；第二产业投资增长20.6%；第三产业投资增长1.0%。全年工业投资增长20.6%。房地产开发投资增长4.6%，其中住宅投资增长22.1%。</w:t>
      </w:r>
    </w:p>
    <w:p>
      <w:pPr>
        <w:widowControl/>
        <w:shd w:val="clear" w:color="auto" w:fill="FFFFFF"/>
        <w:spacing w:line="360" w:lineRule="auto"/>
        <w:rPr>
          <w:rFonts w:ascii="方正仿宋_GBK" w:hAnsi="方正仿宋_GBK" w:eastAsia="方正仿宋_GBK" w:cs="方正仿宋_GBK"/>
          <w:kern w:val="0"/>
          <w:sz w:val="32"/>
          <w:szCs w:val="32"/>
        </w:rPr>
      </w:pPr>
      <w:r>
        <w:drawing>
          <wp:inline distT="0" distB="0" distL="0" distR="0">
            <wp:extent cx="5200650" cy="2628900"/>
            <wp:effectExtent l="0" t="0" r="0" b="0"/>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widowControl/>
        <w:shd w:val="clear" w:color="auto" w:fill="FFFFFF"/>
        <w:spacing w:line="360" w:lineRule="auto"/>
        <w:ind w:firstLine="560" w:firstLineChars="200"/>
        <w:rPr>
          <w:rFonts w:ascii="方正仿宋_GBK" w:hAnsi="方正仿宋_GBK" w:eastAsia="方正仿宋_GBK" w:cs="方正仿宋_GBK"/>
          <w:kern w:val="0"/>
          <w:sz w:val="28"/>
        </w:rPr>
      </w:pPr>
    </w:p>
    <w:p>
      <w:pPr>
        <w:widowControl/>
        <w:shd w:val="clear" w:color="auto" w:fill="FFFFFF"/>
        <w:spacing w:line="360" w:lineRule="auto"/>
        <w:ind w:firstLine="562" w:firstLineChars="200"/>
        <w:jc w:val="center"/>
        <w:rPr>
          <w:rFonts w:ascii="方正仿宋_GBK" w:hAnsi="方正仿宋_GBK" w:eastAsia="方正仿宋_GBK" w:cs="方正仿宋_GBK"/>
          <w:b/>
          <w:bCs/>
          <w:kern w:val="0"/>
          <w:sz w:val="28"/>
          <w:szCs w:val="28"/>
        </w:rPr>
      </w:pPr>
      <w:r>
        <w:rPr>
          <w:rFonts w:hint="eastAsia" w:ascii="方正仿宋_GBK" w:hAnsi="方正仿宋_GBK" w:eastAsia="方正仿宋_GBK" w:cs="方正仿宋_GBK"/>
          <w:b/>
          <w:bCs/>
          <w:kern w:val="0"/>
          <w:sz w:val="28"/>
          <w:szCs w:val="28"/>
        </w:rPr>
        <w:t>表4　2018年固定资产投资增长速度</w:t>
      </w:r>
    </w:p>
    <w:tbl>
      <w:tblPr>
        <w:tblStyle w:val="6"/>
        <w:tblW w:w="7800" w:type="dxa"/>
        <w:jc w:val="center"/>
        <w:tblInd w:w="0" w:type="dxa"/>
        <w:tblLayout w:type="fixed"/>
        <w:tblCellMar>
          <w:top w:w="0" w:type="dxa"/>
          <w:left w:w="108" w:type="dxa"/>
          <w:bottom w:w="0" w:type="dxa"/>
          <w:right w:w="108" w:type="dxa"/>
        </w:tblCellMar>
      </w:tblPr>
      <w:tblGrid>
        <w:gridCol w:w="4688"/>
        <w:gridCol w:w="3112"/>
      </w:tblGrid>
      <w:tr>
        <w:tblPrEx>
          <w:tblLayout w:type="fixed"/>
          <w:tblCellMar>
            <w:top w:w="0" w:type="dxa"/>
            <w:left w:w="108" w:type="dxa"/>
            <w:bottom w:w="0" w:type="dxa"/>
            <w:right w:w="108" w:type="dxa"/>
          </w:tblCellMar>
        </w:tblPrEx>
        <w:trPr>
          <w:trHeight w:val="1382" w:hRule="atLeast"/>
          <w:jc w:val="center"/>
        </w:trPr>
        <w:tc>
          <w:tcPr>
            <w:tcW w:w="4688" w:type="dxa"/>
            <w:tcBorders>
              <w:top w:val="single" w:color="auto" w:sz="4" w:space="0"/>
              <w:bottom w:val="single" w:color="auto" w:sz="4" w:space="0"/>
              <w:right w:val="single" w:color="auto" w:sz="4" w:space="0"/>
            </w:tcBorders>
            <w:vAlign w:val="center"/>
          </w:tcPr>
          <w:p>
            <w:pPr>
              <w:widowControl/>
              <w:shd w:val="clear" w:color="auto" w:fill="FFFFFF"/>
              <w:spacing w:line="360" w:lineRule="auto"/>
              <w:ind w:firstLine="480" w:firstLineChars="200"/>
              <w:jc w:val="center"/>
              <w:rPr>
                <w:rFonts w:ascii="方正仿宋_GBK" w:hAnsi="方正仿宋_GBK" w:eastAsia="方正仿宋_GBK" w:cs="方正仿宋_GBK"/>
                <w:bCs/>
                <w:kern w:val="0"/>
                <w:sz w:val="24"/>
              </w:rPr>
            </w:pPr>
            <w:r>
              <w:rPr>
                <w:rFonts w:hint="eastAsia" w:ascii="方正仿宋_GBK" w:hAnsi="方正仿宋_GBK" w:eastAsia="方正仿宋_GBK" w:cs="方正仿宋_GBK"/>
                <w:bCs/>
                <w:kern w:val="0"/>
                <w:sz w:val="24"/>
              </w:rPr>
              <w:t>指标名称</w:t>
            </w:r>
          </w:p>
        </w:tc>
        <w:tc>
          <w:tcPr>
            <w:tcW w:w="3112" w:type="dxa"/>
            <w:tcBorders>
              <w:top w:val="single" w:color="auto" w:sz="4" w:space="0"/>
              <w:left w:val="single" w:color="auto" w:sz="4" w:space="0"/>
              <w:bottom w:val="single" w:color="auto" w:sz="4" w:space="0"/>
            </w:tcBorders>
            <w:vAlign w:val="center"/>
          </w:tcPr>
          <w:p>
            <w:pPr>
              <w:widowControl/>
              <w:shd w:val="clear" w:color="auto" w:fill="FFFFFF"/>
              <w:spacing w:line="360" w:lineRule="auto"/>
              <w:ind w:left="480" w:hanging="480" w:hangingChars="200"/>
              <w:rPr>
                <w:rFonts w:ascii="方正仿宋_GBK" w:hAnsi="方正仿宋_GBK" w:eastAsia="方正仿宋_GBK" w:cs="方正仿宋_GBK"/>
                <w:bCs/>
                <w:kern w:val="0"/>
                <w:sz w:val="24"/>
              </w:rPr>
            </w:pPr>
            <w:r>
              <w:rPr>
                <w:rFonts w:hint="eastAsia" w:ascii="方正仿宋_GBK" w:hAnsi="方正仿宋_GBK" w:eastAsia="方正仿宋_GBK" w:cs="方正仿宋_GBK"/>
                <w:bCs/>
                <w:kern w:val="0"/>
                <w:sz w:val="24"/>
              </w:rPr>
              <w:t>比上年增长(%)</w:t>
            </w:r>
          </w:p>
        </w:tc>
      </w:tr>
      <w:tr>
        <w:tblPrEx>
          <w:tblLayout w:type="fixed"/>
          <w:tblCellMar>
            <w:top w:w="0" w:type="dxa"/>
            <w:left w:w="108" w:type="dxa"/>
            <w:bottom w:w="0" w:type="dxa"/>
            <w:right w:w="108" w:type="dxa"/>
          </w:tblCellMar>
        </w:tblPrEx>
        <w:trPr>
          <w:trHeight w:val="828" w:hRule="exact"/>
          <w:jc w:val="center"/>
        </w:trPr>
        <w:tc>
          <w:tcPr>
            <w:tcW w:w="4688" w:type="dxa"/>
            <w:tcBorders>
              <w:top w:val="single" w:color="auto" w:sz="4" w:space="0"/>
              <w:right w:val="single" w:color="auto" w:sz="4" w:space="0"/>
            </w:tcBorders>
            <w:vAlign w:val="center"/>
          </w:tcPr>
          <w:p>
            <w:pPr>
              <w:widowControl/>
              <w:jc w:val="left"/>
              <w:textAlignment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投资总额（万元）</w:t>
            </w:r>
          </w:p>
        </w:tc>
        <w:tc>
          <w:tcPr>
            <w:tcW w:w="3112" w:type="dxa"/>
            <w:tcBorders>
              <w:top w:val="nil"/>
              <w:left w:val="nil"/>
              <w:bottom w:val="nil"/>
              <w:right w:val="nil"/>
            </w:tcBorders>
            <w:vAlign w:val="center"/>
          </w:tcPr>
          <w:p>
            <w:pPr>
              <w:widowControl/>
              <w:jc w:val="right"/>
              <w:rPr>
                <w:b/>
                <w:bCs/>
                <w:kern w:val="0"/>
                <w:sz w:val="24"/>
              </w:rPr>
            </w:pPr>
            <w:r>
              <w:rPr>
                <w:rFonts w:hint="eastAsia"/>
                <w:b/>
                <w:bCs/>
              </w:rPr>
              <w:t xml:space="preserve">10.7 </w:t>
            </w:r>
          </w:p>
        </w:tc>
      </w:tr>
      <w:tr>
        <w:tblPrEx>
          <w:tblLayout w:type="fixed"/>
          <w:tblCellMar>
            <w:top w:w="0" w:type="dxa"/>
            <w:left w:w="108" w:type="dxa"/>
            <w:bottom w:w="0" w:type="dxa"/>
            <w:right w:w="108" w:type="dxa"/>
          </w:tblCellMar>
        </w:tblPrEx>
        <w:trPr>
          <w:trHeight w:val="828" w:hRule="exact"/>
          <w:jc w:val="center"/>
        </w:trPr>
        <w:tc>
          <w:tcPr>
            <w:tcW w:w="4688" w:type="dxa"/>
            <w:tcBorders>
              <w:right w:val="single" w:color="auto" w:sz="4" w:space="0"/>
            </w:tcBorders>
            <w:vAlign w:val="center"/>
          </w:tcPr>
          <w:p>
            <w:pPr>
              <w:widowControl/>
              <w:jc w:val="left"/>
              <w:textAlignment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按投资类别分</w:t>
            </w:r>
          </w:p>
        </w:tc>
        <w:tc>
          <w:tcPr>
            <w:tcW w:w="3112" w:type="dxa"/>
            <w:tcBorders>
              <w:top w:val="nil"/>
              <w:left w:val="nil"/>
              <w:bottom w:val="nil"/>
              <w:right w:val="nil"/>
            </w:tcBorders>
            <w:vAlign w:val="center"/>
          </w:tcPr>
          <w:p>
            <w:pPr>
              <w:jc w:val="right"/>
              <w:rPr>
                <w:rFonts w:ascii="Arial" w:hAnsi="Arial" w:cs="Arial"/>
                <w:sz w:val="20"/>
                <w:szCs w:val="20"/>
              </w:rPr>
            </w:pPr>
            <w:r>
              <w:rPr>
                <w:rFonts w:ascii="Arial" w:hAnsi="Arial" w:cs="Arial"/>
                <w:sz w:val="20"/>
                <w:szCs w:val="20"/>
              </w:rPr>
              <w:t>　</w:t>
            </w:r>
          </w:p>
        </w:tc>
      </w:tr>
      <w:tr>
        <w:tblPrEx>
          <w:tblLayout w:type="fixed"/>
          <w:tblCellMar>
            <w:top w:w="0" w:type="dxa"/>
            <w:left w:w="108" w:type="dxa"/>
            <w:bottom w:w="0" w:type="dxa"/>
            <w:right w:w="108" w:type="dxa"/>
          </w:tblCellMar>
        </w:tblPrEx>
        <w:trPr>
          <w:trHeight w:val="828" w:hRule="exact"/>
          <w:jc w:val="center"/>
        </w:trPr>
        <w:tc>
          <w:tcPr>
            <w:tcW w:w="4688" w:type="dxa"/>
            <w:tcBorders>
              <w:right w:val="single" w:color="auto" w:sz="4" w:space="0"/>
            </w:tcBorders>
            <w:vAlign w:val="center"/>
          </w:tcPr>
          <w:p>
            <w:pPr>
              <w:widowControl/>
              <w:jc w:val="left"/>
              <w:textAlignment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 xml:space="preserve">  建设与改造</w:t>
            </w:r>
          </w:p>
        </w:tc>
        <w:tc>
          <w:tcPr>
            <w:tcW w:w="3112" w:type="dxa"/>
            <w:tcBorders>
              <w:top w:val="nil"/>
              <w:left w:val="nil"/>
              <w:bottom w:val="nil"/>
              <w:right w:val="nil"/>
            </w:tcBorders>
            <w:vAlign w:val="center"/>
          </w:tcPr>
          <w:p>
            <w:pPr>
              <w:jc w:val="right"/>
              <w:rPr>
                <w:rFonts w:ascii="Arial" w:hAnsi="Arial" w:cs="Arial"/>
                <w:sz w:val="20"/>
                <w:szCs w:val="20"/>
              </w:rPr>
            </w:pPr>
            <w:r>
              <w:rPr>
                <w:rFonts w:ascii="Arial" w:hAnsi="Arial" w:cs="Arial"/>
                <w:sz w:val="20"/>
                <w:szCs w:val="20"/>
              </w:rPr>
              <w:t>11.5</w:t>
            </w:r>
          </w:p>
        </w:tc>
      </w:tr>
      <w:tr>
        <w:tblPrEx>
          <w:tblLayout w:type="fixed"/>
          <w:tblCellMar>
            <w:top w:w="0" w:type="dxa"/>
            <w:left w:w="108" w:type="dxa"/>
            <w:bottom w:w="0" w:type="dxa"/>
            <w:right w:w="108" w:type="dxa"/>
          </w:tblCellMar>
        </w:tblPrEx>
        <w:trPr>
          <w:trHeight w:val="828" w:hRule="exact"/>
          <w:jc w:val="center"/>
        </w:trPr>
        <w:tc>
          <w:tcPr>
            <w:tcW w:w="4688" w:type="dxa"/>
            <w:tcBorders>
              <w:right w:val="single" w:color="auto" w:sz="4" w:space="0"/>
            </w:tcBorders>
            <w:vAlign w:val="center"/>
          </w:tcPr>
          <w:p>
            <w:pPr>
              <w:widowControl/>
              <w:jc w:val="left"/>
              <w:textAlignment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 xml:space="preserve">    ＃基础设施</w:t>
            </w:r>
          </w:p>
        </w:tc>
        <w:tc>
          <w:tcPr>
            <w:tcW w:w="3112" w:type="dxa"/>
            <w:tcBorders>
              <w:top w:val="nil"/>
              <w:left w:val="nil"/>
              <w:bottom w:val="nil"/>
              <w:right w:val="nil"/>
            </w:tcBorders>
            <w:vAlign w:val="center"/>
          </w:tcPr>
          <w:p>
            <w:pPr>
              <w:jc w:val="right"/>
              <w:rPr>
                <w:rFonts w:ascii="Arial" w:hAnsi="Arial" w:cs="Arial"/>
                <w:sz w:val="20"/>
                <w:szCs w:val="20"/>
              </w:rPr>
            </w:pPr>
            <w:r>
              <w:rPr>
                <w:rFonts w:ascii="Arial" w:hAnsi="Arial" w:cs="Arial"/>
                <w:sz w:val="20"/>
                <w:szCs w:val="20"/>
              </w:rPr>
              <w:t>39.7</w:t>
            </w:r>
          </w:p>
        </w:tc>
      </w:tr>
      <w:tr>
        <w:tblPrEx>
          <w:tblLayout w:type="fixed"/>
          <w:tblCellMar>
            <w:top w:w="0" w:type="dxa"/>
            <w:left w:w="108" w:type="dxa"/>
            <w:bottom w:w="0" w:type="dxa"/>
            <w:right w:w="108" w:type="dxa"/>
          </w:tblCellMar>
        </w:tblPrEx>
        <w:trPr>
          <w:trHeight w:val="828" w:hRule="exact"/>
          <w:jc w:val="center"/>
        </w:trPr>
        <w:tc>
          <w:tcPr>
            <w:tcW w:w="4688" w:type="dxa"/>
            <w:tcBorders>
              <w:right w:val="single" w:color="auto" w:sz="4" w:space="0"/>
            </w:tcBorders>
            <w:vAlign w:val="center"/>
          </w:tcPr>
          <w:p>
            <w:pPr>
              <w:widowControl/>
              <w:jc w:val="left"/>
              <w:textAlignment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 xml:space="preserve">  房地产开发</w:t>
            </w:r>
          </w:p>
        </w:tc>
        <w:tc>
          <w:tcPr>
            <w:tcW w:w="3112" w:type="dxa"/>
            <w:tcBorders>
              <w:top w:val="nil"/>
              <w:left w:val="nil"/>
              <w:bottom w:val="nil"/>
              <w:right w:val="nil"/>
            </w:tcBorders>
            <w:vAlign w:val="center"/>
          </w:tcPr>
          <w:p>
            <w:pPr>
              <w:jc w:val="right"/>
              <w:rPr>
                <w:rFonts w:ascii="Arial" w:hAnsi="Arial" w:cs="Arial"/>
                <w:sz w:val="20"/>
                <w:szCs w:val="20"/>
              </w:rPr>
            </w:pPr>
            <w:r>
              <w:rPr>
                <w:rFonts w:ascii="Arial" w:hAnsi="Arial" w:cs="Arial"/>
                <w:sz w:val="20"/>
                <w:szCs w:val="20"/>
              </w:rPr>
              <w:t>4.6</w:t>
            </w:r>
          </w:p>
        </w:tc>
      </w:tr>
      <w:tr>
        <w:tblPrEx>
          <w:tblLayout w:type="fixed"/>
          <w:tblCellMar>
            <w:top w:w="0" w:type="dxa"/>
            <w:left w:w="108" w:type="dxa"/>
            <w:bottom w:w="0" w:type="dxa"/>
            <w:right w:w="108" w:type="dxa"/>
          </w:tblCellMar>
        </w:tblPrEx>
        <w:trPr>
          <w:trHeight w:val="828" w:hRule="exact"/>
          <w:jc w:val="center"/>
        </w:trPr>
        <w:tc>
          <w:tcPr>
            <w:tcW w:w="4688" w:type="dxa"/>
            <w:tcBorders>
              <w:right w:val="single" w:color="auto" w:sz="4" w:space="0"/>
            </w:tcBorders>
            <w:vAlign w:val="center"/>
          </w:tcPr>
          <w:p>
            <w:pPr>
              <w:widowControl/>
              <w:jc w:val="left"/>
              <w:textAlignment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按登记注册类型分</w:t>
            </w:r>
          </w:p>
        </w:tc>
        <w:tc>
          <w:tcPr>
            <w:tcW w:w="3112" w:type="dxa"/>
            <w:tcBorders>
              <w:top w:val="nil"/>
              <w:left w:val="nil"/>
              <w:bottom w:val="nil"/>
              <w:right w:val="nil"/>
            </w:tcBorders>
            <w:vAlign w:val="center"/>
          </w:tcPr>
          <w:p>
            <w:pPr>
              <w:jc w:val="right"/>
              <w:rPr>
                <w:rFonts w:ascii="Arial" w:hAnsi="Arial" w:cs="Arial"/>
                <w:sz w:val="20"/>
                <w:szCs w:val="20"/>
              </w:rPr>
            </w:pPr>
            <w:r>
              <w:rPr>
                <w:rFonts w:ascii="Arial" w:hAnsi="Arial" w:cs="Arial"/>
                <w:sz w:val="20"/>
                <w:szCs w:val="20"/>
              </w:rPr>
              <w:t>　</w:t>
            </w:r>
          </w:p>
        </w:tc>
      </w:tr>
      <w:tr>
        <w:tblPrEx>
          <w:tblLayout w:type="fixed"/>
          <w:tblCellMar>
            <w:top w:w="0" w:type="dxa"/>
            <w:left w:w="108" w:type="dxa"/>
            <w:bottom w:w="0" w:type="dxa"/>
            <w:right w:w="108" w:type="dxa"/>
          </w:tblCellMar>
        </w:tblPrEx>
        <w:trPr>
          <w:trHeight w:val="828" w:hRule="exact"/>
          <w:jc w:val="center"/>
        </w:trPr>
        <w:tc>
          <w:tcPr>
            <w:tcW w:w="4688" w:type="dxa"/>
            <w:tcBorders>
              <w:right w:val="single" w:color="auto" w:sz="4" w:space="0"/>
            </w:tcBorders>
            <w:vAlign w:val="center"/>
          </w:tcPr>
          <w:p>
            <w:pPr>
              <w:widowControl/>
              <w:jc w:val="left"/>
              <w:textAlignment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 xml:space="preserve">  国有投资</w:t>
            </w:r>
          </w:p>
        </w:tc>
        <w:tc>
          <w:tcPr>
            <w:tcW w:w="3112" w:type="dxa"/>
            <w:tcBorders>
              <w:top w:val="nil"/>
              <w:left w:val="nil"/>
              <w:bottom w:val="nil"/>
              <w:right w:val="nil"/>
            </w:tcBorders>
            <w:vAlign w:val="center"/>
          </w:tcPr>
          <w:p>
            <w:pPr>
              <w:jc w:val="right"/>
              <w:rPr>
                <w:rFonts w:ascii="Arial" w:hAnsi="Arial" w:cs="Arial"/>
                <w:sz w:val="20"/>
                <w:szCs w:val="20"/>
              </w:rPr>
            </w:pPr>
            <w:r>
              <w:rPr>
                <w:rFonts w:ascii="Arial" w:hAnsi="Arial" w:cs="Arial"/>
                <w:sz w:val="20"/>
                <w:szCs w:val="20"/>
              </w:rPr>
              <w:t>-19.4</w:t>
            </w:r>
          </w:p>
        </w:tc>
      </w:tr>
      <w:tr>
        <w:tblPrEx>
          <w:tblLayout w:type="fixed"/>
          <w:tblCellMar>
            <w:top w:w="0" w:type="dxa"/>
            <w:left w:w="108" w:type="dxa"/>
            <w:bottom w:w="0" w:type="dxa"/>
            <w:right w:w="108" w:type="dxa"/>
          </w:tblCellMar>
        </w:tblPrEx>
        <w:trPr>
          <w:trHeight w:val="828" w:hRule="exact"/>
          <w:jc w:val="center"/>
        </w:trPr>
        <w:tc>
          <w:tcPr>
            <w:tcW w:w="4688" w:type="dxa"/>
            <w:tcBorders>
              <w:right w:val="single" w:color="auto" w:sz="4" w:space="0"/>
            </w:tcBorders>
            <w:vAlign w:val="center"/>
          </w:tcPr>
          <w:p>
            <w:pPr>
              <w:widowControl/>
              <w:jc w:val="left"/>
              <w:textAlignment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 xml:space="preserve">  民间投资</w:t>
            </w:r>
          </w:p>
        </w:tc>
        <w:tc>
          <w:tcPr>
            <w:tcW w:w="3112" w:type="dxa"/>
            <w:tcBorders>
              <w:top w:val="nil"/>
              <w:left w:val="nil"/>
              <w:bottom w:val="nil"/>
              <w:right w:val="nil"/>
            </w:tcBorders>
            <w:vAlign w:val="center"/>
          </w:tcPr>
          <w:p>
            <w:pPr>
              <w:jc w:val="right"/>
              <w:rPr>
                <w:rFonts w:ascii="Arial" w:hAnsi="Arial" w:cs="Arial"/>
                <w:sz w:val="20"/>
                <w:szCs w:val="20"/>
              </w:rPr>
            </w:pPr>
            <w:r>
              <w:rPr>
                <w:rFonts w:ascii="Arial" w:hAnsi="Arial" w:cs="Arial"/>
                <w:sz w:val="20"/>
                <w:szCs w:val="20"/>
              </w:rPr>
              <w:t>26.5</w:t>
            </w:r>
          </w:p>
        </w:tc>
      </w:tr>
      <w:tr>
        <w:tblPrEx>
          <w:tblLayout w:type="fixed"/>
          <w:tblCellMar>
            <w:top w:w="0" w:type="dxa"/>
            <w:left w:w="108" w:type="dxa"/>
            <w:bottom w:w="0" w:type="dxa"/>
            <w:right w:w="108" w:type="dxa"/>
          </w:tblCellMar>
        </w:tblPrEx>
        <w:trPr>
          <w:trHeight w:val="828" w:hRule="exact"/>
          <w:jc w:val="center"/>
        </w:trPr>
        <w:tc>
          <w:tcPr>
            <w:tcW w:w="4688" w:type="dxa"/>
            <w:tcBorders>
              <w:right w:val="single" w:color="auto" w:sz="4" w:space="0"/>
            </w:tcBorders>
            <w:vAlign w:val="center"/>
          </w:tcPr>
          <w:p>
            <w:pPr>
              <w:widowControl/>
              <w:jc w:val="left"/>
              <w:textAlignment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按三次产业分</w:t>
            </w:r>
          </w:p>
        </w:tc>
        <w:tc>
          <w:tcPr>
            <w:tcW w:w="3112" w:type="dxa"/>
            <w:tcBorders>
              <w:top w:val="nil"/>
              <w:left w:val="nil"/>
              <w:bottom w:val="nil"/>
              <w:right w:val="nil"/>
            </w:tcBorders>
            <w:vAlign w:val="center"/>
          </w:tcPr>
          <w:p>
            <w:pPr>
              <w:jc w:val="right"/>
              <w:rPr>
                <w:rFonts w:ascii="Arial" w:hAnsi="Arial" w:cs="Arial"/>
                <w:sz w:val="20"/>
                <w:szCs w:val="20"/>
              </w:rPr>
            </w:pPr>
            <w:r>
              <w:rPr>
                <w:rFonts w:ascii="Arial" w:hAnsi="Arial" w:cs="Arial"/>
                <w:sz w:val="20"/>
                <w:szCs w:val="20"/>
              </w:rPr>
              <w:t>　</w:t>
            </w:r>
          </w:p>
        </w:tc>
      </w:tr>
      <w:tr>
        <w:tblPrEx>
          <w:tblLayout w:type="fixed"/>
          <w:tblCellMar>
            <w:top w:w="0" w:type="dxa"/>
            <w:left w:w="108" w:type="dxa"/>
            <w:bottom w:w="0" w:type="dxa"/>
            <w:right w:w="108" w:type="dxa"/>
          </w:tblCellMar>
        </w:tblPrEx>
        <w:trPr>
          <w:trHeight w:val="828" w:hRule="exact"/>
          <w:jc w:val="center"/>
        </w:trPr>
        <w:tc>
          <w:tcPr>
            <w:tcW w:w="4688" w:type="dxa"/>
            <w:tcBorders>
              <w:right w:val="single" w:color="auto" w:sz="4" w:space="0"/>
            </w:tcBorders>
            <w:vAlign w:val="center"/>
          </w:tcPr>
          <w:p>
            <w:pPr>
              <w:widowControl/>
              <w:jc w:val="left"/>
              <w:textAlignment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 xml:space="preserve">  第一产业</w:t>
            </w:r>
          </w:p>
        </w:tc>
        <w:tc>
          <w:tcPr>
            <w:tcW w:w="3112" w:type="dxa"/>
            <w:tcBorders>
              <w:top w:val="nil"/>
              <w:left w:val="nil"/>
              <w:bottom w:val="nil"/>
              <w:right w:val="nil"/>
            </w:tcBorders>
            <w:vAlign w:val="center"/>
          </w:tcPr>
          <w:p>
            <w:pPr>
              <w:jc w:val="right"/>
              <w:rPr>
                <w:rFonts w:ascii="Arial" w:hAnsi="Arial" w:cs="Arial"/>
                <w:sz w:val="20"/>
                <w:szCs w:val="20"/>
              </w:rPr>
            </w:pPr>
            <w:r>
              <w:rPr>
                <w:rFonts w:ascii="Arial" w:hAnsi="Arial" w:cs="Arial"/>
                <w:sz w:val="20"/>
                <w:szCs w:val="20"/>
              </w:rPr>
              <w:t>-41.7</w:t>
            </w:r>
          </w:p>
        </w:tc>
      </w:tr>
      <w:tr>
        <w:tblPrEx>
          <w:tblLayout w:type="fixed"/>
          <w:tblCellMar>
            <w:top w:w="0" w:type="dxa"/>
            <w:left w:w="108" w:type="dxa"/>
            <w:bottom w:w="0" w:type="dxa"/>
            <w:right w:w="108" w:type="dxa"/>
          </w:tblCellMar>
        </w:tblPrEx>
        <w:trPr>
          <w:trHeight w:val="828" w:hRule="exact"/>
          <w:jc w:val="center"/>
        </w:trPr>
        <w:tc>
          <w:tcPr>
            <w:tcW w:w="4688" w:type="dxa"/>
            <w:tcBorders>
              <w:right w:val="single" w:color="auto" w:sz="4" w:space="0"/>
            </w:tcBorders>
            <w:vAlign w:val="center"/>
          </w:tcPr>
          <w:p>
            <w:pPr>
              <w:widowControl/>
              <w:jc w:val="left"/>
              <w:textAlignment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 xml:space="preserve">  第二产业</w:t>
            </w:r>
          </w:p>
        </w:tc>
        <w:tc>
          <w:tcPr>
            <w:tcW w:w="3112" w:type="dxa"/>
            <w:tcBorders>
              <w:top w:val="nil"/>
              <w:left w:val="nil"/>
              <w:bottom w:val="nil"/>
              <w:right w:val="nil"/>
            </w:tcBorders>
            <w:vAlign w:val="center"/>
          </w:tcPr>
          <w:p>
            <w:pPr>
              <w:jc w:val="right"/>
              <w:rPr>
                <w:rFonts w:ascii="Arial" w:hAnsi="Arial" w:cs="Arial"/>
                <w:sz w:val="20"/>
                <w:szCs w:val="20"/>
              </w:rPr>
            </w:pPr>
            <w:r>
              <w:rPr>
                <w:rFonts w:ascii="Arial" w:hAnsi="Arial" w:cs="Arial"/>
                <w:sz w:val="20"/>
                <w:szCs w:val="20"/>
              </w:rPr>
              <w:t>20.6</w:t>
            </w:r>
          </w:p>
        </w:tc>
      </w:tr>
      <w:tr>
        <w:tblPrEx>
          <w:tblLayout w:type="fixed"/>
          <w:tblCellMar>
            <w:top w:w="0" w:type="dxa"/>
            <w:left w:w="108" w:type="dxa"/>
            <w:bottom w:w="0" w:type="dxa"/>
            <w:right w:w="108" w:type="dxa"/>
          </w:tblCellMar>
        </w:tblPrEx>
        <w:trPr>
          <w:trHeight w:val="828" w:hRule="exact"/>
          <w:jc w:val="center"/>
        </w:trPr>
        <w:tc>
          <w:tcPr>
            <w:tcW w:w="4688" w:type="dxa"/>
            <w:tcBorders>
              <w:right w:val="single" w:color="auto" w:sz="4" w:space="0"/>
            </w:tcBorders>
            <w:vAlign w:val="center"/>
          </w:tcPr>
          <w:p>
            <w:pPr>
              <w:widowControl/>
              <w:jc w:val="left"/>
              <w:textAlignment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 xml:space="preserve">  ＃工业投资</w:t>
            </w:r>
          </w:p>
        </w:tc>
        <w:tc>
          <w:tcPr>
            <w:tcW w:w="3112" w:type="dxa"/>
            <w:tcBorders>
              <w:top w:val="nil"/>
              <w:left w:val="nil"/>
              <w:bottom w:val="nil"/>
              <w:right w:val="nil"/>
            </w:tcBorders>
            <w:vAlign w:val="center"/>
          </w:tcPr>
          <w:p>
            <w:pPr>
              <w:jc w:val="right"/>
              <w:rPr>
                <w:rFonts w:ascii="Arial" w:hAnsi="Arial" w:cs="Arial"/>
                <w:sz w:val="20"/>
                <w:szCs w:val="20"/>
              </w:rPr>
            </w:pPr>
            <w:r>
              <w:rPr>
                <w:rFonts w:ascii="Arial" w:hAnsi="Arial" w:cs="Arial"/>
                <w:sz w:val="20"/>
                <w:szCs w:val="20"/>
              </w:rPr>
              <w:t>20.6</w:t>
            </w:r>
          </w:p>
        </w:tc>
      </w:tr>
      <w:tr>
        <w:tblPrEx>
          <w:tblLayout w:type="fixed"/>
          <w:tblCellMar>
            <w:top w:w="0" w:type="dxa"/>
            <w:left w:w="108" w:type="dxa"/>
            <w:bottom w:w="0" w:type="dxa"/>
            <w:right w:w="108" w:type="dxa"/>
          </w:tblCellMar>
        </w:tblPrEx>
        <w:trPr>
          <w:trHeight w:val="828" w:hRule="exact"/>
          <w:jc w:val="center"/>
        </w:trPr>
        <w:tc>
          <w:tcPr>
            <w:tcW w:w="4688" w:type="dxa"/>
            <w:tcBorders>
              <w:right w:val="single" w:color="auto" w:sz="4" w:space="0"/>
            </w:tcBorders>
            <w:vAlign w:val="center"/>
          </w:tcPr>
          <w:p>
            <w:pPr>
              <w:widowControl/>
              <w:jc w:val="left"/>
              <w:textAlignment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 xml:space="preserve">  第三产业</w:t>
            </w:r>
          </w:p>
        </w:tc>
        <w:tc>
          <w:tcPr>
            <w:tcW w:w="3112" w:type="dxa"/>
            <w:tcBorders>
              <w:top w:val="nil"/>
              <w:left w:val="nil"/>
              <w:right w:val="nil"/>
            </w:tcBorders>
            <w:vAlign w:val="center"/>
          </w:tcPr>
          <w:p>
            <w:pPr>
              <w:jc w:val="right"/>
              <w:rPr>
                <w:rFonts w:ascii="Arial" w:hAnsi="Arial" w:cs="Arial"/>
                <w:sz w:val="20"/>
                <w:szCs w:val="20"/>
              </w:rPr>
            </w:pPr>
            <w:r>
              <w:rPr>
                <w:rFonts w:ascii="Arial" w:hAnsi="Arial" w:cs="Arial"/>
                <w:sz w:val="20"/>
                <w:szCs w:val="20"/>
              </w:rPr>
              <w:t>1.0</w:t>
            </w:r>
          </w:p>
        </w:tc>
      </w:tr>
      <w:tr>
        <w:tblPrEx>
          <w:tblLayout w:type="fixed"/>
          <w:tblCellMar>
            <w:top w:w="0" w:type="dxa"/>
            <w:left w:w="108" w:type="dxa"/>
            <w:bottom w:w="0" w:type="dxa"/>
            <w:right w:w="108" w:type="dxa"/>
          </w:tblCellMar>
        </w:tblPrEx>
        <w:trPr>
          <w:trHeight w:val="842" w:hRule="exact"/>
          <w:jc w:val="center"/>
        </w:trPr>
        <w:tc>
          <w:tcPr>
            <w:tcW w:w="4688" w:type="dxa"/>
            <w:tcBorders>
              <w:bottom w:val="single" w:color="auto" w:sz="4" w:space="0"/>
              <w:right w:val="single" w:color="auto" w:sz="4" w:space="0"/>
            </w:tcBorders>
            <w:vAlign w:val="center"/>
          </w:tcPr>
          <w:p>
            <w:pPr>
              <w:widowControl/>
              <w:jc w:val="left"/>
              <w:textAlignment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 xml:space="preserve">  ＃房地产业</w:t>
            </w:r>
          </w:p>
        </w:tc>
        <w:tc>
          <w:tcPr>
            <w:tcW w:w="3112" w:type="dxa"/>
            <w:tcBorders>
              <w:top w:val="nil"/>
              <w:left w:val="nil"/>
              <w:bottom w:val="single" w:color="auto" w:sz="4" w:space="0"/>
              <w:right w:val="nil"/>
            </w:tcBorders>
            <w:vAlign w:val="center"/>
          </w:tcPr>
          <w:p>
            <w:pPr>
              <w:jc w:val="right"/>
              <w:rPr>
                <w:rFonts w:ascii="Arial" w:hAnsi="Arial" w:cs="Arial"/>
                <w:sz w:val="20"/>
                <w:szCs w:val="20"/>
              </w:rPr>
            </w:pPr>
            <w:r>
              <w:rPr>
                <w:rFonts w:ascii="Arial" w:hAnsi="Arial" w:cs="Arial"/>
                <w:sz w:val="20"/>
                <w:szCs w:val="20"/>
              </w:rPr>
              <w:t>-27.8</w:t>
            </w:r>
          </w:p>
        </w:tc>
      </w:tr>
    </w:tbl>
    <w:p>
      <w:pPr>
        <w:widowControl/>
        <w:shd w:val="clear" w:color="auto" w:fill="FFFFFF"/>
        <w:spacing w:line="360" w:lineRule="auto"/>
        <w:ind w:firstLine="640" w:firstLineChars="200"/>
        <w:rPr>
          <w:rFonts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全年商品房施工面积296.79万平方米，比上年下降18.0%；商品房竣工面积76.56万平方米，下降13.5 %。商品房销售面积</w:t>
      </w:r>
      <w:r>
        <w:rPr>
          <w:rFonts w:ascii="方正仿宋_GBK" w:hAnsi="方正仿宋_GBK" w:eastAsia="方正仿宋_GBK" w:cs="方正仿宋_GBK"/>
          <w:kern w:val="0"/>
          <w:sz w:val="32"/>
          <w:szCs w:val="32"/>
        </w:rPr>
        <w:t>103.43</w:t>
      </w:r>
      <w:r>
        <w:rPr>
          <w:rFonts w:hint="eastAsia" w:ascii="方正仿宋_GBK" w:hAnsi="方正仿宋_GBK" w:eastAsia="方正仿宋_GBK" w:cs="方正仿宋_GBK"/>
          <w:kern w:val="0"/>
          <w:sz w:val="32"/>
          <w:szCs w:val="32"/>
        </w:rPr>
        <w:t>万平方米，下降5.5 %；其中住宅销售面积</w:t>
      </w:r>
      <w:r>
        <w:rPr>
          <w:rFonts w:ascii="方正仿宋_GBK" w:hAnsi="方正仿宋_GBK" w:eastAsia="方正仿宋_GBK" w:cs="方正仿宋_GBK"/>
          <w:kern w:val="0"/>
          <w:sz w:val="32"/>
          <w:szCs w:val="32"/>
        </w:rPr>
        <w:t>74.40</w:t>
      </w:r>
      <w:r>
        <w:rPr>
          <w:rFonts w:hint="eastAsia" w:ascii="方正仿宋_GBK" w:hAnsi="方正仿宋_GBK" w:eastAsia="方正仿宋_GBK" w:cs="方正仿宋_GBK"/>
          <w:kern w:val="0"/>
          <w:sz w:val="32"/>
          <w:szCs w:val="32"/>
        </w:rPr>
        <w:t>万平方米，下降24.2 %。商品房销售额49.2</w:t>
      </w:r>
      <w:r>
        <w:rPr>
          <w:rFonts w:ascii="方正仿宋_GBK" w:hAnsi="方正仿宋_GBK" w:eastAsia="方正仿宋_GBK" w:cs="方正仿宋_GBK"/>
          <w:kern w:val="0"/>
          <w:sz w:val="32"/>
          <w:szCs w:val="32"/>
        </w:rPr>
        <w:t>4</w:t>
      </w:r>
      <w:r>
        <w:rPr>
          <w:rFonts w:hint="eastAsia" w:ascii="方正仿宋_GBK" w:hAnsi="方正仿宋_GBK" w:eastAsia="方正仿宋_GBK" w:cs="方正仿宋_GBK"/>
          <w:kern w:val="0"/>
          <w:sz w:val="32"/>
          <w:szCs w:val="32"/>
        </w:rPr>
        <w:t>亿元，增长7.6%。</w:t>
      </w:r>
    </w:p>
    <w:p>
      <w:pPr>
        <w:widowControl/>
        <w:shd w:val="clear" w:color="auto" w:fill="FFFFFF"/>
        <w:spacing w:line="360" w:lineRule="auto"/>
        <w:ind w:firstLine="640" w:firstLineChars="200"/>
        <w:rPr>
          <w:rFonts w:ascii="方正仿宋_GBK" w:hAnsi="方正仿宋_GBK" w:eastAsia="方正仿宋_GBK" w:cs="方正仿宋_GBK"/>
          <w:color w:val="000000" w:themeColor="text1"/>
          <w:kern w:val="0"/>
          <w:sz w:val="32"/>
          <w:szCs w:val="32"/>
          <w14:textFill>
            <w14:solidFill>
              <w14:schemeClr w14:val="tx1"/>
            </w14:solidFill>
          </w14:textFill>
        </w:rPr>
      </w:pPr>
      <w:r>
        <w:rPr>
          <w:rFonts w:hint="eastAsia" w:ascii="方正仿宋_GBK" w:hAnsi="方正仿宋_GBK" w:eastAsia="方正仿宋_GBK" w:cs="方正仿宋_GBK"/>
          <w:color w:val="000000" w:themeColor="text1"/>
          <w:kern w:val="0"/>
          <w:sz w:val="32"/>
          <w:szCs w:val="32"/>
          <w14:textFill>
            <w14:solidFill>
              <w14:schemeClr w14:val="tx1"/>
            </w14:solidFill>
          </w14:textFill>
        </w:rPr>
        <w:t>完成城市棚户区改造</w:t>
      </w:r>
      <w:r>
        <w:rPr>
          <w:rFonts w:ascii="方正仿宋_GBK" w:hAnsi="方正仿宋_GBK" w:eastAsia="方正仿宋_GBK" w:cs="方正仿宋_GBK"/>
          <w:color w:val="000000" w:themeColor="text1"/>
          <w:kern w:val="0"/>
          <w:sz w:val="32"/>
          <w:szCs w:val="32"/>
          <w14:textFill>
            <w14:solidFill>
              <w14:schemeClr w14:val="tx1"/>
            </w14:solidFill>
          </w14:textFill>
        </w:rPr>
        <w:t>17.16</w:t>
      </w:r>
      <w:r>
        <w:rPr>
          <w:rFonts w:hint="eastAsia" w:ascii="方正仿宋_GBK" w:hAnsi="方正仿宋_GBK" w:eastAsia="方正仿宋_GBK" w:cs="方正仿宋_GBK"/>
          <w:color w:val="000000" w:themeColor="text1"/>
          <w:kern w:val="0"/>
          <w:sz w:val="32"/>
          <w:szCs w:val="32"/>
          <w14:textFill>
            <w14:solidFill>
              <w14:schemeClr w14:val="tx1"/>
            </w14:solidFill>
          </w14:textFill>
        </w:rPr>
        <w:t>万平方米。完成农村危旧房改造</w:t>
      </w:r>
      <w:r>
        <w:rPr>
          <w:rFonts w:ascii="方正仿宋_GBK" w:hAnsi="方正仿宋_GBK" w:eastAsia="方正仿宋_GBK" w:cs="方正仿宋_GBK"/>
          <w:color w:val="000000" w:themeColor="text1"/>
          <w:kern w:val="0"/>
          <w:sz w:val="32"/>
          <w:szCs w:val="32"/>
          <w14:textFill>
            <w14:solidFill>
              <w14:schemeClr w14:val="tx1"/>
            </w14:solidFill>
          </w14:textFill>
        </w:rPr>
        <w:t>8.43</w:t>
      </w:r>
      <w:r>
        <w:rPr>
          <w:rFonts w:hint="eastAsia" w:ascii="方正仿宋_GBK" w:hAnsi="方正仿宋_GBK" w:eastAsia="方正仿宋_GBK" w:cs="方正仿宋_GBK"/>
          <w:color w:val="000000" w:themeColor="text1"/>
          <w:kern w:val="0"/>
          <w:sz w:val="32"/>
          <w:szCs w:val="32"/>
          <w14:textFill>
            <w14:solidFill>
              <w14:schemeClr w14:val="tx1"/>
            </w14:solidFill>
          </w14:textFill>
        </w:rPr>
        <w:t>万平方米，下降</w:t>
      </w:r>
      <w:r>
        <w:rPr>
          <w:rFonts w:ascii="方正仿宋_GBK" w:hAnsi="方正仿宋_GBK" w:eastAsia="方正仿宋_GBK" w:cs="方正仿宋_GBK"/>
          <w:color w:val="000000" w:themeColor="text1"/>
          <w:kern w:val="0"/>
          <w:sz w:val="32"/>
          <w:szCs w:val="32"/>
          <w14:textFill>
            <w14:solidFill>
              <w14:schemeClr w14:val="tx1"/>
            </w14:solidFill>
          </w14:textFill>
        </w:rPr>
        <w:t>21.1</w:t>
      </w:r>
      <w:r>
        <w:rPr>
          <w:rFonts w:hint="eastAsia" w:ascii="方正仿宋_GBK" w:hAnsi="方正仿宋_GBK" w:eastAsia="方正仿宋_GBK" w:cs="方正仿宋_GBK"/>
          <w:color w:val="000000" w:themeColor="text1"/>
          <w:kern w:val="0"/>
          <w:sz w:val="32"/>
          <w:szCs w:val="32"/>
          <w14:textFill>
            <w14:solidFill>
              <w14:schemeClr w14:val="tx1"/>
            </w14:solidFill>
          </w14:textFill>
        </w:rPr>
        <w:t>%。</w:t>
      </w:r>
    </w:p>
    <w:p>
      <w:pPr>
        <w:widowControl/>
        <w:shd w:val="clear" w:color="auto" w:fill="FFFFFF"/>
        <w:spacing w:line="360" w:lineRule="auto"/>
        <w:ind w:right="-210" w:rightChars="-100" w:firstLine="562" w:firstLineChars="200"/>
        <w:jc w:val="center"/>
        <w:rPr>
          <w:rFonts w:ascii="方正仿宋_GBK" w:hAnsi="方正仿宋_GBK" w:eastAsia="方正仿宋_GBK" w:cs="方正仿宋_GBK"/>
          <w:b/>
          <w:bCs/>
          <w:kern w:val="0"/>
          <w:sz w:val="28"/>
          <w:szCs w:val="28"/>
        </w:rPr>
      </w:pPr>
      <w:r>
        <w:rPr>
          <w:rFonts w:hint="eastAsia" w:ascii="方正仿宋_GBK" w:hAnsi="方正仿宋_GBK" w:eastAsia="方正仿宋_GBK" w:cs="方正仿宋_GBK"/>
          <w:b/>
          <w:bCs/>
          <w:kern w:val="0"/>
          <w:sz w:val="28"/>
          <w:szCs w:val="28"/>
        </w:rPr>
        <w:t>表5　2018年房地产开发和销售主要指标完成情况及其增长速度</w:t>
      </w:r>
    </w:p>
    <w:tbl>
      <w:tblPr>
        <w:tblStyle w:val="6"/>
        <w:tblW w:w="8325" w:type="dxa"/>
        <w:jc w:val="center"/>
        <w:tblInd w:w="0" w:type="dxa"/>
        <w:tblLayout w:type="fixed"/>
        <w:tblCellMar>
          <w:top w:w="0" w:type="dxa"/>
          <w:left w:w="108" w:type="dxa"/>
          <w:bottom w:w="0" w:type="dxa"/>
          <w:right w:w="108" w:type="dxa"/>
        </w:tblCellMar>
      </w:tblPr>
      <w:tblGrid>
        <w:gridCol w:w="4477"/>
        <w:gridCol w:w="1989"/>
        <w:gridCol w:w="1859"/>
      </w:tblGrid>
      <w:tr>
        <w:tblPrEx>
          <w:tblLayout w:type="fixed"/>
          <w:tblCellMar>
            <w:top w:w="0" w:type="dxa"/>
            <w:left w:w="108" w:type="dxa"/>
            <w:bottom w:w="0" w:type="dxa"/>
            <w:right w:w="108" w:type="dxa"/>
          </w:tblCellMar>
        </w:tblPrEx>
        <w:trPr>
          <w:trHeight w:val="911" w:hRule="atLeast"/>
          <w:jc w:val="center"/>
        </w:trPr>
        <w:tc>
          <w:tcPr>
            <w:tcW w:w="4477" w:type="dxa"/>
            <w:tcBorders>
              <w:top w:val="single" w:color="auto" w:sz="4" w:space="0"/>
              <w:bottom w:val="single" w:color="auto" w:sz="4" w:space="0"/>
              <w:right w:val="single" w:color="auto" w:sz="4" w:space="0"/>
            </w:tcBorders>
            <w:vAlign w:val="center"/>
          </w:tcPr>
          <w:p>
            <w:pPr>
              <w:widowControl/>
              <w:jc w:val="left"/>
              <w:textAlignment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指标名称</w:t>
            </w:r>
          </w:p>
        </w:tc>
        <w:tc>
          <w:tcPr>
            <w:tcW w:w="1989"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2018年</w:t>
            </w:r>
          </w:p>
        </w:tc>
        <w:tc>
          <w:tcPr>
            <w:tcW w:w="1859" w:type="dxa"/>
            <w:tcBorders>
              <w:top w:val="single" w:color="auto" w:sz="4" w:space="0"/>
              <w:left w:val="single" w:color="auto" w:sz="4" w:space="0"/>
              <w:bottom w:val="single" w:color="auto" w:sz="4" w:space="0"/>
            </w:tcBorders>
            <w:vAlign w:val="center"/>
          </w:tcPr>
          <w:p>
            <w:pPr>
              <w:widowControl/>
              <w:ind w:left="480"/>
              <w:jc w:val="left"/>
              <w:textAlignment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比上年增长(%)</w:t>
            </w:r>
          </w:p>
        </w:tc>
      </w:tr>
      <w:tr>
        <w:tblPrEx>
          <w:tblLayout w:type="fixed"/>
          <w:tblCellMar>
            <w:top w:w="0" w:type="dxa"/>
            <w:left w:w="108" w:type="dxa"/>
            <w:bottom w:w="0" w:type="dxa"/>
            <w:right w:w="108" w:type="dxa"/>
          </w:tblCellMar>
        </w:tblPrEx>
        <w:trPr>
          <w:trHeight w:val="739" w:hRule="exact"/>
          <w:jc w:val="center"/>
        </w:trPr>
        <w:tc>
          <w:tcPr>
            <w:tcW w:w="4477" w:type="dxa"/>
            <w:tcBorders>
              <w:top w:val="single" w:color="auto" w:sz="4" w:space="0"/>
              <w:left w:val="nil"/>
              <w:bottom w:val="nil"/>
              <w:right w:val="single" w:color="auto" w:sz="4" w:space="0"/>
            </w:tcBorders>
            <w:shd w:val="clear" w:color="auto" w:fill="auto"/>
            <w:vAlign w:val="center"/>
          </w:tcPr>
          <w:p>
            <w:pPr>
              <w:widowControl/>
              <w:jc w:val="left"/>
              <w:textAlignment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商品房施工面积（万平方米）</w:t>
            </w:r>
          </w:p>
        </w:tc>
        <w:tc>
          <w:tcPr>
            <w:tcW w:w="1989" w:type="dxa"/>
            <w:tcBorders>
              <w:top w:val="nil"/>
              <w:left w:val="nil"/>
              <w:bottom w:val="nil"/>
              <w:right w:val="nil"/>
            </w:tcBorders>
            <w:shd w:val="clear" w:color="auto" w:fill="FFFFFF"/>
            <w:vAlign w:val="center"/>
          </w:tcPr>
          <w:p>
            <w:pPr>
              <w:widowControl/>
              <w:jc w:val="left"/>
              <w:textAlignment w:val="center"/>
              <w:rPr>
                <w:rFonts w:ascii="方正仿宋_GBK" w:hAnsi="方正仿宋_GBK" w:eastAsia="方正仿宋_GBK" w:cs="方正仿宋_GBK"/>
                <w:kern w:val="0"/>
                <w:sz w:val="24"/>
              </w:rPr>
            </w:pPr>
            <w:r>
              <w:rPr>
                <w:rFonts w:ascii="方正仿宋_GBK" w:hAnsi="方正仿宋_GBK" w:eastAsia="方正仿宋_GBK" w:cs="方正仿宋_GBK"/>
                <w:kern w:val="0"/>
                <w:sz w:val="24"/>
              </w:rPr>
              <w:t>296.79</w:t>
            </w:r>
          </w:p>
        </w:tc>
        <w:tc>
          <w:tcPr>
            <w:tcW w:w="1859" w:type="dxa"/>
            <w:tcBorders>
              <w:top w:val="nil"/>
              <w:left w:val="nil"/>
              <w:bottom w:val="nil"/>
              <w:right w:val="nil"/>
            </w:tcBorders>
            <w:vAlign w:val="center"/>
          </w:tcPr>
          <w:p>
            <w:pPr>
              <w:widowControl/>
              <w:jc w:val="left"/>
              <w:textAlignment w:val="center"/>
              <w:rPr>
                <w:rFonts w:ascii="方正仿宋_GBK" w:hAnsi="方正仿宋_GBK" w:eastAsia="方正仿宋_GBK" w:cs="方正仿宋_GBK"/>
                <w:kern w:val="0"/>
                <w:sz w:val="24"/>
              </w:rPr>
            </w:pPr>
            <w:r>
              <w:rPr>
                <w:rFonts w:ascii="方正仿宋_GBK" w:hAnsi="方正仿宋_GBK" w:eastAsia="方正仿宋_GBK" w:cs="方正仿宋_GBK"/>
                <w:kern w:val="0"/>
                <w:sz w:val="24"/>
              </w:rPr>
              <w:t>-18.0</w:t>
            </w:r>
          </w:p>
        </w:tc>
      </w:tr>
      <w:tr>
        <w:tblPrEx>
          <w:tblLayout w:type="fixed"/>
          <w:tblCellMar>
            <w:top w:w="0" w:type="dxa"/>
            <w:left w:w="108" w:type="dxa"/>
            <w:bottom w:w="0" w:type="dxa"/>
            <w:right w:w="108" w:type="dxa"/>
          </w:tblCellMar>
        </w:tblPrEx>
        <w:trPr>
          <w:trHeight w:val="739" w:hRule="exact"/>
          <w:jc w:val="center"/>
        </w:trPr>
        <w:tc>
          <w:tcPr>
            <w:tcW w:w="4477" w:type="dxa"/>
            <w:tcBorders>
              <w:top w:val="nil"/>
              <w:left w:val="nil"/>
              <w:bottom w:val="nil"/>
              <w:right w:val="single" w:color="auto" w:sz="4" w:space="0"/>
            </w:tcBorders>
            <w:shd w:val="clear" w:color="auto" w:fill="auto"/>
            <w:vAlign w:val="center"/>
          </w:tcPr>
          <w:p>
            <w:pPr>
              <w:widowControl/>
              <w:jc w:val="left"/>
              <w:textAlignment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＃：住宅</w:t>
            </w:r>
          </w:p>
        </w:tc>
        <w:tc>
          <w:tcPr>
            <w:tcW w:w="1989" w:type="dxa"/>
            <w:tcBorders>
              <w:top w:val="nil"/>
              <w:left w:val="nil"/>
              <w:bottom w:val="nil"/>
              <w:right w:val="nil"/>
            </w:tcBorders>
            <w:shd w:val="clear" w:color="auto" w:fill="FFFFFF"/>
            <w:vAlign w:val="center"/>
          </w:tcPr>
          <w:p>
            <w:pPr>
              <w:widowControl/>
              <w:jc w:val="left"/>
              <w:textAlignment w:val="center"/>
              <w:rPr>
                <w:rFonts w:ascii="方正仿宋_GBK" w:hAnsi="方正仿宋_GBK" w:eastAsia="方正仿宋_GBK" w:cs="方正仿宋_GBK"/>
                <w:kern w:val="0"/>
                <w:sz w:val="24"/>
              </w:rPr>
            </w:pPr>
            <w:r>
              <w:rPr>
                <w:rFonts w:ascii="方正仿宋_GBK" w:hAnsi="方正仿宋_GBK" w:eastAsia="方正仿宋_GBK" w:cs="方正仿宋_GBK"/>
                <w:kern w:val="0"/>
                <w:sz w:val="24"/>
              </w:rPr>
              <w:t>216.25</w:t>
            </w:r>
          </w:p>
        </w:tc>
        <w:tc>
          <w:tcPr>
            <w:tcW w:w="1859" w:type="dxa"/>
            <w:tcBorders>
              <w:top w:val="nil"/>
              <w:left w:val="nil"/>
              <w:bottom w:val="nil"/>
              <w:right w:val="nil"/>
            </w:tcBorders>
            <w:vAlign w:val="center"/>
          </w:tcPr>
          <w:p>
            <w:pPr>
              <w:widowControl/>
              <w:jc w:val="left"/>
              <w:textAlignment w:val="center"/>
              <w:rPr>
                <w:rFonts w:ascii="方正仿宋_GBK" w:hAnsi="方正仿宋_GBK" w:eastAsia="方正仿宋_GBK" w:cs="方正仿宋_GBK"/>
                <w:kern w:val="0"/>
                <w:sz w:val="24"/>
              </w:rPr>
            </w:pPr>
            <w:r>
              <w:rPr>
                <w:rFonts w:ascii="方正仿宋_GBK" w:hAnsi="方正仿宋_GBK" w:eastAsia="方正仿宋_GBK" w:cs="方正仿宋_GBK"/>
                <w:kern w:val="0"/>
                <w:sz w:val="24"/>
              </w:rPr>
              <w:t>-16.7</w:t>
            </w:r>
          </w:p>
        </w:tc>
      </w:tr>
      <w:tr>
        <w:tblPrEx>
          <w:tblLayout w:type="fixed"/>
          <w:tblCellMar>
            <w:top w:w="0" w:type="dxa"/>
            <w:left w:w="108" w:type="dxa"/>
            <w:bottom w:w="0" w:type="dxa"/>
            <w:right w:w="108" w:type="dxa"/>
          </w:tblCellMar>
        </w:tblPrEx>
        <w:trPr>
          <w:trHeight w:val="739" w:hRule="exact"/>
          <w:jc w:val="center"/>
        </w:trPr>
        <w:tc>
          <w:tcPr>
            <w:tcW w:w="4477" w:type="dxa"/>
            <w:tcBorders>
              <w:left w:val="nil"/>
              <w:bottom w:val="nil"/>
              <w:right w:val="single" w:color="auto" w:sz="4" w:space="0"/>
            </w:tcBorders>
            <w:vAlign w:val="center"/>
          </w:tcPr>
          <w:p>
            <w:pPr>
              <w:widowControl/>
              <w:jc w:val="left"/>
              <w:textAlignment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新开工面积（万平方米）</w:t>
            </w:r>
          </w:p>
        </w:tc>
        <w:tc>
          <w:tcPr>
            <w:tcW w:w="1989" w:type="dxa"/>
            <w:tcBorders>
              <w:top w:val="nil"/>
              <w:left w:val="single" w:color="auto" w:sz="4" w:space="0"/>
              <w:bottom w:val="nil"/>
              <w:right w:val="nil"/>
            </w:tcBorders>
            <w:vAlign w:val="center"/>
          </w:tcPr>
          <w:p>
            <w:pPr>
              <w:widowControl/>
              <w:jc w:val="left"/>
              <w:textAlignment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79.63</w:t>
            </w:r>
          </w:p>
        </w:tc>
        <w:tc>
          <w:tcPr>
            <w:tcW w:w="1859" w:type="dxa"/>
            <w:tcBorders>
              <w:top w:val="nil"/>
              <w:left w:val="nil"/>
              <w:bottom w:val="nil"/>
              <w:right w:val="nil"/>
            </w:tcBorders>
            <w:vAlign w:val="center"/>
          </w:tcPr>
          <w:p>
            <w:pPr>
              <w:widowControl/>
              <w:jc w:val="left"/>
              <w:textAlignment w:val="center"/>
              <w:rPr>
                <w:rFonts w:ascii="方正仿宋_GBK" w:hAnsi="方正仿宋_GBK" w:eastAsia="方正仿宋_GBK" w:cs="方正仿宋_GBK"/>
                <w:kern w:val="0"/>
                <w:sz w:val="24"/>
              </w:rPr>
            </w:pPr>
            <w:r>
              <w:rPr>
                <w:rFonts w:ascii="方正仿宋_GBK" w:hAnsi="方正仿宋_GBK" w:eastAsia="方正仿宋_GBK" w:cs="方正仿宋_GBK"/>
                <w:kern w:val="0"/>
                <w:sz w:val="24"/>
              </w:rPr>
              <w:t>79.06</w:t>
            </w:r>
          </w:p>
        </w:tc>
      </w:tr>
      <w:tr>
        <w:tblPrEx>
          <w:tblLayout w:type="fixed"/>
          <w:tblCellMar>
            <w:top w:w="0" w:type="dxa"/>
            <w:left w:w="108" w:type="dxa"/>
            <w:bottom w:w="0" w:type="dxa"/>
            <w:right w:w="108" w:type="dxa"/>
          </w:tblCellMar>
        </w:tblPrEx>
        <w:trPr>
          <w:trHeight w:val="739" w:hRule="exact"/>
          <w:jc w:val="center"/>
        </w:trPr>
        <w:tc>
          <w:tcPr>
            <w:tcW w:w="4477" w:type="dxa"/>
            <w:tcBorders>
              <w:top w:val="nil"/>
              <w:left w:val="nil"/>
              <w:bottom w:val="nil"/>
              <w:right w:val="single" w:color="auto" w:sz="4" w:space="0"/>
            </w:tcBorders>
            <w:vAlign w:val="center"/>
          </w:tcPr>
          <w:p>
            <w:pPr>
              <w:widowControl/>
              <w:jc w:val="left"/>
              <w:textAlignment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＃：住宅</w:t>
            </w:r>
          </w:p>
        </w:tc>
        <w:tc>
          <w:tcPr>
            <w:tcW w:w="1989" w:type="dxa"/>
            <w:tcBorders>
              <w:top w:val="nil"/>
              <w:left w:val="single" w:color="auto" w:sz="4" w:space="0"/>
              <w:right w:val="nil"/>
            </w:tcBorders>
            <w:vAlign w:val="center"/>
          </w:tcPr>
          <w:p>
            <w:pPr>
              <w:widowControl/>
              <w:jc w:val="left"/>
              <w:textAlignment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58.6</w:t>
            </w:r>
          </w:p>
        </w:tc>
        <w:tc>
          <w:tcPr>
            <w:tcW w:w="1859" w:type="dxa"/>
            <w:tcBorders>
              <w:top w:val="nil"/>
              <w:left w:val="nil"/>
              <w:right w:val="nil"/>
            </w:tcBorders>
            <w:vAlign w:val="center"/>
          </w:tcPr>
          <w:p>
            <w:pPr>
              <w:widowControl/>
              <w:jc w:val="left"/>
              <w:textAlignment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96.25</w:t>
            </w:r>
          </w:p>
        </w:tc>
      </w:tr>
      <w:tr>
        <w:tblPrEx>
          <w:tblLayout w:type="fixed"/>
          <w:tblCellMar>
            <w:top w:w="0" w:type="dxa"/>
            <w:left w:w="108" w:type="dxa"/>
            <w:bottom w:w="0" w:type="dxa"/>
            <w:right w:w="108" w:type="dxa"/>
          </w:tblCellMar>
        </w:tblPrEx>
        <w:trPr>
          <w:trHeight w:val="739" w:hRule="exact"/>
          <w:jc w:val="center"/>
        </w:trPr>
        <w:tc>
          <w:tcPr>
            <w:tcW w:w="4477" w:type="dxa"/>
            <w:tcBorders>
              <w:left w:val="nil"/>
              <w:bottom w:val="nil"/>
              <w:right w:val="single" w:color="auto" w:sz="4" w:space="0"/>
            </w:tcBorders>
            <w:vAlign w:val="center"/>
          </w:tcPr>
          <w:p>
            <w:pPr>
              <w:widowControl/>
              <w:jc w:val="left"/>
              <w:textAlignment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商品房竣工面积（万平方米）</w:t>
            </w:r>
          </w:p>
        </w:tc>
        <w:tc>
          <w:tcPr>
            <w:tcW w:w="1989" w:type="dxa"/>
            <w:tcBorders>
              <w:left w:val="single" w:color="auto" w:sz="4" w:space="0"/>
            </w:tcBorders>
            <w:vAlign w:val="center"/>
          </w:tcPr>
          <w:p>
            <w:pPr>
              <w:widowControl/>
              <w:jc w:val="left"/>
              <w:textAlignment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76.56</w:t>
            </w:r>
          </w:p>
        </w:tc>
        <w:tc>
          <w:tcPr>
            <w:tcW w:w="1859" w:type="dxa"/>
            <w:tcBorders>
              <w:right w:val="nil"/>
            </w:tcBorders>
            <w:vAlign w:val="center"/>
          </w:tcPr>
          <w:p>
            <w:pPr>
              <w:widowControl/>
              <w:jc w:val="left"/>
              <w:textAlignment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-13.5</w:t>
            </w:r>
          </w:p>
        </w:tc>
      </w:tr>
      <w:tr>
        <w:tblPrEx>
          <w:tblLayout w:type="fixed"/>
          <w:tblCellMar>
            <w:top w:w="0" w:type="dxa"/>
            <w:left w:w="108" w:type="dxa"/>
            <w:bottom w:w="0" w:type="dxa"/>
            <w:right w:w="108" w:type="dxa"/>
          </w:tblCellMar>
        </w:tblPrEx>
        <w:trPr>
          <w:trHeight w:val="739" w:hRule="exact"/>
          <w:jc w:val="center"/>
        </w:trPr>
        <w:tc>
          <w:tcPr>
            <w:tcW w:w="4477" w:type="dxa"/>
            <w:tcBorders>
              <w:top w:val="nil"/>
              <w:left w:val="nil"/>
              <w:bottom w:val="nil"/>
              <w:right w:val="single" w:color="auto" w:sz="4" w:space="0"/>
            </w:tcBorders>
            <w:vAlign w:val="center"/>
          </w:tcPr>
          <w:p>
            <w:pPr>
              <w:widowControl/>
              <w:jc w:val="left"/>
              <w:textAlignment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＃：住宅</w:t>
            </w:r>
          </w:p>
        </w:tc>
        <w:tc>
          <w:tcPr>
            <w:tcW w:w="1989" w:type="dxa"/>
            <w:tcBorders>
              <w:top w:val="nil"/>
              <w:left w:val="single" w:color="auto" w:sz="4" w:space="0"/>
            </w:tcBorders>
            <w:vAlign w:val="center"/>
          </w:tcPr>
          <w:p>
            <w:pPr>
              <w:widowControl/>
              <w:jc w:val="left"/>
              <w:textAlignment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51.76</w:t>
            </w:r>
          </w:p>
        </w:tc>
        <w:tc>
          <w:tcPr>
            <w:tcW w:w="1859" w:type="dxa"/>
            <w:tcBorders>
              <w:top w:val="nil"/>
              <w:right w:val="nil"/>
            </w:tcBorders>
            <w:vAlign w:val="center"/>
          </w:tcPr>
          <w:p>
            <w:pPr>
              <w:widowControl/>
              <w:jc w:val="left"/>
              <w:textAlignment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-16.3</w:t>
            </w:r>
          </w:p>
        </w:tc>
      </w:tr>
      <w:tr>
        <w:tblPrEx>
          <w:tblLayout w:type="fixed"/>
          <w:tblCellMar>
            <w:top w:w="0" w:type="dxa"/>
            <w:left w:w="108" w:type="dxa"/>
            <w:bottom w:w="0" w:type="dxa"/>
            <w:right w:w="108" w:type="dxa"/>
          </w:tblCellMar>
        </w:tblPrEx>
        <w:trPr>
          <w:trHeight w:val="739" w:hRule="exact"/>
          <w:jc w:val="center"/>
        </w:trPr>
        <w:tc>
          <w:tcPr>
            <w:tcW w:w="4477" w:type="dxa"/>
            <w:tcBorders>
              <w:top w:val="nil"/>
              <w:left w:val="nil"/>
              <w:bottom w:val="nil"/>
              <w:right w:val="single" w:color="auto" w:sz="4" w:space="0"/>
            </w:tcBorders>
            <w:shd w:val="clear" w:color="auto" w:fill="auto"/>
            <w:vAlign w:val="center"/>
          </w:tcPr>
          <w:p>
            <w:pPr>
              <w:widowControl/>
              <w:jc w:val="left"/>
              <w:textAlignment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商品房销售面积（万平方米）</w:t>
            </w:r>
          </w:p>
        </w:tc>
        <w:tc>
          <w:tcPr>
            <w:tcW w:w="1989" w:type="dxa"/>
            <w:tcBorders>
              <w:left w:val="nil"/>
              <w:bottom w:val="nil"/>
              <w:right w:val="nil"/>
            </w:tcBorders>
            <w:shd w:val="clear" w:color="auto" w:fill="FFFFFF"/>
            <w:vAlign w:val="center"/>
          </w:tcPr>
          <w:p>
            <w:pPr>
              <w:widowControl/>
              <w:jc w:val="left"/>
              <w:textAlignment w:val="center"/>
              <w:rPr>
                <w:rFonts w:ascii="方正仿宋_GBK" w:hAnsi="方正仿宋_GBK" w:eastAsia="方正仿宋_GBK" w:cs="方正仿宋_GBK"/>
                <w:kern w:val="0"/>
                <w:sz w:val="24"/>
              </w:rPr>
            </w:pPr>
            <w:r>
              <w:rPr>
                <w:rFonts w:ascii="方正仿宋_GBK" w:hAnsi="方正仿宋_GBK" w:eastAsia="方正仿宋_GBK" w:cs="方正仿宋_GBK"/>
                <w:kern w:val="0"/>
                <w:sz w:val="24"/>
              </w:rPr>
              <w:t>103.43</w:t>
            </w:r>
          </w:p>
        </w:tc>
        <w:tc>
          <w:tcPr>
            <w:tcW w:w="1859" w:type="dxa"/>
            <w:tcBorders>
              <w:left w:val="nil"/>
              <w:bottom w:val="nil"/>
              <w:right w:val="nil"/>
            </w:tcBorders>
            <w:vAlign w:val="center"/>
          </w:tcPr>
          <w:p>
            <w:pPr>
              <w:widowControl/>
              <w:jc w:val="left"/>
              <w:textAlignment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-5.5</w:t>
            </w:r>
          </w:p>
        </w:tc>
      </w:tr>
      <w:tr>
        <w:tblPrEx>
          <w:tblLayout w:type="fixed"/>
          <w:tblCellMar>
            <w:top w:w="0" w:type="dxa"/>
            <w:left w:w="108" w:type="dxa"/>
            <w:bottom w:w="0" w:type="dxa"/>
            <w:right w:w="108" w:type="dxa"/>
          </w:tblCellMar>
        </w:tblPrEx>
        <w:trPr>
          <w:trHeight w:val="739" w:hRule="exact"/>
          <w:jc w:val="center"/>
        </w:trPr>
        <w:tc>
          <w:tcPr>
            <w:tcW w:w="4477" w:type="dxa"/>
            <w:tcBorders>
              <w:top w:val="nil"/>
              <w:left w:val="nil"/>
              <w:bottom w:val="nil"/>
              <w:right w:val="single" w:color="auto" w:sz="4" w:space="0"/>
            </w:tcBorders>
            <w:shd w:val="clear" w:color="auto" w:fill="auto"/>
            <w:vAlign w:val="center"/>
          </w:tcPr>
          <w:p>
            <w:pPr>
              <w:widowControl/>
              <w:jc w:val="left"/>
              <w:textAlignment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＃：住宅</w:t>
            </w:r>
          </w:p>
        </w:tc>
        <w:tc>
          <w:tcPr>
            <w:tcW w:w="1989" w:type="dxa"/>
            <w:tcBorders>
              <w:top w:val="nil"/>
              <w:left w:val="nil"/>
              <w:bottom w:val="nil"/>
              <w:right w:val="nil"/>
            </w:tcBorders>
            <w:shd w:val="clear" w:color="auto" w:fill="FFFFFF"/>
            <w:vAlign w:val="center"/>
          </w:tcPr>
          <w:p>
            <w:pPr>
              <w:widowControl/>
              <w:jc w:val="left"/>
              <w:textAlignment w:val="center"/>
              <w:rPr>
                <w:rFonts w:ascii="方正仿宋_GBK" w:hAnsi="方正仿宋_GBK" w:eastAsia="方正仿宋_GBK" w:cs="方正仿宋_GBK"/>
                <w:kern w:val="0"/>
                <w:sz w:val="24"/>
              </w:rPr>
            </w:pPr>
            <w:r>
              <w:rPr>
                <w:rFonts w:ascii="方正仿宋_GBK" w:hAnsi="方正仿宋_GBK" w:eastAsia="方正仿宋_GBK" w:cs="方正仿宋_GBK"/>
                <w:kern w:val="0"/>
                <w:sz w:val="24"/>
              </w:rPr>
              <w:t>74.4</w:t>
            </w:r>
          </w:p>
        </w:tc>
        <w:tc>
          <w:tcPr>
            <w:tcW w:w="1859" w:type="dxa"/>
            <w:tcBorders>
              <w:top w:val="nil"/>
              <w:left w:val="nil"/>
              <w:bottom w:val="nil"/>
              <w:right w:val="nil"/>
            </w:tcBorders>
            <w:vAlign w:val="center"/>
          </w:tcPr>
          <w:p>
            <w:pPr>
              <w:widowControl/>
              <w:jc w:val="left"/>
              <w:textAlignment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-24.2</w:t>
            </w:r>
          </w:p>
        </w:tc>
      </w:tr>
      <w:tr>
        <w:tblPrEx>
          <w:tblLayout w:type="fixed"/>
          <w:tblCellMar>
            <w:top w:w="0" w:type="dxa"/>
            <w:left w:w="108" w:type="dxa"/>
            <w:bottom w:w="0" w:type="dxa"/>
            <w:right w:w="108" w:type="dxa"/>
          </w:tblCellMar>
        </w:tblPrEx>
        <w:trPr>
          <w:trHeight w:val="739" w:hRule="exact"/>
          <w:jc w:val="center"/>
        </w:trPr>
        <w:tc>
          <w:tcPr>
            <w:tcW w:w="4477" w:type="dxa"/>
            <w:tcBorders>
              <w:top w:val="nil"/>
              <w:left w:val="nil"/>
              <w:right w:val="single" w:color="auto" w:sz="4" w:space="0"/>
            </w:tcBorders>
            <w:shd w:val="clear" w:color="auto" w:fill="auto"/>
            <w:vAlign w:val="center"/>
          </w:tcPr>
          <w:p>
            <w:pPr>
              <w:widowControl/>
              <w:jc w:val="left"/>
              <w:textAlignment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商品房销售额（万元）</w:t>
            </w:r>
          </w:p>
        </w:tc>
        <w:tc>
          <w:tcPr>
            <w:tcW w:w="1989" w:type="dxa"/>
            <w:tcBorders>
              <w:top w:val="nil"/>
              <w:left w:val="nil"/>
              <w:right w:val="nil"/>
            </w:tcBorders>
            <w:shd w:val="clear" w:color="auto" w:fill="FFFFFF"/>
            <w:vAlign w:val="center"/>
          </w:tcPr>
          <w:p>
            <w:pPr>
              <w:widowControl/>
              <w:jc w:val="left"/>
              <w:textAlignment w:val="center"/>
              <w:rPr>
                <w:rFonts w:ascii="方正仿宋_GBK" w:hAnsi="方正仿宋_GBK" w:eastAsia="方正仿宋_GBK" w:cs="方正仿宋_GBK"/>
                <w:kern w:val="0"/>
                <w:sz w:val="24"/>
              </w:rPr>
            </w:pPr>
            <w:r>
              <w:rPr>
                <w:rFonts w:ascii="方正仿宋_GBK" w:hAnsi="方正仿宋_GBK" w:eastAsia="方正仿宋_GBK" w:cs="方正仿宋_GBK"/>
                <w:kern w:val="0"/>
                <w:sz w:val="24"/>
              </w:rPr>
              <w:t>492435</w:t>
            </w:r>
          </w:p>
        </w:tc>
        <w:tc>
          <w:tcPr>
            <w:tcW w:w="1859" w:type="dxa"/>
            <w:tcBorders>
              <w:top w:val="nil"/>
              <w:left w:val="nil"/>
              <w:right w:val="nil"/>
            </w:tcBorders>
            <w:vAlign w:val="center"/>
          </w:tcPr>
          <w:p>
            <w:pPr>
              <w:widowControl/>
              <w:jc w:val="left"/>
              <w:textAlignment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7.6</w:t>
            </w:r>
          </w:p>
        </w:tc>
      </w:tr>
      <w:tr>
        <w:tblPrEx>
          <w:tblLayout w:type="fixed"/>
          <w:tblCellMar>
            <w:top w:w="0" w:type="dxa"/>
            <w:left w:w="108" w:type="dxa"/>
            <w:bottom w:w="0" w:type="dxa"/>
            <w:right w:w="108" w:type="dxa"/>
          </w:tblCellMar>
        </w:tblPrEx>
        <w:trPr>
          <w:trHeight w:val="750" w:hRule="exact"/>
          <w:jc w:val="center"/>
        </w:trPr>
        <w:tc>
          <w:tcPr>
            <w:tcW w:w="44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＃：住宅</w:t>
            </w:r>
          </w:p>
        </w:tc>
        <w:tc>
          <w:tcPr>
            <w:tcW w:w="1989" w:type="dxa"/>
            <w:tcBorders>
              <w:top w:val="nil"/>
              <w:left w:val="nil"/>
              <w:bottom w:val="single" w:color="auto" w:sz="4" w:space="0"/>
              <w:right w:val="nil"/>
            </w:tcBorders>
            <w:shd w:val="clear" w:color="auto" w:fill="FFFFFF"/>
            <w:vAlign w:val="center"/>
          </w:tcPr>
          <w:p>
            <w:pPr>
              <w:widowControl/>
              <w:jc w:val="left"/>
              <w:textAlignment w:val="center"/>
              <w:rPr>
                <w:rFonts w:ascii="方正仿宋_GBK" w:hAnsi="方正仿宋_GBK" w:eastAsia="方正仿宋_GBK" w:cs="方正仿宋_GBK"/>
                <w:kern w:val="0"/>
                <w:sz w:val="24"/>
              </w:rPr>
            </w:pPr>
            <w:r>
              <w:rPr>
                <w:rFonts w:ascii="方正仿宋_GBK" w:hAnsi="方正仿宋_GBK" w:eastAsia="方正仿宋_GBK" w:cs="方正仿宋_GBK"/>
                <w:kern w:val="0"/>
                <w:sz w:val="24"/>
              </w:rPr>
              <w:t>355464</w:t>
            </w:r>
          </w:p>
        </w:tc>
        <w:tc>
          <w:tcPr>
            <w:tcW w:w="1859" w:type="dxa"/>
            <w:tcBorders>
              <w:top w:val="nil"/>
              <w:left w:val="nil"/>
              <w:bottom w:val="single" w:color="auto" w:sz="4" w:space="0"/>
              <w:right w:val="nil"/>
            </w:tcBorders>
            <w:vAlign w:val="center"/>
          </w:tcPr>
          <w:p>
            <w:pPr>
              <w:widowControl/>
              <w:jc w:val="left"/>
              <w:textAlignment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-11.4</w:t>
            </w:r>
          </w:p>
        </w:tc>
      </w:tr>
    </w:tbl>
    <w:p>
      <w:pPr>
        <w:pStyle w:val="5"/>
        <w:spacing w:before="0" w:beforeAutospacing="0" w:after="0" w:afterAutospacing="0"/>
        <w:ind w:left="45" w:right="45" w:firstLine="562" w:firstLineChars="200"/>
        <w:jc w:val="both"/>
        <w:rPr>
          <w:rFonts w:ascii="方正黑体_GBK" w:hAnsi="方正黑体_GBK" w:eastAsia="方正黑体_GBK" w:cs="方正黑体_GBK"/>
          <w:b/>
          <w:sz w:val="32"/>
          <w:szCs w:val="32"/>
        </w:rPr>
      </w:pPr>
      <w:r>
        <w:rPr>
          <w:rFonts w:hint="eastAsia" w:ascii="方正黑体_GBK" w:hAnsi="方正黑体_GBK" w:eastAsia="方正黑体_GBK" w:cs="方正黑体_GBK"/>
          <w:b/>
          <w:sz w:val="28"/>
          <w:szCs w:val="28"/>
        </w:rPr>
        <w:t xml:space="preserve"> </w:t>
      </w:r>
      <w:r>
        <w:rPr>
          <w:rFonts w:hint="eastAsia" w:ascii="方正黑体_GBK" w:hAnsi="方正黑体_GBK" w:eastAsia="方正黑体_GBK" w:cs="方正黑体_GBK"/>
          <w:b/>
          <w:sz w:val="32"/>
          <w:szCs w:val="32"/>
        </w:rPr>
        <w:t>五、国内贸易</w:t>
      </w:r>
    </w:p>
    <w:p>
      <w:pPr>
        <w:pStyle w:val="5"/>
        <w:spacing w:before="0" w:beforeAutospacing="0" w:after="0" w:afterAutospacing="0"/>
        <w:ind w:left="45" w:right="45" w:firstLine="640" w:firstLineChars="200"/>
        <w:jc w:val="both"/>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全年批发和零售业实现增加值253865万元，比上年增长4.7%，占全区生产总值的5.0%；住宿和餐饮业实现增加值92923万元，比上年增长5.8%，占全区生产总值的</w:t>
      </w:r>
      <w:r>
        <w:rPr>
          <w:rFonts w:ascii="方正仿宋_GBK" w:hAnsi="方正仿宋_GBK" w:eastAsia="方正仿宋_GBK" w:cs="方正仿宋_GBK"/>
          <w:sz w:val="32"/>
          <w:szCs w:val="32"/>
        </w:rPr>
        <w:t>1.8</w:t>
      </w:r>
      <w:r>
        <w:rPr>
          <w:rFonts w:hint="eastAsia" w:ascii="方正仿宋_GBK" w:hAnsi="方正仿宋_GBK" w:eastAsia="方正仿宋_GBK" w:cs="方正仿宋_GBK"/>
          <w:sz w:val="32"/>
          <w:szCs w:val="32"/>
        </w:rPr>
        <w:t xml:space="preserve">%。 </w:t>
      </w:r>
    </w:p>
    <w:p>
      <w:pPr>
        <w:pStyle w:val="5"/>
        <w:spacing w:before="0" w:beforeAutospacing="0" w:after="0" w:afterAutospacing="0"/>
        <w:ind w:left="45" w:right="45" w:firstLine="640" w:firstLineChars="200"/>
        <w:jc w:val="both"/>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消费品市场平稳增长。全年社会消费品零售总额同比增长13.1%。限额以上法人企业主要商品零售额中，汽车类增长0.6％，粮油、食品类增长4.6％，家用电器和音响器材类增长5.3％，石油及其制品类增长16.1％。</w:t>
      </w:r>
    </w:p>
    <w:p>
      <w:pPr>
        <w:pStyle w:val="5"/>
        <w:spacing w:before="0" w:beforeAutospacing="0" w:after="0" w:afterAutospacing="0"/>
        <w:ind w:right="45"/>
        <w:jc w:val="both"/>
        <w:rPr>
          <w:rFonts w:ascii="方正仿宋_GBK" w:hAnsi="方正仿宋_GBK" w:eastAsia="方正仿宋_GBK" w:cs="方正仿宋_GBK"/>
        </w:rPr>
      </w:pPr>
      <w:r>
        <w:drawing>
          <wp:inline distT="0" distB="0" distL="0" distR="0">
            <wp:extent cx="5200650" cy="2914650"/>
            <wp:effectExtent l="0" t="0" r="0" b="0"/>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ind w:firstLine="560" w:firstLineChars="200"/>
        <w:rPr>
          <w:rFonts w:ascii="方正仿宋_GBK" w:hAnsi="方正仿宋_GBK" w:eastAsia="方正仿宋_GBK" w:cs="方正仿宋_GBK"/>
          <w:kern w:val="0"/>
          <w:sz w:val="28"/>
        </w:rPr>
      </w:pPr>
    </w:p>
    <w:p>
      <w:pPr>
        <w:ind w:firstLine="640" w:firstLineChars="200"/>
        <w:rPr>
          <w:rFonts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全年批发和零售业销售额增长9.8%；住宿和餐饮业营业额增长13.3%。</w:t>
      </w:r>
    </w:p>
    <w:p>
      <w:pPr>
        <w:pStyle w:val="5"/>
        <w:spacing w:before="0" w:beforeAutospacing="0" w:after="0" w:afterAutospacing="0"/>
        <w:ind w:left="45" w:right="45" w:firstLine="643" w:firstLineChars="200"/>
        <w:jc w:val="both"/>
        <w:rPr>
          <w:rStyle w:val="8"/>
          <w:rFonts w:ascii="方正黑体_GBK" w:hAnsi="方正黑体_GBK" w:eastAsia="方正黑体_GBK" w:cs="方正黑体_GBK"/>
          <w:sz w:val="32"/>
          <w:szCs w:val="32"/>
        </w:rPr>
      </w:pPr>
      <w:r>
        <w:rPr>
          <w:rFonts w:hint="eastAsia" w:ascii="方正黑体_GBK" w:hAnsi="方正黑体_GBK" w:eastAsia="方正黑体_GBK" w:cs="方正黑体_GBK"/>
          <w:b/>
          <w:sz w:val="32"/>
          <w:szCs w:val="32"/>
        </w:rPr>
        <w:t>六、</w:t>
      </w:r>
      <w:r>
        <w:rPr>
          <w:rStyle w:val="8"/>
          <w:rFonts w:hint="eastAsia" w:ascii="方正黑体_GBK" w:hAnsi="方正黑体_GBK" w:eastAsia="方正黑体_GBK" w:cs="方正黑体_GBK"/>
          <w:sz w:val="32"/>
          <w:szCs w:val="32"/>
        </w:rPr>
        <w:t>对外经济</w:t>
      </w:r>
    </w:p>
    <w:p>
      <w:pPr>
        <w:pStyle w:val="5"/>
        <w:spacing w:before="0" w:beforeAutospacing="0" w:after="0" w:afterAutospacing="0"/>
        <w:ind w:left="45" w:right="45" w:firstLine="640" w:firstLineChars="200"/>
        <w:jc w:val="both"/>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全年实现外贸进出口总值184301万元，下降19.2％。其中：出口181247万元，下降19.8%；进口3054万元，增长50.5 %。</w:t>
      </w:r>
    </w:p>
    <w:p>
      <w:pPr>
        <w:pStyle w:val="5"/>
        <w:spacing w:before="0" w:beforeAutospacing="0" w:after="0" w:afterAutospacing="0"/>
        <w:ind w:left="45" w:right="45" w:firstLine="640" w:firstLineChars="200"/>
        <w:jc w:val="both"/>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全年实际使用外资金额5984万美元，增长27.5％。其中，外商直接投资1227万美元。全年实际利用内资比</w:t>
      </w:r>
      <w:r>
        <w:rPr>
          <w:rFonts w:ascii="方正仿宋_GBK" w:hAnsi="方正仿宋_GBK" w:eastAsia="方正仿宋_GBK" w:cs="方正仿宋_GBK"/>
          <w:sz w:val="32"/>
          <w:szCs w:val="32"/>
        </w:rPr>
        <w:t>上年增长</w:t>
      </w:r>
      <w:r>
        <w:rPr>
          <w:rFonts w:hint="eastAsia" w:ascii="方正仿宋_GBK" w:hAnsi="方正仿宋_GBK" w:eastAsia="方正仿宋_GBK" w:cs="方正仿宋_GBK"/>
          <w:sz w:val="32"/>
          <w:szCs w:val="32"/>
        </w:rPr>
        <w:t>13.7</w:t>
      </w:r>
      <w:r>
        <w:rPr>
          <w:rFonts w:ascii="方正仿宋_GBK" w:hAnsi="方正仿宋_GBK" w:eastAsia="方正仿宋_GBK" w:cs="方正仿宋_GBK"/>
          <w:sz w:val="32"/>
          <w:szCs w:val="32"/>
        </w:rPr>
        <w:t>%。</w:t>
      </w:r>
    </w:p>
    <w:p>
      <w:pPr>
        <w:pStyle w:val="5"/>
        <w:spacing w:before="0" w:beforeAutospacing="0" w:after="0" w:afterAutospacing="0"/>
        <w:ind w:left="44" w:right="44" w:firstLine="643" w:firstLineChars="200"/>
        <w:jc w:val="both"/>
        <w:rPr>
          <w:rFonts w:ascii="方正黑体_GBK" w:hAnsi="方正黑体_GBK" w:eastAsia="方正黑体_GBK" w:cs="方正黑体_GBK"/>
          <w:b/>
          <w:sz w:val="32"/>
          <w:szCs w:val="32"/>
        </w:rPr>
      </w:pPr>
      <w:r>
        <w:rPr>
          <w:rFonts w:hint="eastAsia" w:ascii="方正黑体_GBK" w:hAnsi="方正黑体_GBK" w:eastAsia="方正黑体_GBK" w:cs="方正黑体_GBK"/>
          <w:b/>
          <w:sz w:val="32"/>
          <w:szCs w:val="32"/>
        </w:rPr>
        <w:t>七、交通、邮电和旅游</w:t>
      </w:r>
    </w:p>
    <w:p>
      <w:pPr>
        <w:pStyle w:val="5"/>
        <w:spacing w:before="0" w:beforeAutospacing="0" w:after="0" w:afterAutospacing="0"/>
        <w:ind w:left="45" w:right="45" w:firstLine="640" w:firstLineChars="200"/>
        <w:jc w:val="both"/>
        <w:rPr>
          <w:rFonts w:ascii="方正仿宋_GBK" w:hAnsi="方正仿宋_GBK" w:eastAsia="方正仿宋_GBK" w:cs="方正仿宋_GBK"/>
          <w:color w:val="0000FF"/>
          <w:kern w:val="2"/>
          <w:sz w:val="32"/>
          <w:szCs w:val="32"/>
        </w:rPr>
      </w:pPr>
      <w:r>
        <w:rPr>
          <w:rFonts w:hint="eastAsia" w:ascii="方正仿宋_GBK" w:hAnsi="方正仿宋_GBK" w:eastAsia="方正仿宋_GBK" w:cs="方正仿宋_GBK"/>
          <w:kern w:val="2"/>
          <w:sz w:val="32"/>
          <w:szCs w:val="32"/>
        </w:rPr>
        <w:t>全年交通运输、仓储和邮政业实现增加值152119万元，比上年增长8.5％，占全区生产总值的比重为3.0%。</w:t>
      </w:r>
    </w:p>
    <w:p>
      <w:pPr>
        <w:pStyle w:val="5"/>
        <w:spacing w:before="0" w:beforeAutospacing="0" w:after="0" w:afterAutospacing="0"/>
        <w:ind w:left="45" w:right="45" w:firstLine="640" w:firstLineChars="200"/>
        <w:jc w:val="both"/>
        <w:rPr>
          <w:rFonts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rPr>
        <w:t>全年公路客运量完成4948万人，比上年增长13.5%；公路旅客周转量220468万人公里，增长11.6%；公路货运量完成895万吨，增长11.6%；公路货物周转量85079万吨公里，增长6.6%。</w:t>
      </w:r>
      <w:r>
        <w:rPr>
          <w:rFonts w:hint="eastAsia" w:ascii="方正仿宋_GBK" w:hAnsi="方正仿宋_GBK" w:eastAsia="方正仿宋_GBK" w:cs="方正仿宋_GBK"/>
          <w:kern w:val="2"/>
          <w:sz w:val="32"/>
          <w:szCs w:val="32"/>
        </w:rPr>
        <w:tab/>
      </w:r>
    </w:p>
    <w:p>
      <w:pPr>
        <w:pStyle w:val="5"/>
        <w:spacing w:before="0" w:beforeAutospacing="0" w:after="0" w:afterAutospacing="0"/>
        <w:ind w:left="45" w:right="45" w:firstLine="640" w:firstLineChars="200"/>
        <w:jc w:val="both"/>
        <w:rPr>
          <w:rFonts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rPr>
        <w:t>年末全区拥有营运汽车6839辆，其中货车6244辆、客车457辆(含公交车)、出租汽车138辆。</w:t>
      </w:r>
    </w:p>
    <w:p>
      <w:pPr>
        <w:pStyle w:val="5"/>
        <w:spacing w:before="0" w:beforeAutospacing="0" w:after="0" w:afterAutospacing="0"/>
        <w:ind w:left="45" w:right="45" w:firstLine="640" w:firstLineChars="200"/>
        <w:jc w:val="both"/>
        <w:rPr>
          <w:rFonts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rPr>
        <w:t>年底全区公路总里程2360.667公里。按行政等级划分：国道（高速公路）63.436公里，省道209.182公里，县道136.588公里，乡道295.921公里，专用公路10.755公里，村道1644.785公里。按技术等级分：高速公路29.8公里、一级公路25.004公里、二级公路191.904公里、三级公路79.35公里、四级公路1948.309公里，等外公路86.3公里。</w:t>
      </w:r>
    </w:p>
    <w:p>
      <w:pPr>
        <w:pStyle w:val="5"/>
        <w:spacing w:before="0" w:beforeAutospacing="0" w:after="0" w:afterAutospacing="0"/>
        <w:ind w:left="45" w:right="45" w:firstLine="640" w:firstLineChars="200"/>
        <w:jc w:val="both"/>
        <w:rPr>
          <w:rFonts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rPr>
        <w:t>全年完成邮电业务总量45025万元，比上年下降</w:t>
      </w:r>
      <w:r>
        <w:rPr>
          <w:rFonts w:ascii="方正仿宋_GBK" w:hAnsi="方正仿宋_GBK" w:eastAsia="方正仿宋_GBK" w:cs="方正仿宋_GBK"/>
          <w:kern w:val="2"/>
          <w:sz w:val="32"/>
          <w:szCs w:val="32"/>
        </w:rPr>
        <w:t>7.2</w:t>
      </w:r>
      <w:r>
        <w:rPr>
          <w:rFonts w:hint="eastAsia" w:ascii="方正仿宋_GBK" w:hAnsi="方正仿宋_GBK" w:eastAsia="方正仿宋_GBK" w:cs="方正仿宋_GBK"/>
          <w:kern w:val="2"/>
          <w:sz w:val="32"/>
          <w:szCs w:val="32"/>
        </w:rPr>
        <w:t>%。其中，邮政业务收入12301万元，增长</w:t>
      </w:r>
      <w:r>
        <w:rPr>
          <w:rFonts w:ascii="方正仿宋_GBK" w:hAnsi="方正仿宋_GBK" w:eastAsia="方正仿宋_GBK" w:cs="方正仿宋_GBK"/>
          <w:kern w:val="2"/>
          <w:sz w:val="32"/>
          <w:szCs w:val="32"/>
        </w:rPr>
        <w:t>21.4</w:t>
      </w:r>
      <w:r>
        <w:rPr>
          <w:rFonts w:hint="eastAsia" w:ascii="方正仿宋_GBK" w:hAnsi="方正仿宋_GBK" w:eastAsia="方正仿宋_GBK" w:cs="方正仿宋_GBK"/>
          <w:kern w:val="2"/>
          <w:sz w:val="32"/>
          <w:szCs w:val="32"/>
        </w:rPr>
        <w:t>%；电信业务总量32724万元，下降14.7 %。年末固定电话用户数</w:t>
      </w:r>
      <w:r>
        <w:rPr>
          <w:rFonts w:ascii="方正仿宋_GBK" w:hAnsi="方正仿宋_GBK" w:eastAsia="方正仿宋_GBK" w:cs="方正仿宋_GBK"/>
          <w:kern w:val="2"/>
          <w:sz w:val="32"/>
          <w:szCs w:val="32"/>
        </w:rPr>
        <w:t>8.99</w:t>
      </w:r>
      <w:r>
        <w:rPr>
          <w:rFonts w:hint="eastAsia" w:ascii="方正仿宋_GBK" w:hAnsi="方正仿宋_GBK" w:eastAsia="方正仿宋_GBK" w:cs="方正仿宋_GBK"/>
          <w:kern w:val="2"/>
          <w:sz w:val="32"/>
          <w:szCs w:val="32"/>
        </w:rPr>
        <w:t>万户，比上年增长1.7%；移动电话用户</w:t>
      </w:r>
      <w:r>
        <w:rPr>
          <w:rFonts w:ascii="方正仿宋_GBK" w:hAnsi="方正仿宋_GBK" w:eastAsia="方正仿宋_GBK" w:cs="方正仿宋_GBK"/>
          <w:kern w:val="2"/>
          <w:sz w:val="32"/>
          <w:szCs w:val="32"/>
        </w:rPr>
        <w:t>70.33</w:t>
      </w:r>
      <w:r>
        <w:rPr>
          <w:rFonts w:hint="eastAsia" w:ascii="方正仿宋_GBK" w:hAnsi="方正仿宋_GBK" w:eastAsia="方正仿宋_GBK" w:cs="方正仿宋_GBK"/>
          <w:kern w:val="2"/>
          <w:sz w:val="32"/>
          <w:szCs w:val="32"/>
        </w:rPr>
        <w:t>万户，比上年增长10.9%。固定互联网宽带接入用户</w:t>
      </w:r>
      <w:r>
        <w:rPr>
          <w:rFonts w:ascii="方正仿宋_GBK" w:hAnsi="方正仿宋_GBK" w:eastAsia="方正仿宋_GBK" w:cs="方正仿宋_GBK"/>
          <w:kern w:val="2"/>
          <w:sz w:val="32"/>
          <w:szCs w:val="32"/>
        </w:rPr>
        <w:t>18.22</w:t>
      </w:r>
      <w:r>
        <w:rPr>
          <w:rFonts w:hint="eastAsia" w:ascii="方正仿宋_GBK" w:hAnsi="方正仿宋_GBK" w:eastAsia="方正仿宋_GBK" w:cs="方正仿宋_GBK"/>
          <w:kern w:val="2"/>
          <w:sz w:val="32"/>
          <w:szCs w:val="32"/>
        </w:rPr>
        <w:t>万户，比上年增长</w:t>
      </w:r>
      <w:r>
        <w:rPr>
          <w:rFonts w:ascii="方正仿宋_GBK" w:hAnsi="方正仿宋_GBK" w:eastAsia="方正仿宋_GBK" w:cs="方正仿宋_GBK"/>
          <w:kern w:val="2"/>
          <w:sz w:val="32"/>
          <w:szCs w:val="32"/>
        </w:rPr>
        <w:t>27.4</w:t>
      </w:r>
      <w:r>
        <w:rPr>
          <w:rFonts w:hint="eastAsia" w:ascii="方正仿宋_GBK" w:hAnsi="方正仿宋_GBK" w:eastAsia="方正仿宋_GBK" w:cs="方正仿宋_GBK"/>
          <w:kern w:val="2"/>
          <w:sz w:val="32"/>
          <w:szCs w:val="32"/>
        </w:rPr>
        <w:t>%；手机上网用户</w:t>
      </w:r>
      <w:r>
        <w:rPr>
          <w:rFonts w:ascii="方正仿宋_GBK" w:hAnsi="方正仿宋_GBK" w:eastAsia="方正仿宋_GBK" w:cs="方正仿宋_GBK"/>
          <w:kern w:val="2"/>
          <w:sz w:val="32"/>
          <w:szCs w:val="32"/>
        </w:rPr>
        <w:t>52.87</w:t>
      </w:r>
      <w:r>
        <w:rPr>
          <w:rFonts w:hint="eastAsia" w:ascii="方正仿宋_GBK" w:hAnsi="方正仿宋_GBK" w:eastAsia="方正仿宋_GBK" w:cs="方正仿宋_GBK"/>
          <w:kern w:val="2"/>
          <w:sz w:val="32"/>
          <w:szCs w:val="32"/>
        </w:rPr>
        <w:t>万户，比上年增长</w:t>
      </w:r>
      <w:r>
        <w:rPr>
          <w:rFonts w:ascii="方正仿宋_GBK" w:hAnsi="方正仿宋_GBK" w:eastAsia="方正仿宋_GBK" w:cs="方正仿宋_GBK"/>
          <w:kern w:val="2"/>
          <w:sz w:val="32"/>
          <w:szCs w:val="32"/>
        </w:rPr>
        <w:t>6.6</w:t>
      </w:r>
      <w:r>
        <w:rPr>
          <w:rFonts w:hint="eastAsia" w:ascii="方正仿宋_GBK" w:hAnsi="方正仿宋_GBK" w:eastAsia="方正仿宋_GBK" w:cs="方正仿宋_GBK"/>
          <w:kern w:val="2"/>
          <w:sz w:val="32"/>
          <w:szCs w:val="32"/>
        </w:rPr>
        <w:t>%；互联网用户</w:t>
      </w:r>
      <w:r>
        <w:rPr>
          <w:rFonts w:ascii="方正仿宋_GBK" w:hAnsi="方正仿宋_GBK" w:eastAsia="方正仿宋_GBK" w:cs="方正仿宋_GBK"/>
          <w:kern w:val="2"/>
          <w:sz w:val="32"/>
          <w:szCs w:val="32"/>
        </w:rPr>
        <w:t>62.64</w:t>
      </w:r>
      <w:r>
        <w:rPr>
          <w:rFonts w:hint="eastAsia" w:ascii="方正仿宋_GBK" w:hAnsi="方正仿宋_GBK" w:eastAsia="方正仿宋_GBK" w:cs="方正仿宋_GBK"/>
          <w:kern w:val="2"/>
          <w:sz w:val="32"/>
          <w:szCs w:val="32"/>
        </w:rPr>
        <w:t>万户，</w:t>
      </w:r>
      <w:r>
        <w:rPr>
          <w:rFonts w:ascii="方正仿宋_GBK" w:hAnsi="方正仿宋_GBK" w:eastAsia="方正仿宋_GBK" w:cs="方正仿宋_GBK"/>
          <w:kern w:val="2"/>
          <w:sz w:val="32"/>
          <w:szCs w:val="32"/>
        </w:rPr>
        <w:t>比上年增长</w:t>
      </w:r>
      <w:r>
        <w:rPr>
          <w:rFonts w:hint="eastAsia" w:ascii="方正仿宋_GBK" w:hAnsi="方正仿宋_GBK" w:eastAsia="方正仿宋_GBK" w:cs="方正仿宋_GBK"/>
          <w:kern w:val="2"/>
          <w:sz w:val="32"/>
          <w:szCs w:val="32"/>
        </w:rPr>
        <w:t>7.9</w:t>
      </w:r>
      <w:r>
        <w:rPr>
          <w:rFonts w:ascii="方正仿宋_GBK" w:hAnsi="方正仿宋_GBK" w:eastAsia="方正仿宋_GBK" w:cs="方正仿宋_GBK"/>
          <w:kern w:val="2"/>
          <w:sz w:val="32"/>
          <w:szCs w:val="32"/>
        </w:rPr>
        <w:t>%</w:t>
      </w:r>
      <w:r>
        <w:rPr>
          <w:rFonts w:hint="eastAsia" w:ascii="方正仿宋_GBK" w:hAnsi="方正仿宋_GBK" w:eastAsia="方正仿宋_GBK" w:cs="方正仿宋_GBK"/>
          <w:kern w:val="2"/>
          <w:sz w:val="32"/>
          <w:szCs w:val="32"/>
        </w:rPr>
        <w:t>。</w:t>
      </w:r>
    </w:p>
    <w:p>
      <w:pPr>
        <w:pStyle w:val="5"/>
        <w:spacing w:before="0" w:beforeAutospacing="0" w:after="0" w:afterAutospacing="0"/>
        <w:ind w:left="45" w:right="45" w:firstLine="640" w:firstLineChars="200"/>
        <w:jc w:val="both"/>
        <w:rPr>
          <w:rFonts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rPr>
        <w:t>旅游业加快发展。全年接待游客人数</w:t>
      </w:r>
      <w:r>
        <w:rPr>
          <w:rFonts w:ascii="方正仿宋_GBK" w:hAnsi="方正仿宋_GBK" w:eastAsia="方正仿宋_GBK" w:cs="方正仿宋_GBK"/>
          <w:kern w:val="2"/>
          <w:sz w:val="32"/>
          <w:szCs w:val="32"/>
        </w:rPr>
        <w:t>559</w:t>
      </w:r>
      <w:r>
        <w:rPr>
          <w:rFonts w:hint="eastAsia" w:ascii="方正仿宋_GBK" w:hAnsi="方正仿宋_GBK" w:eastAsia="方正仿宋_GBK" w:cs="方正仿宋_GBK"/>
          <w:kern w:val="2"/>
          <w:sz w:val="32"/>
          <w:szCs w:val="32"/>
        </w:rPr>
        <w:t>万人次，比上年增长</w:t>
      </w:r>
      <w:r>
        <w:rPr>
          <w:rFonts w:ascii="方正仿宋_GBK" w:hAnsi="方正仿宋_GBK" w:eastAsia="方正仿宋_GBK" w:cs="方正仿宋_GBK"/>
          <w:kern w:val="2"/>
          <w:sz w:val="32"/>
          <w:szCs w:val="32"/>
        </w:rPr>
        <w:t>13</w:t>
      </w:r>
      <w:r>
        <w:rPr>
          <w:rFonts w:hint="eastAsia" w:ascii="方正仿宋_GBK" w:hAnsi="方正仿宋_GBK" w:eastAsia="方正仿宋_GBK" w:cs="方正仿宋_GBK"/>
          <w:kern w:val="2"/>
          <w:sz w:val="32"/>
          <w:szCs w:val="32"/>
        </w:rPr>
        <w:t>.6%；实现旅游总收入</w:t>
      </w:r>
      <w:r>
        <w:rPr>
          <w:rFonts w:ascii="方正仿宋_GBK" w:hAnsi="方正仿宋_GBK" w:eastAsia="方正仿宋_GBK" w:cs="方正仿宋_GBK"/>
          <w:kern w:val="2"/>
          <w:sz w:val="32"/>
          <w:szCs w:val="32"/>
        </w:rPr>
        <w:t>17.91</w:t>
      </w:r>
      <w:r>
        <w:rPr>
          <w:rFonts w:hint="eastAsia" w:ascii="方正仿宋_GBK" w:hAnsi="方正仿宋_GBK" w:eastAsia="方正仿宋_GBK" w:cs="方正仿宋_GBK"/>
          <w:kern w:val="2"/>
          <w:sz w:val="32"/>
          <w:szCs w:val="32"/>
        </w:rPr>
        <w:t>亿元，比上年增长</w:t>
      </w:r>
      <w:r>
        <w:rPr>
          <w:rFonts w:ascii="方正仿宋_GBK" w:hAnsi="方正仿宋_GBK" w:eastAsia="方正仿宋_GBK" w:cs="方正仿宋_GBK"/>
          <w:kern w:val="2"/>
          <w:sz w:val="32"/>
          <w:szCs w:val="32"/>
        </w:rPr>
        <w:t>30.0</w:t>
      </w:r>
      <w:r>
        <w:rPr>
          <w:rFonts w:hint="eastAsia" w:ascii="方正仿宋_GBK" w:hAnsi="方正仿宋_GBK" w:eastAsia="方正仿宋_GBK" w:cs="方正仿宋_GBK"/>
          <w:kern w:val="2"/>
          <w:sz w:val="32"/>
          <w:szCs w:val="32"/>
        </w:rPr>
        <w:t>％。年末全区拥有A级旅游景区4个，其中4A级景区1个，3A级景区3个。</w:t>
      </w:r>
    </w:p>
    <w:p>
      <w:pPr>
        <w:pStyle w:val="5"/>
        <w:spacing w:before="0" w:beforeAutospacing="0" w:after="0" w:afterAutospacing="0"/>
        <w:ind w:left="44" w:right="44" w:firstLine="643" w:firstLineChars="200"/>
        <w:jc w:val="both"/>
        <w:rPr>
          <w:rStyle w:val="8"/>
          <w:rFonts w:ascii="方正黑体_GBK" w:hAnsi="方正黑体_GBK" w:eastAsia="方正黑体_GBK" w:cs="方正黑体_GBK"/>
          <w:sz w:val="32"/>
          <w:szCs w:val="32"/>
        </w:rPr>
      </w:pPr>
      <w:r>
        <w:rPr>
          <w:rStyle w:val="8"/>
          <w:rFonts w:hint="eastAsia" w:ascii="方正黑体_GBK" w:hAnsi="方正黑体_GBK" w:eastAsia="方正黑体_GBK" w:cs="方正黑体_GBK"/>
          <w:sz w:val="32"/>
          <w:szCs w:val="32"/>
        </w:rPr>
        <w:t>八、金融</w:t>
      </w:r>
    </w:p>
    <w:p>
      <w:pPr>
        <w:ind w:firstLine="640" w:firstLineChars="200"/>
        <w:jc w:val="left"/>
        <w:rPr>
          <w:rFonts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金融市场稳健运行。全年金融业实现增加值230842万元，比上年增长9.1%,占全区生产总值的4.6%。不良贷款率为0.42%。</w:t>
      </w:r>
    </w:p>
    <w:p>
      <w:pPr>
        <w:ind w:firstLine="640" w:firstLineChars="200"/>
        <w:jc w:val="left"/>
        <w:rPr>
          <w:rFonts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金融市场规模进一步扩大。年末全区金融机构各项存款余额达到3499354万元，比年初增加</w:t>
      </w:r>
      <w:r>
        <w:rPr>
          <w:rFonts w:ascii="方正仿宋_GBK" w:hAnsi="方正仿宋_GBK" w:eastAsia="方正仿宋_GBK" w:cs="方正仿宋_GBK"/>
          <w:kern w:val="0"/>
          <w:sz w:val="32"/>
          <w:szCs w:val="32"/>
        </w:rPr>
        <w:t>138344</w:t>
      </w:r>
      <w:r>
        <w:rPr>
          <w:rFonts w:hint="eastAsia" w:ascii="方正仿宋_GBK" w:hAnsi="方正仿宋_GBK" w:eastAsia="方正仿宋_GBK" w:cs="方正仿宋_GBK"/>
          <w:kern w:val="0"/>
          <w:sz w:val="32"/>
          <w:szCs w:val="32"/>
        </w:rPr>
        <w:t>万元，增长4.1%。其中，住户存款余额</w:t>
      </w:r>
      <w:r>
        <w:rPr>
          <w:rFonts w:ascii="方正仿宋_GBK" w:hAnsi="方正仿宋_GBK" w:eastAsia="方正仿宋_GBK" w:cs="方正仿宋_GBK"/>
          <w:kern w:val="0"/>
          <w:sz w:val="32"/>
          <w:szCs w:val="32"/>
        </w:rPr>
        <w:t>2646229</w:t>
      </w:r>
      <w:r>
        <w:rPr>
          <w:rFonts w:hint="eastAsia" w:ascii="方正仿宋_GBK" w:hAnsi="方正仿宋_GBK" w:eastAsia="方正仿宋_GBK" w:cs="方正仿宋_GBK"/>
          <w:kern w:val="0"/>
          <w:sz w:val="32"/>
          <w:szCs w:val="32"/>
        </w:rPr>
        <w:t>万元，比年初增长10.3%。年末金融机构贷款余额达到</w:t>
      </w:r>
      <w:r>
        <w:rPr>
          <w:rFonts w:ascii="方正仿宋_GBK" w:hAnsi="方正仿宋_GBK" w:eastAsia="方正仿宋_GBK" w:cs="方正仿宋_GBK"/>
          <w:kern w:val="0"/>
          <w:sz w:val="32"/>
          <w:szCs w:val="32"/>
        </w:rPr>
        <w:t>2715329</w:t>
      </w:r>
      <w:r>
        <w:rPr>
          <w:rFonts w:hint="eastAsia" w:ascii="方正仿宋_GBK" w:hAnsi="方正仿宋_GBK" w:eastAsia="方正仿宋_GBK" w:cs="方正仿宋_GBK"/>
          <w:kern w:val="0"/>
          <w:sz w:val="32"/>
          <w:szCs w:val="32"/>
        </w:rPr>
        <w:t>万元，比年初增加446489万元，增长19.7%。其中，个人消费贷款</w:t>
      </w:r>
      <w:r>
        <w:rPr>
          <w:rFonts w:ascii="方正仿宋_GBK" w:hAnsi="方正仿宋_GBK" w:eastAsia="方正仿宋_GBK" w:cs="方正仿宋_GBK"/>
          <w:kern w:val="0"/>
          <w:sz w:val="32"/>
          <w:szCs w:val="32"/>
        </w:rPr>
        <w:t>907830</w:t>
      </w:r>
      <w:r>
        <w:rPr>
          <w:rFonts w:hint="eastAsia" w:ascii="方正仿宋_GBK" w:hAnsi="方正仿宋_GBK" w:eastAsia="方正仿宋_GBK" w:cs="方正仿宋_GBK"/>
          <w:kern w:val="0"/>
          <w:sz w:val="32"/>
          <w:szCs w:val="32"/>
        </w:rPr>
        <w:t>万元，增长6.7%。</w:t>
      </w:r>
    </w:p>
    <w:p>
      <w:pPr>
        <w:ind w:firstLine="562" w:firstLineChars="200"/>
        <w:jc w:val="center"/>
        <w:rPr>
          <w:rFonts w:ascii="方正仿宋_GBK" w:hAnsi="方正仿宋_GBK" w:eastAsia="方正仿宋_GBK" w:cs="方正仿宋_GBK"/>
          <w:b/>
          <w:bCs/>
          <w:kern w:val="0"/>
          <w:sz w:val="28"/>
          <w:szCs w:val="28"/>
        </w:rPr>
      </w:pPr>
      <w:r>
        <w:rPr>
          <w:rFonts w:hint="eastAsia" w:ascii="方正仿宋_GBK" w:hAnsi="方正仿宋_GBK" w:eastAsia="方正仿宋_GBK" w:cs="方正仿宋_GBK"/>
          <w:b/>
          <w:bCs/>
          <w:kern w:val="0"/>
          <w:sz w:val="28"/>
          <w:szCs w:val="28"/>
        </w:rPr>
        <w:t>表6　　2018年末金融机构存贷款余额</w:t>
      </w:r>
    </w:p>
    <w:tbl>
      <w:tblPr>
        <w:tblStyle w:val="6"/>
        <w:tblW w:w="7800" w:type="dxa"/>
        <w:tblInd w:w="648" w:type="dxa"/>
        <w:tblLayout w:type="fixed"/>
        <w:tblCellMar>
          <w:top w:w="0" w:type="dxa"/>
          <w:left w:w="108" w:type="dxa"/>
          <w:bottom w:w="0" w:type="dxa"/>
          <w:right w:w="108" w:type="dxa"/>
        </w:tblCellMar>
      </w:tblPr>
      <w:tblGrid>
        <w:gridCol w:w="3120"/>
        <w:gridCol w:w="2538"/>
        <w:gridCol w:w="2142"/>
      </w:tblGrid>
      <w:tr>
        <w:tblPrEx>
          <w:tblLayout w:type="fixed"/>
          <w:tblCellMar>
            <w:top w:w="0" w:type="dxa"/>
            <w:left w:w="108" w:type="dxa"/>
            <w:bottom w:w="0" w:type="dxa"/>
            <w:right w:w="108" w:type="dxa"/>
          </w:tblCellMar>
        </w:tblPrEx>
        <w:trPr>
          <w:trHeight w:val="1025" w:hRule="atLeast"/>
        </w:trPr>
        <w:tc>
          <w:tcPr>
            <w:tcW w:w="3120" w:type="dxa"/>
            <w:tcBorders>
              <w:top w:val="single" w:color="auto" w:sz="4" w:space="0"/>
              <w:left w:val="nil"/>
              <w:bottom w:val="single" w:color="auto" w:sz="4" w:space="0"/>
              <w:right w:val="single" w:color="auto" w:sz="4" w:space="0"/>
            </w:tcBorders>
            <w:vAlign w:val="center"/>
          </w:tcPr>
          <w:p>
            <w:pPr>
              <w:widowControl/>
              <w:shd w:val="clear" w:color="auto" w:fill="FFFFFF"/>
              <w:spacing w:line="360" w:lineRule="auto"/>
              <w:ind w:firstLine="482" w:firstLineChars="200"/>
              <w:jc w:val="center"/>
              <w:rPr>
                <w:rFonts w:ascii="方正仿宋_GBK" w:hAnsi="方正仿宋_GBK" w:eastAsia="方正仿宋_GBK" w:cs="方正仿宋_GBK"/>
                <w:b/>
                <w:bCs/>
                <w:kern w:val="0"/>
                <w:sz w:val="24"/>
              </w:rPr>
            </w:pPr>
            <w:r>
              <w:rPr>
                <w:rFonts w:hint="eastAsia" w:ascii="方正仿宋_GBK" w:hAnsi="方正仿宋_GBK" w:eastAsia="方正仿宋_GBK" w:cs="方正仿宋_GBK"/>
                <w:b/>
                <w:bCs/>
                <w:kern w:val="0"/>
                <w:sz w:val="24"/>
              </w:rPr>
              <w:t>指标</w:t>
            </w:r>
          </w:p>
        </w:tc>
        <w:tc>
          <w:tcPr>
            <w:tcW w:w="2538" w:type="dxa"/>
            <w:tcBorders>
              <w:top w:val="single" w:color="auto" w:sz="4" w:space="0"/>
              <w:left w:val="single" w:color="auto" w:sz="4" w:space="0"/>
              <w:bottom w:val="single" w:color="auto" w:sz="4" w:space="0"/>
              <w:right w:val="single" w:color="auto" w:sz="4" w:space="0"/>
            </w:tcBorders>
            <w:vAlign w:val="center"/>
          </w:tcPr>
          <w:p>
            <w:pPr>
              <w:widowControl/>
              <w:shd w:val="clear" w:color="auto" w:fill="FFFFFF"/>
              <w:spacing w:line="360" w:lineRule="auto"/>
              <w:ind w:firstLine="482" w:firstLineChars="200"/>
              <w:jc w:val="center"/>
              <w:rPr>
                <w:rFonts w:ascii="方正仿宋_GBK" w:hAnsi="方正仿宋_GBK" w:eastAsia="方正仿宋_GBK" w:cs="方正仿宋_GBK"/>
                <w:b/>
                <w:bCs/>
                <w:kern w:val="0"/>
                <w:sz w:val="24"/>
              </w:rPr>
            </w:pPr>
            <w:r>
              <w:rPr>
                <w:rFonts w:hint="eastAsia" w:ascii="方正仿宋_GBK" w:hAnsi="方正仿宋_GBK" w:eastAsia="方正仿宋_GBK" w:cs="方正仿宋_GBK"/>
                <w:b/>
                <w:bCs/>
                <w:kern w:val="0"/>
                <w:sz w:val="24"/>
              </w:rPr>
              <w:t>年末数（万元）</w:t>
            </w:r>
          </w:p>
        </w:tc>
        <w:tc>
          <w:tcPr>
            <w:tcW w:w="2142" w:type="dxa"/>
            <w:tcBorders>
              <w:top w:val="single" w:color="auto" w:sz="4" w:space="0"/>
              <w:left w:val="single" w:color="auto" w:sz="4" w:space="0"/>
              <w:bottom w:val="single" w:color="auto" w:sz="4" w:space="0"/>
              <w:right w:val="nil"/>
            </w:tcBorders>
            <w:vAlign w:val="center"/>
          </w:tcPr>
          <w:p>
            <w:pPr>
              <w:widowControl/>
              <w:shd w:val="clear" w:color="auto" w:fill="FFFFFF"/>
              <w:spacing w:line="360" w:lineRule="auto"/>
              <w:ind w:firstLine="482" w:firstLineChars="200"/>
              <w:jc w:val="center"/>
              <w:rPr>
                <w:rFonts w:ascii="方正仿宋_GBK" w:hAnsi="方正仿宋_GBK" w:eastAsia="方正仿宋_GBK" w:cs="方正仿宋_GBK"/>
                <w:b/>
                <w:bCs/>
                <w:kern w:val="0"/>
                <w:sz w:val="24"/>
              </w:rPr>
            </w:pPr>
            <w:r>
              <w:rPr>
                <w:rFonts w:hint="eastAsia" w:ascii="方正仿宋_GBK" w:hAnsi="方正仿宋_GBK" w:eastAsia="方正仿宋_GBK" w:cs="方正仿宋_GBK"/>
                <w:b/>
                <w:bCs/>
                <w:kern w:val="0"/>
                <w:sz w:val="24"/>
              </w:rPr>
              <w:t>比年初±％</w:t>
            </w:r>
          </w:p>
        </w:tc>
      </w:tr>
      <w:tr>
        <w:tblPrEx>
          <w:tblLayout w:type="fixed"/>
          <w:tblCellMar>
            <w:top w:w="0" w:type="dxa"/>
            <w:left w:w="108" w:type="dxa"/>
            <w:bottom w:w="0" w:type="dxa"/>
            <w:right w:w="108" w:type="dxa"/>
          </w:tblCellMar>
        </w:tblPrEx>
        <w:trPr>
          <w:trHeight w:val="920" w:hRule="exact"/>
        </w:trPr>
        <w:tc>
          <w:tcPr>
            <w:tcW w:w="3120" w:type="dxa"/>
            <w:tcBorders>
              <w:top w:val="single" w:color="auto" w:sz="4" w:space="0"/>
              <w:left w:val="nil"/>
              <w:bottom w:val="nil"/>
              <w:right w:val="single" w:color="auto" w:sz="4" w:space="0"/>
            </w:tcBorders>
            <w:vAlign w:val="center"/>
          </w:tcPr>
          <w:p>
            <w:pPr>
              <w:rPr>
                <w:rFonts w:ascii="方正仿宋_GBK" w:hAnsi="方正仿宋_GBK" w:eastAsia="方正仿宋_GBK" w:cs="方正仿宋_GBK"/>
                <w:sz w:val="24"/>
              </w:rPr>
            </w:pPr>
            <w:r>
              <w:rPr>
                <w:rFonts w:hint="eastAsia" w:ascii="方正仿宋_GBK" w:hAnsi="方正仿宋_GBK" w:eastAsia="方正仿宋_GBK" w:cs="方正仿宋_GBK"/>
                <w:sz w:val="24"/>
              </w:rPr>
              <w:t>金融机构存款余额</w:t>
            </w:r>
          </w:p>
        </w:tc>
        <w:tc>
          <w:tcPr>
            <w:tcW w:w="2538" w:type="dxa"/>
            <w:tcBorders>
              <w:top w:val="nil"/>
              <w:left w:val="nil"/>
              <w:bottom w:val="nil"/>
              <w:right w:val="nil"/>
            </w:tcBorders>
            <w:vAlign w:val="center"/>
          </w:tcPr>
          <w:p>
            <w:pPr>
              <w:widowControl/>
              <w:jc w:val="center"/>
              <w:rPr>
                <w:color w:val="000000"/>
                <w:kern w:val="0"/>
                <w:sz w:val="24"/>
              </w:rPr>
            </w:pPr>
            <w:r>
              <w:rPr>
                <w:rFonts w:hint="eastAsia"/>
                <w:color w:val="000000"/>
                <w:sz w:val="24"/>
              </w:rPr>
              <w:t>3499354</w:t>
            </w:r>
          </w:p>
        </w:tc>
        <w:tc>
          <w:tcPr>
            <w:tcW w:w="2142" w:type="dxa"/>
            <w:tcBorders>
              <w:top w:val="nil"/>
              <w:left w:val="nil"/>
              <w:bottom w:val="nil"/>
              <w:right w:val="nil"/>
            </w:tcBorders>
            <w:vAlign w:val="center"/>
          </w:tcPr>
          <w:p>
            <w:pPr>
              <w:jc w:val="center"/>
              <w:rPr>
                <w:color w:val="000000"/>
                <w:sz w:val="24"/>
              </w:rPr>
            </w:pPr>
            <w:r>
              <w:rPr>
                <w:rFonts w:hint="eastAsia"/>
                <w:color w:val="000000"/>
                <w:sz w:val="24"/>
              </w:rPr>
              <w:t>4.1</w:t>
            </w:r>
          </w:p>
        </w:tc>
      </w:tr>
      <w:tr>
        <w:tblPrEx>
          <w:tblLayout w:type="fixed"/>
          <w:tblCellMar>
            <w:top w:w="0" w:type="dxa"/>
            <w:left w:w="108" w:type="dxa"/>
            <w:bottom w:w="0" w:type="dxa"/>
            <w:right w:w="108" w:type="dxa"/>
          </w:tblCellMar>
        </w:tblPrEx>
        <w:trPr>
          <w:trHeight w:val="920" w:hRule="exact"/>
        </w:trPr>
        <w:tc>
          <w:tcPr>
            <w:tcW w:w="3120" w:type="dxa"/>
            <w:tcBorders>
              <w:top w:val="nil"/>
              <w:left w:val="nil"/>
              <w:bottom w:val="nil"/>
              <w:right w:val="single" w:color="auto" w:sz="4" w:space="0"/>
            </w:tcBorders>
            <w:vAlign w:val="center"/>
          </w:tcPr>
          <w:p>
            <w:pPr>
              <w:ind w:firstLine="240" w:firstLineChars="100"/>
              <w:rPr>
                <w:rFonts w:ascii="方正仿宋_GBK" w:hAnsi="方正仿宋_GBK" w:eastAsia="方正仿宋_GBK" w:cs="方正仿宋_GBK"/>
                <w:sz w:val="24"/>
              </w:rPr>
            </w:pPr>
            <w:r>
              <w:rPr>
                <w:rFonts w:hint="eastAsia" w:ascii="方正仿宋_GBK" w:hAnsi="方正仿宋_GBK" w:eastAsia="方正仿宋_GBK" w:cs="方正仿宋_GBK"/>
                <w:sz w:val="24"/>
              </w:rPr>
              <w:t>＃企事业单位存款</w:t>
            </w:r>
          </w:p>
        </w:tc>
        <w:tc>
          <w:tcPr>
            <w:tcW w:w="2538" w:type="dxa"/>
            <w:tcBorders>
              <w:top w:val="nil"/>
              <w:left w:val="nil"/>
              <w:bottom w:val="nil"/>
              <w:right w:val="nil"/>
            </w:tcBorders>
            <w:vAlign w:val="center"/>
          </w:tcPr>
          <w:p>
            <w:pPr>
              <w:jc w:val="center"/>
              <w:rPr>
                <w:color w:val="000000"/>
                <w:sz w:val="24"/>
              </w:rPr>
            </w:pPr>
            <w:r>
              <w:rPr>
                <w:rFonts w:hint="eastAsia"/>
                <w:color w:val="000000"/>
                <w:sz w:val="24"/>
              </w:rPr>
              <w:t>792809</w:t>
            </w:r>
          </w:p>
        </w:tc>
        <w:tc>
          <w:tcPr>
            <w:tcW w:w="2142" w:type="dxa"/>
            <w:tcBorders>
              <w:top w:val="nil"/>
              <w:left w:val="nil"/>
              <w:bottom w:val="nil"/>
              <w:right w:val="nil"/>
            </w:tcBorders>
            <w:vAlign w:val="center"/>
          </w:tcPr>
          <w:p>
            <w:pPr>
              <w:jc w:val="center"/>
              <w:rPr>
                <w:color w:val="000000"/>
                <w:sz w:val="24"/>
              </w:rPr>
            </w:pPr>
            <w:r>
              <w:rPr>
                <w:rFonts w:hint="eastAsia"/>
                <w:color w:val="000000"/>
                <w:sz w:val="24"/>
              </w:rPr>
              <w:t>-14.0</w:t>
            </w:r>
          </w:p>
        </w:tc>
      </w:tr>
      <w:tr>
        <w:tblPrEx>
          <w:tblLayout w:type="fixed"/>
          <w:tblCellMar>
            <w:top w:w="0" w:type="dxa"/>
            <w:left w:w="108" w:type="dxa"/>
            <w:bottom w:w="0" w:type="dxa"/>
            <w:right w:w="108" w:type="dxa"/>
          </w:tblCellMar>
        </w:tblPrEx>
        <w:trPr>
          <w:trHeight w:val="920" w:hRule="exact"/>
        </w:trPr>
        <w:tc>
          <w:tcPr>
            <w:tcW w:w="3120" w:type="dxa"/>
            <w:tcBorders>
              <w:top w:val="nil"/>
              <w:left w:val="nil"/>
              <w:bottom w:val="nil"/>
              <w:right w:val="single" w:color="auto" w:sz="4" w:space="0"/>
            </w:tcBorders>
            <w:vAlign w:val="center"/>
          </w:tcPr>
          <w:p>
            <w:pPr>
              <w:ind w:firstLine="480" w:firstLineChars="200"/>
              <w:rPr>
                <w:rFonts w:ascii="方正仿宋_GBK" w:hAnsi="方正仿宋_GBK" w:eastAsia="方正仿宋_GBK" w:cs="方正仿宋_GBK"/>
                <w:sz w:val="24"/>
              </w:rPr>
            </w:pPr>
            <w:r>
              <w:rPr>
                <w:rFonts w:hint="eastAsia" w:ascii="方正仿宋_GBK" w:hAnsi="方正仿宋_GBK" w:eastAsia="方正仿宋_GBK" w:cs="方正仿宋_GBK"/>
                <w:sz w:val="24"/>
              </w:rPr>
              <w:t>住户存款</w:t>
            </w:r>
          </w:p>
        </w:tc>
        <w:tc>
          <w:tcPr>
            <w:tcW w:w="2538" w:type="dxa"/>
            <w:tcBorders>
              <w:top w:val="nil"/>
              <w:left w:val="nil"/>
              <w:bottom w:val="nil"/>
              <w:right w:val="nil"/>
            </w:tcBorders>
            <w:vAlign w:val="center"/>
          </w:tcPr>
          <w:p>
            <w:pPr>
              <w:jc w:val="center"/>
              <w:rPr>
                <w:color w:val="000000"/>
                <w:sz w:val="24"/>
              </w:rPr>
            </w:pPr>
            <w:r>
              <w:rPr>
                <w:rFonts w:hint="eastAsia"/>
                <w:color w:val="000000"/>
                <w:sz w:val="24"/>
              </w:rPr>
              <w:t>2646229</w:t>
            </w:r>
          </w:p>
        </w:tc>
        <w:tc>
          <w:tcPr>
            <w:tcW w:w="2142" w:type="dxa"/>
            <w:tcBorders>
              <w:top w:val="nil"/>
              <w:left w:val="nil"/>
              <w:bottom w:val="nil"/>
              <w:right w:val="nil"/>
            </w:tcBorders>
            <w:vAlign w:val="center"/>
          </w:tcPr>
          <w:p>
            <w:pPr>
              <w:jc w:val="center"/>
              <w:rPr>
                <w:color w:val="000000"/>
                <w:sz w:val="24"/>
              </w:rPr>
            </w:pPr>
            <w:r>
              <w:rPr>
                <w:rFonts w:hint="eastAsia"/>
                <w:color w:val="000000"/>
                <w:sz w:val="24"/>
              </w:rPr>
              <w:t>10.3</w:t>
            </w:r>
          </w:p>
        </w:tc>
      </w:tr>
      <w:tr>
        <w:tblPrEx>
          <w:tblLayout w:type="fixed"/>
          <w:tblCellMar>
            <w:top w:w="0" w:type="dxa"/>
            <w:left w:w="108" w:type="dxa"/>
            <w:bottom w:w="0" w:type="dxa"/>
            <w:right w:w="108" w:type="dxa"/>
          </w:tblCellMar>
        </w:tblPrEx>
        <w:trPr>
          <w:trHeight w:val="920" w:hRule="exact"/>
        </w:trPr>
        <w:tc>
          <w:tcPr>
            <w:tcW w:w="3120" w:type="dxa"/>
            <w:tcBorders>
              <w:top w:val="nil"/>
              <w:left w:val="nil"/>
              <w:bottom w:val="nil"/>
              <w:right w:val="single" w:color="auto" w:sz="4" w:space="0"/>
            </w:tcBorders>
            <w:vAlign w:val="center"/>
          </w:tcPr>
          <w:p>
            <w:pPr>
              <w:rPr>
                <w:rFonts w:ascii="方正仿宋_GBK" w:hAnsi="方正仿宋_GBK" w:eastAsia="方正仿宋_GBK" w:cs="方正仿宋_GBK"/>
                <w:sz w:val="24"/>
              </w:rPr>
            </w:pPr>
            <w:r>
              <w:rPr>
                <w:rFonts w:hint="eastAsia" w:ascii="方正仿宋_GBK" w:hAnsi="方正仿宋_GBK" w:eastAsia="方正仿宋_GBK" w:cs="方正仿宋_GBK"/>
                <w:sz w:val="24"/>
              </w:rPr>
              <w:t>金融机构贷款余额</w:t>
            </w:r>
          </w:p>
        </w:tc>
        <w:tc>
          <w:tcPr>
            <w:tcW w:w="2538" w:type="dxa"/>
            <w:tcBorders>
              <w:top w:val="nil"/>
              <w:left w:val="nil"/>
              <w:bottom w:val="nil"/>
              <w:right w:val="nil"/>
            </w:tcBorders>
            <w:vAlign w:val="center"/>
          </w:tcPr>
          <w:p>
            <w:pPr>
              <w:jc w:val="center"/>
              <w:rPr>
                <w:color w:val="000000"/>
                <w:sz w:val="24"/>
              </w:rPr>
            </w:pPr>
            <w:r>
              <w:rPr>
                <w:rFonts w:hint="eastAsia"/>
                <w:color w:val="000000"/>
                <w:sz w:val="24"/>
              </w:rPr>
              <w:t>2715329</w:t>
            </w:r>
          </w:p>
        </w:tc>
        <w:tc>
          <w:tcPr>
            <w:tcW w:w="2142" w:type="dxa"/>
            <w:tcBorders>
              <w:top w:val="nil"/>
              <w:left w:val="nil"/>
              <w:bottom w:val="nil"/>
              <w:right w:val="nil"/>
            </w:tcBorders>
            <w:vAlign w:val="center"/>
          </w:tcPr>
          <w:p>
            <w:pPr>
              <w:jc w:val="center"/>
              <w:rPr>
                <w:color w:val="000000"/>
                <w:sz w:val="24"/>
              </w:rPr>
            </w:pPr>
            <w:r>
              <w:rPr>
                <w:rFonts w:hint="eastAsia"/>
                <w:color w:val="000000"/>
                <w:sz w:val="24"/>
              </w:rPr>
              <w:t>19.7</w:t>
            </w:r>
          </w:p>
        </w:tc>
      </w:tr>
      <w:tr>
        <w:tblPrEx>
          <w:tblLayout w:type="fixed"/>
          <w:tblCellMar>
            <w:top w:w="0" w:type="dxa"/>
            <w:left w:w="108" w:type="dxa"/>
            <w:bottom w:w="0" w:type="dxa"/>
            <w:right w:w="108" w:type="dxa"/>
          </w:tblCellMar>
        </w:tblPrEx>
        <w:trPr>
          <w:trHeight w:val="920" w:hRule="exact"/>
        </w:trPr>
        <w:tc>
          <w:tcPr>
            <w:tcW w:w="3120" w:type="dxa"/>
            <w:tcBorders>
              <w:top w:val="nil"/>
              <w:left w:val="nil"/>
              <w:bottom w:val="nil"/>
              <w:right w:val="single" w:color="auto" w:sz="4" w:space="0"/>
            </w:tcBorders>
            <w:shd w:val="clear" w:color="auto" w:fill="auto"/>
            <w:vAlign w:val="center"/>
          </w:tcPr>
          <w:p>
            <w:pPr>
              <w:ind w:firstLine="240" w:firstLineChars="100"/>
              <w:rPr>
                <w:rFonts w:ascii="方正仿宋_GBK" w:hAnsi="方正仿宋_GBK" w:eastAsia="方正仿宋_GBK" w:cs="方正仿宋_GBK"/>
                <w:sz w:val="24"/>
              </w:rPr>
            </w:pPr>
            <w:r>
              <w:rPr>
                <w:rFonts w:hint="eastAsia" w:ascii="方正仿宋_GBK" w:hAnsi="方正仿宋_GBK" w:eastAsia="方正仿宋_GBK" w:cs="方正仿宋_GBK"/>
                <w:sz w:val="24"/>
              </w:rPr>
              <w:t>＃短期贷款</w:t>
            </w:r>
          </w:p>
        </w:tc>
        <w:tc>
          <w:tcPr>
            <w:tcW w:w="2538" w:type="dxa"/>
            <w:tcBorders>
              <w:top w:val="nil"/>
              <w:left w:val="nil"/>
              <w:bottom w:val="nil"/>
              <w:right w:val="nil"/>
            </w:tcBorders>
            <w:shd w:val="clear" w:color="auto" w:fill="FFFFFF"/>
            <w:vAlign w:val="center"/>
          </w:tcPr>
          <w:p>
            <w:pPr>
              <w:jc w:val="center"/>
              <w:rPr>
                <w:color w:val="000000"/>
                <w:sz w:val="24"/>
              </w:rPr>
            </w:pPr>
            <w:r>
              <w:rPr>
                <w:rFonts w:hint="eastAsia"/>
                <w:color w:val="000000"/>
                <w:sz w:val="24"/>
              </w:rPr>
              <w:t>436197</w:t>
            </w:r>
          </w:p>
        </w:tc>
        <w:tc>
          <w:tcPr>
            <w:tcW w:w="2142" w:type="dxa"/>
            <w:tcBorders>
              <w:top w:val="nil"/>
              <w:left w:val="nil"/>
              <w:bottom w:val="nil"/>
              <w:right w:val="nil"/>
            </w:tcBorders>
            <w:vAlign w:val="center"/>
          </w:tcPr>
          <w:p>
            <w:pPr>
              <w:jc w:val="center"/>
              <w:rPr>
                <w:color w:val="000000"/>
                <w:sz w:val="24"/>
              </w:rPr>
            </w:pPr>
            <w:r>
              <w:rPr>
                <w:rFonts w:hint="eastAsia"/>
                <w:color w:val="000000"/>
                <w:sz w:val="24"/>
              </w:rPr>
              <w:t>1.9</w:t>
            </w:r>
          </w:p>
        </w:tc>
      </w:tr>
      <w:tr>
        <w:tblPrEx>
          <w:tblLayout w:type="fixed"/>
          <w:tblCellMar>
            <w:top w:w="0" w:type="dxa"/>
            <w:left w:w="108" w:type="dxa"/>
            <w:bottom w:w="0" w:type="dxa"/>
            <w:right w:w="108" w:type="dxa"/>
          </w:tblCellMar>
        </w:tblPrEx>
        <w:trPr>
          <w:trHeight w:val="920" w:hRule="exact"/>
        </w:trPr>
        <w:tc>
          <w:tcPr>
            <w:tcW w:w="3120" w:type="dxa"/>
            <w:tcBorders>
              <w:top w:val="nil"/>
              <w:left w:val="nil"/>
              <w:bottom w:val="nil"/>
              <w:right w:val="single" w:color="auto" w:sz="4" w:space="0"/>
            </w:tcBorders>
            <w:shd w:val="clear" w:color="auto" w:fill="auto"/>
            <w:vAlign w:val="center"/>
          </w:tcPr>
          <w:p>
            <w:pPr>
              <w:ind w:firstLine="480" w:firstLineChars="200"/>
              <w:rPr>
                <w:rFonts w:ascii="方正仿宋_GBK" w:hAnsi="方正仿宋_GBK" w:eastAsia="方正仿宋_GBK" w:cs="方正仿宋_GBK"/>
                <w:sz w:val="24"/>
              </w:rPr>
            </w:pPr>
            <w:r>
              <w:rPr>
                <w:rFonts w:hint="eastAsia" w:ascii="方正仿宋_GBK" w:hAnsi="方正仿宋_GBK" w:eastAsia="方正仿宋_GBK" w:cs="方正仿宋_GBK"/>
                <w:sz w:val="24"/>
              </w:rPr>
              <w:t>中长期贷款</w:t>
            </w:r>
          </w:p>
        </w:tc>
        <w:tc>
          <w:tcPr>
            <w:tcW w:w="2538" w:type="dxa"/>
            <w:tcBorders>
              <w:top w:val="nil"/>
              <w:left w:val="nil"/>
              <w:bottom w:val="nil"/>
              <w:right w:val="nil"/>
            </w:tcBorders>
            <w:shd w:val="clear" w:color="auto" w:fill="FFFFFF"/>
            <w:vAlign w:val="center"/>
          </w:tcPr>
          <w:p>
            <w:pPr>
              <w:jc w:val="center"/>
              <w:rPr>
                <w:color w:val="000000"/>
                <w:sz w:val="24"/>
              </w:rPr>
            </w:pPr>
            <w:r>
              <w:rPr>
                <w:rFonts w:hint="eastAsia"/>
                <w:color w:val="000000"/>
                <w:sz w:val="24"/>
              </w:rPr>
              <w:t>2261543</w:t>
            </w:r>
          </w:p>
        </w:tc>
        <w:tc>
          <w:tcPr>
            <w:tcW w:w="2142" w:type="dxa"/>
            <w:tcBorders>
              <w:top w:val="nil"/>
              <w:left w:val="nil"/>
              <w:bottom w:val="nil"/>
              <w:right w:val="nil"/>
            </w:tcBorders>
            <w:vAlign w:val="center"/>
          </w:tcPr>
          <w:p>
            <w:pPr>
              <w:jc w:val="center"/>
              <w:rPr>
                <w:color w:val="000000"/>
                <w:sz w:val="24"/>
              </w:rPr>
            </w:pPr>
            <w:r>
              <w:rPr>
                <w:rFonts w:hint="eastAsia"/>
                <w:color w:val="000000"/>
                <w:sz w:val="24"/>
              </w:rPr>
              <w:t>23.2</w:t>
            </w:r>
          </w:p>
        </w:tc>
      </w:tr>
      <w:tr>
        <w:tblPrEx>
          <w:tblLayout w:type="fixed"/>
          <w:tblCellMar>
            <w:top w:w="0" w:type="dxa"/>
            <w:left w:w="108" w:type="dxa"/>
            <w:bottom w:w="0" w:type="dxa"/>
            <w:right w:w="108" w:type="dxa"/>
          </w:tblCellMar>
        </w:tblPrEx>
        <w:trPr>
          <w:trHeight w:val="920" w:hRule="exact"/>
        </w:trPr>
        <w:tc>
          <w:tcPr>
            <w:tcW w:w="3120" w:type="dxa"/>
            <w:tcBorders>
              <w:top w:val="nil"/>
              <w:left w:val="nil"/>
              <w:right w:val="single" w:color="auto" w:sz="4" w:space="0"/>
            </w:tcBorders>
            <w:vAlign w:val="center"/>
          </w:tcPr>
          <w:p>
            <w:pPr>
              <w:ind w:firstLine="720" w:firstLineChars="300"/>
              <w:rPr>
                <w:rFonts w:ascii="方正仿宋_GBK" w:hAnsi="方正仿宋_GBK" w:eastAsia="方正仿宋_GBK" w:cs="方正仿宋_GBK"/>
                <w:sz w:val="24"/>
              </w:rPr>
            </w:pPr>
            <w:r>
              <w:rPr>
                <w:rFonts w:hint="eastAsia" w:ascii="方正仿宋_GBK" w:hAnsi="方正仿宋_GBK" w:eastAsia="方正仿宋_GBK" w:cs="方正仿宋_GBK"/>
                <w:sz w:val="24"/>
              </w:rPr>
              <w:t>＃个人消费贷款</w:t>
            </w:r>
          </w:p>
        </w:tc>
        <w:tc>
          <w:tcPr>
            <w:tcW w:w="2538" w:type="dxa"/>
            <w:tcBorders>
              <w:top w:val="nil"/>
              <w:left w:val="nil"/>
              <w:right w:val="nil"/>
            </w:tcBorders>
            <w:vAlign w:val="center"/>
          </w:tcPr>
          <w:p>
            <w:pPr>
              <w:jc w:val="center"/>
              <w:rPr>
                <w:color w:val="000000"/>
                <w:sz w:val="24"/>
              </w:rPr>
            </w:pPr>
            <w:r>
              <w:rPr>
                <w:rFonts w:hint="eastAsia"/>
                <w:color w:val="000000"/>
                <w:sz w:val="24"/>
              </w:rPr>
              <w:t>907830</w:t>
            </w:r>
          </w:p>
        </w:tc>
        <w:tc>
          <w:tcPr>
            <w:tcW w:w="2142" w:type="dxa"/>
            <w:tcBorders>
              <w:top w:val="nil"/>
              <w:left w:val="nil"/>
              <w:right w:val="nil"/>
            </w:tcBorders>
            <w:vAlign w:val="center"/>
          </w:tcPr>
          <w:p>
            <w:pPr>
              <w:jc w:val="center"/>
              <w:rPr>
                <w:color w:val="000000"/>
                <w:sz w:val="24"/>
              </w:rPr>
            </w:pPr>
            <w:r>
              <w:rPr>
                <w:rFonts w:hint="eastAsia"/>
                <w:color w:val="000000"/>
                <w:sz w:val="24"/>
              </w:rPr>
              <w:t>6.7</w:t>
            </w:r>
          </w:p>
        </w:tc>
      </w:tr>
      <w:tr>
        <w:tblPrEx>
          <w:tblLayout w:type="fixed"/>
          <w:tblCellMar>
            <w:top w:w="0" w:type="dxa"/>
            <w:left w:w="108" w:type="dxa"/>
            <w:bottom w:w="0" w:type="dxa"/>
            <w:right w:w="108" w:type="dxa"/>
          </w:tblCellMar>
        </w:tblPrEx>
        <w:trPr>
          <w:trHeight w:val="930" w:hRule="exact"/>
        </w:trPr>
        <w:tc>
          <w:tcPr>
            <w:tcW w:w="3120" w:type="dxa"/>
            <w:tcBorders>
              <w:top w:val="nil"/>
              <w:left w:val="nil"/>
              <w:bottom w:val="single" w:color="auto" w:sz="4" w:space="0"/>
              <w:right w:val="single" w:color="auto" w:sz="4" w:space="0"/>
            </w:tcBorders>
            <w:vAlign w:val="center"/>
          </w:tcPr>
          <w:p>
            <w:pPr>
              <w:rPr>
                <w:rFonts w:ascii="方正仿宋_GBK" w:hAnsi="方正仿宋_GBK" w:eastAsia="方正仿宋_GBK" w:cs="方正仿宋_GBK"/>
                <w:sz w:val="24"/>
              </w:rPr>
            </w:pPr>
            <w:r>
              <w:rPr>
                <w:rFonts w:hint="eastAsia" w:ascii="方正仿宋_GBK" w:hAnsi="方正仿宋_GBK" w:eastAsia="方正仿宋_GBK" w:cs="方正仿宋_GBK"/>
                <w:sz w:val="24"/>
              </w:rPr>
              <w:t>＃不良贷款</w:t>
            </w:r>
          </w:p>
        </w:tc>
        <w:tc>
          <w:tcPr>
            <w:tcW w:w="2538" w:type="dxa"/>
            <w:tcBorders>
              <w:top w:val="nil"/>
              <w:left w:val="nil"/>
              <w:bottom w:val="single" w:color="auto" w:sz="4" w:space="0"/>
              <w:right w:val="nil"/>
            </w:tcBorders>
            <w:vAlign w:val="center"/>
          </w:tcPr>
          <w:p>
            <w:pPr>
              <w:jc w:val="center"/>
              <w:rPr>
                <w:color w:val="000000"/>
                <w:sz w:val="24"/>
              </w:rPr>
            </w:pPr>
            <w:r>
              <w:rPr>
                <w:rFonts w:hint="eastAsia"/>
                <w:color w:val="000000"/>
                <w:sz w:val="24"/>
              </w:rPr>
              <w:t>11323</w:t>
            </w:r>
          </w:p>
        </w:tc>
        <w:tc>
          <w:tcPr>
            <w:tcW w:w="2142" w:type="dxa"/>
            <w:tcBorders>
              <w:top w:val="nil"/>
              <w:left w:val="nil"/>
              <w:bottom w:val="single" w:color="auto" w:sz="4" w:space="0"/>
              <w:right w:val="nil"/>
            </w:tcBorders>
            <w:vAlign w:val="center"/>
          </w:tcPr>
          <w:p>
            <w:pPr>
              <w:jc w:val="center"/>
              <w:rPr>
                <w:color w:val="000000"/>
                <w:sz w:val="24"/>
              </w:rPr>
            </w:pPr>
            <w:r>
              <w:rPr>
                <w:rFonts w:hint="eastAsia"/>
                <w:color w:val="000000"/>
                <w:sz w:val="24"/>
              </w:rPr>
              <w:t>-26.2</w:t>
            </w:r>
          </w:p>
        </w:tc>
      </w:tr>
    </w:tbl>
    <w:p>
      <w:pPr>
        <w:ind w:firstLine="640" w:firstLineChars="200"/>
        <w:jc w:val="left"/>
        <w:rPr>
          <w:rFonts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保险业稳定发展。全年保险机构实现保费收入88700万元，增长16.4%。理赔金额29795万元，下降8.4 %。</w:t>
      </w:r>
    </w:p>
    <w:p>
      <w:pPr>
        <w:jc w:val="left"/>
        <w:rPr>
          <w:rStyle w:val="8"/>
          <w:rFonts w:ascii="方正仿宋_GBK" w:hAnsi="方正仿宋_GBK" w:eastAsia="方正仿宋_GBK" w:cs="方正仿宋_GBK"/>
          <w:b w:val="0"/>
          <w:kern w:val="0"/>
          <w:sz w:val="32"/>
          <w:szCs w:val="32"/>
        </w:rPr>
      </w:pPr>
      <w:r>
        <w:drawing>
          <wp:inline distT="0" distB="0" distL="0" distR="0">
            <wp:extent cx="5153025" cy="3571875"/>
            <wp:effectExtent l="0" t="0" r="9525" b="952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Style w:val="5"/>
        <w:spacing w:before="0" w:beforeAutospacing="0" w:after="0" w:afterAutospacing="0"/>
        <w:ind w:left="44" w:right="44" w:firstLine="643" w:firstLineChars="200"/>
        <w:jc w:val="both"/>
        <w:rPr>
          <w:rStyle w:val="8"/>
          <w:rFonts w:ascii="方正黑体_GBK" w:hAnsi="方正黑体_GBK" w:eastAsia="方正黑体_GBK" w:cs="方正黑体_GBK"/>
          <w:sz w:val="32"/>
          <w:szCs w:val="32"/>
        </w:rPr>
      </w:pPr>
      <w:r>
        <w:rPr>
          <w:rStyle w:val="8"/>
          <w:rFonts w:hint="eastAsia" w:ascii="方正黑体_GBK" w:hAnsi="方正黑体_GBK" w:eastAsia="方正黑体_GBK" w:cs="方正黑体_GBK"/>
          <w:sz w:val="32"/>
          <w:szCs w:val="32"/>
        </w:rPr>
        <w:t>九、人民生活和社会保障</w:t>
      </w:r>
    </w:p>
    <w:p>
      <w:pPr>
        <w:pStyle w:val="5"/>
        <w:spacing w:before="0" w:beforeAutospacing="0" w:after="0" w:afterAutospacing="0"/>
        <w:ind w:left="44" w:right="44" w:firstLine="640" w:firstLineChars="200"/>
        <w:rPr>
          <w:rStyle w:val="8"/>
          <w:rFonts w:ascii="方正仿宋_GBK" w:hAnsi="方正仿宋_GBK" w:eastAsia="方正仿宋_GBK" w:cs="方正仿宋_GBK"/>
          <w:b w:val="0"/>
          <w:sz w:val="32"/>
          <w:szCs w:val="32"/>
        </w:rPr>
      </w:pPr>
      <w:r>
        <w:rPr>
          <w:rStyle w:val="8"/>
          <w:rFonts w:hint="eastAsia" w:ascii="方正仿宋_GBK" w:hAnsi="方正仿宋_GBK" w:eastAsia="方正仿宋_GBK" w:cs="方正仿宋_GBK"/>
          <w:b w:val="0"/>
          <w:sz w:val="32"/>
          <w:szCs w:val="32"/>
        </w:rPr>
        <w:t>居民收入持续增加。全区常住居民人均可支配收入26926元，比上年增长10.2%。</w:t>
      </w:r>
    </w:p>
    <w:p>
      <w:pPr>
        <w:pStyle w:val="5"/>
        <w:spacing w:before="0" w:beforeAutospacing="0" w:after="0" w:afterAutospacing="0"/>
        <w:ind w:right="44"/>
        <w:jc w:val="both"/>
        <w:rPr>
          <w:rStyle w:val="8"/>
          <w:rFonts w:ascii="方正仿宋_GBK" w:hAnsi="方正仿宋_GBK" w:eastAsia="方正仿宋_GBK" w:cs="方正仿宋_GBK"/>
          <w:b w:val="0"/>
          <w:sz w:val="28"/>
        </w:rPr>
      </w:pPr>
    </w:p>
    <w:p>
      <w:pPr>
        <w:pStyle w:val="5"/>
        <w:spacing w:before="0" w:beforeAutospacing="0" w:after="0" w:afterAutospacing="0"/>
        <w:ind w:right="44"/>
        <w:jc w:val="both"/>
        <w:rPr>
          <w:rStyle w:val="8"/>
          <w:rFonts w:ascii="方正仿宋_GBK" w:hAnsi="方正仿宋_GBK" w:eastAsia="方正仿宋_GBK" w:cs="方正仿宋_GBK"/>
          <w:b w:val="0"/>
          <w:sz w:val="28"/>
        </w:rPr>
      </w:pPr>
      <w:r>
        <w:drawing>
          <wp:inline distT="0" distB="0" distL="0" distR="0">
            <wp:extent cx="5229225" cy="3286125"/>
            <wp:effectExtent l="0" t="0" r="9525" b="952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pStyle w:val="5"/>
        <w:spacing w:before="0" w:beforeAutospacing="0" w:after="0" w:afterAutospacing="0"/>
        <w:ind w:left="44" w:right="44" w:firstLine="640" w:firstLineChars="200"/>
        <w:jc w:val="both"/>
        <w:rPr>
          <w:rStyle w:val="8"/>
          <w:rFonts w:ascii="方正仿宋_GBK" w:hAnsi="方正仿宋_GBK" w:eastAsia="方正仿宋_GBK" w:cs="方正仿宋_GBK"/>
          <w:b w:val="0"/>
          <w:sz w:val="32"/>
          <w:szCs w:val="32"/>
        </w:rPr>
      </w:pPr>
      <w:r>
        <w:rPr>
          <w:rStyle w:val="8"/>
          <w:rFonts w:hint="eastAsia" w:ascii="方正仿宋_GBK" w:hAnsi="方正仿宋_GBK" w:eastAsia="方正仿宋_GBK" w:cs="方正仿宋_GBK"/>
          <w:b w:val="0"/>
          <w:sz w:val="32"/>
          <w:szCs w:val="32"/>
        </w:rPr>
        <w:t>城镇常住居民人均可支配收入35066元，增长8.8%。其中，人均工资性收入</w:t>
      </w:r>
      <w:r>
        <w:rPr>
          <w:rStyle w:val="8"/>
          <w:rFonts w:ascii="方正仿宋_GBK" w:hAnsi="方正仿宋_GBK" w:eastAsia="方正仿宋_GBK" w:cs="方正仿宋_GBK"/>
          <w:b w:val="0"/>
          <w:sz w:val="32"/>
          <w:szCs w:val="32"/>
        </w:rPr>
        <w:t>20749</w:t>
      </w:r>
      <w:r>
        <w:rPr>
          <w:rStyle w:val="8"/>
          <w:rFonts w:hint="eastAsia" w:ascii="方正仿宋_GBK" w:hAnsi="方正仿宋_GBK" w:eastAsia="方正仿宋_GBK" w:cs="方正仿宋_GBK"/>
          <w:b w:val="0"/>
          <w:sz w:val="32"/>
          <w:szCs w:val="32"/>
        </w:rPr>
        <w:t>元，增长</w:t>
      </w:r>
      <w:r>
        <w:rPr>
          <w:rStyle w:val="8"/>
          <w:rFonts w:ascii="方正仿宋_GBK" w:hAnsi="方正仿宋_GBK" w:eastAsia="方正仿宋_GBK" w:cs="方正仿宋_GBK"/>
          <w:b w:val="0"/>
          <w:sz w:val="32"/>
          <w:szCs w:val="32"/>
        </w:rPr>
        <w:t>8.7</w:t>
      </w:r>
      <w:r>
        <w:rPr>
          <w:rStyle w:val="8"/>
          <w:rFonts w:hint="eastAsia" w:ascii="方正仿宋_GBK" w:hAnsi="方正仿宋_GBK" w:eastAsia="方正仿宋_GBK" w:cs="方正仿宋_GBK"/>
          <w:b w:val="0"/>
          <w:sz w:val="32"/>
          <w:szCs w:val="32"/>
        </w:rPr>
        <w:t>%；人均经营净收入</w:t>
      </w:r>
      <w:r>
        <w:rPr>
          <w:rStyle w:val="8"/>
          <w:rFonts w:ascii="方正仿宋_GBK" w:hAnsi="方正仿宋_GBK" w:eastAsia="方正仿宋_GBK" w:cs="方正仿宋_GBK"/>
          <w:b w:val="0"/>
          <w:sz w:val="32"/>
          <w:szCs w:val="32"/>
        </w:rPr>
        <w:t>3877</w:t>
      </w:r>
      <w:r>
        <w:rPr>
          <w:rStyle w:val="8"/>
          <w:rFonts w:hint="eastAsia" w:ascii="方正仿宋_GBK" w:hAnsi="方正仿宋_GBK" w:eastAsia="方正仿宋_GBK" w:cs="方正仿宋_GBK"/>
          <w:b w:val="0"/>
          <w:sz w:val="32"/>
          <w:szCs w:val="32"/>
        </w:rPr>
        <w:t>元，增长10.0%；人均财产净收入</w:t>
      </w:r>
      <w:r>
        <w:rPr>
          <w:rStyle w:val="8"/>
          <w:rFonts w:ascii="方正仿宋_GBK" w:hAnsi="方正仿宋_GBK" w:eastAsia="方正仿宋_GBK" w:cs="方正仿宋_GBK"/>
          <w:b w:val="0"/>
          <w:sz w:val="32"/>
          <w:szCs w:val="32"/>
        </w:rPr>
        <w:t>2440</w:t>
      </w:r>
      <w:r>
        <w:rPr>
          <w:rStyle w:val="8"/>
          <w:rFonts w:hint="eastAsia" w:ascii="方正仿宋_GBK" w:hAnsi="方正仿宋_GBK" w:eastAsia="方正仿宋_GBK" w:cs="方正仿宋_GBK"/>
          <w:b w:val="0"/>
          <w:sz w:val="32"/>
          <w:szCs w:val="32"/>
        </w:rPr>
        <w:t>元，增长</w:t>
      </w:r>
      <w:r>
        <w:rPr>
          <w:rStyle w:val="8"/>
          <w:rFonts w:ascii="方正仿宋_GBK" w:hAnsi="方正仿宋_GBK" w:eastAsia="方正仿宋_GBK" w:cs="方正仿宋_GBK"/>
          <w:b w:val="0"/>
          <w:sz w:val="32"/>
          <w:szCs w:val="32"/>
        </w:rPr>
        <w:t>5.6</w:t>
      </w:r>
      <w:r>
        <w:rPr>
          <w:rStyle w:val="8"/>
          <w:rFonts w:hint="eastAsia" w:ascii="方正仿宋_GBK" w:hAnsi="方正仿宋_GBK" w:eastAsia="方正仿宋_GBK" w:cs="方正仿宋_GBK"/>
          <w:b w:val="0"/>
          <w:sz w:val="32"/>
          <w:szCs w:val="32"/>
        </w:rPr>
        <w:t>%；人均转移净收入</w:t>
      </w:r>
      <w:r>
        <w:rPr>
          <w:rStyle w:val="8"/>
          <w:rFonts w:ascii="方正仿宋_GBK" w:hAnsi="方正仿宋_GBK" w:eastAsia="方正仿宋_GBK" w:cs="方正仿宋_GBK"/>
          <w:b w:val="0"/>
          <w:sz w:val="32"/>
          <w:szCs w:val="32"/>
        </w:rPr>
        <w:t>8000</w:t>
      </w:r>
      <w:r>
        <w:rPr>
          <w:rStyle w:val="8"/>
          <w:rFonts w:hint="eastAsia" w:ascii="方正仿宋_GBK" w:hAnsi="方正仿宋_GBK" w:eastAsia="方正仿宋_GBK" w:cs="方正仿宋_GBK"/>
          <w:b w:val="0"/>
          <w:sz w:val="32"/>
          <w:szCs w:val="32"/>
        </w:rPr>
        <w:t>元，增长9.4%。城镇居民恩格尔系数</w:t>
      </w:r>
      <w:r>
        <w:rPr>
          <w:rStyle w:val="8"/>
          <w:rFonts w:ascii="方正仿宋_GBK" w:hAnsi="方正仿宋_GBK" w:eastAsia="方正仿宋_GBK" w:cs="方正仿宋_GBK"/>
          <w:b w:val="0"/>
          <w:sz w:val="32"/>
          <w:szCs w:val="32"/>
        </w:rPr>
        <w:t>31.93</w:t>
      </w:r>
      <w:r>
        <w:rPr>
          <w:rStyle w:val="8"/>
          <w:rFonts w:hint="eastAsia" w:ascii="方正仿宋_GBK" w:hAnsi="方正仿宋_GBK" w:eastAsia="方正仿宋_GBK" w:cs="方正仿宋_GBK"/>
          <w:b w:val="0"/>
          <w:sz w:val="32"/>
          <w:szCs w:val="32"/>
        </w:rPr>
        <w:t>%，比上年下降0.</w:t>
      </w:r>
      <w:r>
        <w:rPr>
          <w:rStyle w:val="8"/>
          <w:rFonts w:ascii="方正仿宋_GBK" w:hAnsi="方正仿宋_GBK" w:eastAsia="方正仿宋_GBK" w:cs="方正仿宋_GBK"/>
          <w:b w:val="0"/>
          <w:sz w:val="32"/>
          <w:szCs w:val="32"/>
        </w:rPr>
        <w:t>96</w:t>
      </w:r>
      <w:r>
        <w:rPr>
          <w:rStyle w:val="8"/>
          <w:rFonts w:hint="eastAsia" w:ascii="方正仿宋_GBK" w:hAnsi="方正仿宋_GBK" w:eastAsia="方正仿宋_GBK" w:cs="方正仿宋_GBK"/>
          <w:b w:val="0"/>
          <w:sz w:val="32"/>
          <w:szCs w:val="32"/>
        </w:rPr>
        <w:t>个百分点。城镇居民人均住房面积</w:t>
      </w:r>
      <w:r>
        <w:rPr>
          <w:rStyle w:val="8"/>
          <w:rFonts w:ascii="方正仿宋_GBK" w:hAnsi="方正仿宋_GBK" w:eastAsia="方正仿宋_GBK" w:cs="方正仿宋_GBK"/>
          <w:b w:val="0"/>
          <w:sz w:val="32"/>
          <w:szCs w:val="32"/>
        </w:rPr>
        <w:t>43.50</w:t>
      </w:r>
      <w:r>
        <w:rPr>
          <w:rStyle w:val="8"/>
          <w:rFonts w:hint="eastAsia" w:ascii="方正仿宋_GBK" w:hAnsi="方正仿宋_GBK" w:eastAsia="方正仿宋_GBK" w:cs="方正仿宋_GBK"/>
          <w:b w:val="0"/>
          <w:sz w:val="32"/>
          <w:szCs w:val="32"/>
        </w:rPr>
        <w:t>平方米，比上年增长6.0</w:t>
      </w:r>
      <w:r>
        <w:rPr>
          <w:rStyle w:val="8"/>
          <w:rFonts w:ascii="方正仿宋_GBK" w:hAnsi="方正仿宋_GBK" w:eastAsia="方正仿宋_GBK" w:cs="方正仿宋_GBK"/>
          <w:b w:val="0"/>
          <w:sz w:val="32"/>
          <w:szCs w:val="32"/>
        </w:rPr>
        <w:t>%</w:t>
      </w:r>
      <w:r>
        <w:rPr>
          <w:rStyle w:val="8"/>
          <w:rFonts w:hint="eastAsia" w:ascii="方正仿宋_GBK" w:hAnsi="方正仿宋_GBK" w:eastAsia="方正仿宋_GBK" w:cs="方正仿宋_GBK"/>
          <w:b w:val="0"/>
          <w:sz w:val="32"/>
          <w:szCs w:val="32"/>
        </w:rPr>
        <w:t>。</w:t>
      </w:r>
    </w:p>
    <w:p>
      <w:pPr>
        <w:pStyle w:val="5"/>
        <w:spacing w:before="0" w:beforeAutospacing="0" w:after="0" w:afterAutospacing="0"/>
        <w:ind w:left="44" w:right="44" w:firstLine="640" w:firstLineChars="200"/>
        <w:jc w:val="both"/>
        <w:rPr>
          <w:rStyle w:val="8"/>
          <w:rFonts w:ascii="方正仿宋_GBK" w:hAnsi="方正仿宋_GBK" w:eastAsia="方正仿宋_GBK" w:cs="方正仿宋_GBK"/>
          <w:b w:val="0"/>
          <w:sz w:val="32"/>
          <w:szCs w:val="32"/>
        </w:rPr>
      </w:pPr>
      <w:r>
        <w:rPr>
          <w:rStyle w:val="8"/>
          <w:rFonts w:hint="eastAsia" w:ascii="方正仿宋_GBK" w:hAnsi="方正仿宋_GBK" w:eastAsia="方正仿宋_GBK" w:cs="方正仿宋_GBK"/>
          <w:b w:val="0"/>
          <w:sz w:val="32"/>
          <w:szCs w:val="32"/>
        </w:rPr>
        <w:t>农村常住居民人均可支配收入</w:t>
      </w:r>
      <w:r>
        <w:rPr>
          <w:rStyle w:val="8"/>
          <w:rFonts w:ascii="方正仿宋_GBK" w:hAnsi="方正仿宋_GBK" w:eastAsia="方正仿宋_GBK" w:cs="方正仿宋_GBK"/>
          <w:b w:val="0"/>
          <w:sz w:val="32"/>
          <w:szCs w:val="32"/>
        </w:rPr>
        <w:t>17051</w:t>
      </w:r>
      <w:r>
        <w:rPr>
          <w:rStyle w:val="8"/>
          <w:rFonts w:hint="eastAsia" w:ascii="方正仿宋_GBK" w:hAnsi="方正仿宋_GBK" w:eastAsia="方正仿宋_GBK" w:cs="方正仿宋_GBK"/>
          <w:b w:val="0"/>
          <w:sz w:val="32"/>
          <w:szCs w:val="32"/>
        </w:rPr>
        <w:t>元，增长8.7%。其中，人均工资性收入</w:t>
      </w:r>
      <w:r>
        <w:rPr>
          <w:rStyle w:val="8"/>
          <w:rFonts w:ascii="方正仿宋_GBK" w:hAnsi="方正仿宋_GBK" w:eastAsia="方正仿宋_GBK" w:cs="方正仿宋_GBK"/>
          <w:b w:val="0"/>
          <w:sz w:val="32"/>
          <w:szCs w:val="32"/>
        </w:rPr>
        <w:t>5899</w:t>
      </w:r>
      <w:r>
        <w:rPr>
          <w:rStyle w:val="8"/>
          <w:rFonts w:hint="eastAsia" w:ascii="方正仿宋_GBK" w:hAnsi="方正仿宋_GBK" w:eastAsia="方正仿宋_GBK" w:cs="方正仿宋_GBK"/>
          <w:b w:val="0"/>
          <w:sz w:val="32"/>
          <w:szCs w:val="32"/>
        </w:rPr>
        <w:t>元，增长</w:t>
      </w:r>
      <w:r>
        <w:rPr>
          <w:rStyle w:val="8"/>
          <w:rFonts w:ascii="方正仿宋_GBK" w:hAnsi="方正仿宋_GBK" w:eastAsia="方正仿宋_GBK" w:cs="方正仿宋_GBK"/>
          <w:b w:val="0"/>
          <w:sz w:val="32"/>
          <w:szCs w:val="32"/>
        </w:rPr>
        <w:t>8.9</w:t>
      </w:r>
      <w:r>
        <w:rPr>
          <w:rStyle w:val="8"/>
          <w:rFonts w:hint="eastAsia" w:ascii="方正仿宋_GBK" w:hAnsi="方正仿宋_GBK" w:eastAsia="方正仿宋_GBK" w:cs="方正仿宋_GBK"/>
          <w:b w:val="0"/>
          <w:sz w:val="32"/>
          <w:szCs w:val="32"/>
        </w:rPr>
        <w:t>%；人均经营净收入</w:t>
      </w:r>
      <w:r>
        <w:rPr>
          <w:rStyle w:val="8"/>
          <w:rFonts w:ascii="方正仿宋_GBK" w:hAnsi="方正仿宋_GBK" w:eastAsia="方正仿宋_GBK" w:cs="方正仿宋_GBK"/>
          <w:b w:val="0"/>
          <w:sz w:val="32"/>
          <w:szCs w:val="32"/>
        </w:rPr>
        <w:t>5854</w:t>
      </w:r>
      <w:r>
        <w:rPr>
          <w:rStyle w:val="8"/>
          <w:rFonts w:hint="eastAsia" w:ascii="方正仿宋_GBK" w:hAnsi="方正仿宋_GBK" w:eastAsia="方正仿宋_GBK" w:cs="方正仿宋_GBK"/>
          <w:b w:val="0"/>
          <w:sz w:val="32"/>
          <w:szCs w:val="32"/>
        </w:rPr>
        <w:t>元，增长8.0%；人均财产净收入</w:t>
      </w:r>
      <w:r>
        <w:rPr>
          <w:rStyle w:val="8"/>
          <w:rFonts w:ascii="方正仿宋_GBK" w:hAnsi="方正仿宋_GBK" w:eastAsia="方正仿宋_GBK" w:cs="方正仿宋_GBK"/>
          <w:b w:val="0"/>
          <w:sz w:val="32"/>
          <w:szCs w:val="32"/>
        </w:rPr>
        <w:t>236</w:t>
      </w:r>
      <w:r>
        <w:rPr>
          <w:rStyle w:val="8"/>
          <w:rFonts w:hint="eastAsia" w:ascii="方正仿宋_GBK" w:hAnsi="方正仿宋_GBK" w:eastAsia="方正仿宋_GBK" w:cs="方正仿宋_GBK"/>
          <w:b w:val="0"/>
          <w:sz w:val="32"/>
          <w:szCs w:val="32"/>
        </w:rPr>
        <w:t>元，增长</w:t>
      </w:r>
      <w:r>
        <w:rPr>
          <w:rStyle w:val="8"/>
          <w:rFonts w:ascii="方正仿宋_GBK" w:hAnsi="方正仿宋_GBK" w:eastAsia="方正仿宋_GBK" w:cs="方正仿宋_GBK"/>
          <w:b w:val="0"/>
          <w:sz w:val="32"/>
          <w:szCs w:val="32"/>
        </w:rPr>
        <w:t>8.3</w:t>
      </w:r>
      <w:r>
        <w:rPr>
          <w:rStyle w:val="8"/>
          <w:rFonts w:hint="eastAsia" w:ascii="方正仿宋_GBK" w:hAnsi="方正仿宋_GBK" w:eastAsia="方正仿宋_GBK" w:cs="方正仿宋_GBK"/>
          <w:b w:val="0"/>
          <w:sz w:val="32"/>
          <w:szCs w:val="32"/>
        </w:rPr>
        <w:t>%；人均转移净收入</w:t>
      </w:r>
      <w:r>
        <w:rPr>
          <w:rStyle w:val="8"/>
          <w:rFonts w:ascii="方正仿宋_GBK" w:hAnsi="方正仿宋_GBK" w:eastAsia="方正仿宋_GBK" w:cs="方正仿宋_GBK"/>
          <w:b w:val="0"/>
          <w:sz w:val="32"/>
          <w:szCs w:val="32"/>
        </w:rPr>
        <w:t>5062</w:t>
      </w:r>
      <w:r>
        <w:rPr>
          <w:rStyle w:val="8"/>
          <w:rFonts w:hint="eastAsia" w:ascii="方正仿宋_GBK" w:hAnsi="方正仿宋_GBK" w:eastAsia="方正仿宋_GBK" w:cs="方正仿宋_GBK"/>
          <w:b w:val="0"/>
          <w:sz w:val="32"/>
          <w:szCs w:val="32"/>
        </w:rPr>
        <w:t>元，增长</w:t>
      </w:r>
      <w:r>
        <w:rPr>
          <w:rStyle w:val="8"/>
          <w:rFonts w:ascii="方正仿宋_GBK" w:hAnsi="方正仿宋_GBK" w:eastAsia="方正仿宋_GBK" w:cs="方正仿宋_GBK"/>
          <w:b w:val="0"/>
          <w:sz w:val="32"/>
          <w:szCs w:val="32"/>
        </w:rPr>
        <w:t>9.3</w:t>
      </w:r>
      <w:r>
        <w:rPr>
          <w:rStyle w:val="8"/>
          <w:rFonts w:hint="eastAsia" w:ascii="方正仿宋_GBK" w:hAnsi="方正仿宋_GBK" w:eastAsia="方正仿宋_GBK" w:cs="方正仿宋_GBK"/>
          <w:b w:val="0"/>
          <w:sz w:val="32"/>
          <w:szCs w:val="32"/>
        </w:rPr>
        <w:t>％。农村常住居民人均生活消费支出</w:t>
      </w:r>
      <w:r>
        <w:rPr>
          <w:rStyle w:val="8"/>
          <w:rFonts w:ascii="方正仿宋_GBK" w:hAnsi="方正仿宋_GBK" w:eastAsia="方正仿宋_GBK" w:cs="方正仿宋_GBK"/>
          <w:b w:val="0"/>
          <w:sz w:val="32"/>
          <w:szCs w:val="32"/>
        </w:rPr>
        <w:t>10824</w:t>
      </w:r>
      <w:r>
        <w:rPr>
          <w:rStyle w:val="8"/>
          <w:rFonts w:hint="eastAsia" w:ascii="方正仿宋_GBK" w:hAnsi="方正仿宋_GBK" w:eastAsia="方正仿宋_GBK" w:cs="方正仿宋_GBK"/>
          <w:b w:val="0"/>
          <w:sz w:val="32"/>
          <w:szCs w:val="32"/>
        </w:rPr>
        <w:t>元，增长</w:t>
      </w:r>
      <w:r>
        <w:rPr>
          <w:rStyle w:val="8"/>
          <w:rFonts w:ascii="方正仿宋_GBK" w:hAnsi="方正仿宋_GBK" w:eastAsia="方正仿宋_GBK" w:cs="方正仿宋_GBK"/>
          <w:b w:val="0"/>
          <w:sz w:val="32"/>
          <w:szCs w:val="32"/>
        </w:rPr>
        <w:t>3.7</w:t>
      </w:r>
      <w:r>
        <w:rPr>
          <w:rStyle w:val="8"/>
          <w:rFonts w:hint="eastAsia" w:ascii="方正仿宋_GBK" w:hAnsi="方正仿宋_GBK" w:eastAsia="方正仿宋_GBK" w:cs="方正仿宋_GBK"/>
          <w:b w:val="0"/>
          <w:sz w:val="32"/>
          <w:szCs w:val="32"/>
        </w:rPr>
        <w:t>%；其中，衣着</w:t>
      </w:r>
      <w:r>
        <w:rPr>
          <w:rStyle w:val="8"/>
          <w:rFonts w:ascii="方正仿宋_GBK" w:hAnsi="方正仿宋_GBK" w:eastAsia="方正仿宋_GBK" w:cs="方正仿宋_GBK"/>
          <w:b w:val="0"/>
          <w:sz w:val="32"/>
          <w:szCs w:val="32"/>
        </w:rPr>
        <w:t>681</w:t>
      </w:r>
      <w:r>
        <w:rPr>
          <w:rStyle w:val="8"/>
          <w:rFonts w:hint="eastAsia" w:ascii="方正仿宋_GBK" w:hAnsi="方正仿宋_GBK" w:eastAsia="方正仿宋_GBK" w:cs="方正仿宋_GBK"/>
          <w:b w:val="0"/>
          <w:sz w:val="32"/>
          <w:szCs w:val="32"/>
        </w:rPr>
        <w:t>元，增长</w:t>
      </w:r>
      <w:r>
        <w:rPr>
          <w:rStyle w:val="8"/>
          <w:rFonts w:ascii="方正仿宋_GBK" w:hAnsi="方正仿宋_GBK" w:eastAsia="方正仿宋_GBK" w:cs="方正仿宋_GBK"/>
          <w:b w:val="0"/>
          <w:sz w:val="32"/>
          <w:szCs w:val="32"/>
        </w:rPr>
        <w:t>5.2</w:t>
      </w:r>
      <w:r>
        <w:rPr>
          <w:rStyle w:val="8"/>
          <w:rFonts w:hint="eastAsia" w:ascii="方正仿宋_GBK" w:hAnsi="方正仿宋_GBK" w:eastAsia="方正仿宋_GBK" w:cs="方正仿宋_GBK"/>
          <w:b w:val="0"/>
          <w:sz w:val="32"/>
          <w:szCs w:val="32"/>
        </w:rPr>
        <w:t>%；居住19</w:t>
      </w:r>
      <w:r>
        <w:rPr>
          <w:rStyle w:val="8"/>
          <w:rFonts w:ascii="方正仿宋_GBK" w:hAnsi="方正仿宋_GBK" w:eastAsia="方正仿宋_GBK" w:cs="方正仿宋_GBK"/>
          <w:b w:val="0"/>
          <w:sz w:val="32"/>
          <w:szCs w:val="32"/>
        </w:rPr>
        <w:t>97</w:t>
      </w:r>
      <w:r>
        <w:rPr>
          <w:rStyle w:val="8"/>
          <w:rFonts w:hint="eastAsia" w:ascii="方正仿宋_GBK" w:hAnsi="方正仿宋_GBK" w:eastAsia="方正仿宋_GBK" w:cs="方正仿宋_GBK"/>
          <w:b w:val="0"/>
          <w:sz w:val="32"/>
          <w:szCs w:val="32"/>
        </w:rPr>
        <w:t>元，增长</w:t>
      </w:r>
      <w:r>
        <w:rPr>
          <w:rStyle w:val="8"/>
          <w:rFonts w:ascii="方正仿宋_GBK" w:hAnsi="方正仿宋_GBK" w:eastAsia="方正仿宋_GBK" w:cs="方正仿宋_GBK"/>
          <w:b w:val="0"/>
          <w:sz w:val="32"/>
          <w:szCs w:val="32"/>
        </w:rPr>
        <w:t>2.3</w:t>
      </w:r>
      <w:r>
        <w:rPr>
          <w:rStyle w:val="8"/>
          <w:rFonts w:hint="eastAsia" w:ascii="方正仿宋_GBK" w:hAnsi="方正仿宋_GBK" w:eastAsia="方正仿宋_GBK" w:cs="方正仿宋_GBK"/>
          <w:b w:val="0"/>
          <w:sz w:val="32"/>
          <w:szCs w:val="32"/>
        </w:rPr>
        <w:t>%；生活用品及服务</w:t>
      </w:r>
      <w:r>
        <w:rPr>
          <w:rStyle w:val="8"/>
          <w:rFonts w:ascii="方正仿宋_GBK" w:hAnsi="方正仿宋_GBK" w:eastAsia="方正仿宋_GBK" w:cs="方正仿宋_GBK"/>
          <w:b w:val="0"/>
          <w:sz w:val="32"/>
          <w:szCs w:val="32"/>
        </w:rPr>
        <w:t>955</w:t>
      </w:r>
      <w:r>
        <w:rPr>
          <w:rStyle w:val="8"/>
          <w:rFonts w:hint="eastAsia" w:ascii="方正仿宋_GBK" w:hAnsi="方正仿宋_GBK" w:eastAsia="方正仿宋_GBK" w:cs="方正仿宋_GBK"/>
          <w:b w:val="0"/>
          <w:sz w:val="32"/>
          <w:szCs w:val="32"/>
        </w:rPr>
        <w:t>元，增长</w:t>
      </w:r>
      <w:r>
        <w:rPr>
          <w:rStyle w:val="8"/>
          <w:rFonts w:ascii="方正仿宋_GBK" w:hAnsi="方正仿宋_GBK" w:eastAsia="方正仿宋_GBK" w:cs="方正仿宋_GBK"/>
          <w:b w:val="0"/>
          <w:sz w:val="32"/>
          <w:szCs w:val="32"/>
        </w:rPr>
        <w:t>1.5</w:t>
      </w:r>
      <w:r>
        <w:rPr>
          <w:rStyle w:val="8"/>
          <w:rFonts w:hint="eastAsia" w:ascii="方正仿宋_GBK" w:hAnsi="方正仿宋_GBK" w:eastAsia="方正仿宋_GBK" w:cs="方正仿宋_GBK"/>
          <w:b w:val="0"/>
          <w:sz w:val="32"/>
          <w:szCs w:val="32"/>
        </w:rPr>
        <w:t>%；交通通信</w:t>
      </w:r>
      <w:r>
        <w:rPr>
          <w:rStyle w:val="8"/>
          <w:rFonts w:ascii="方正仿宋_GBK" w:hAnsi="方正仿宋_GBK" w:eastAsia="方正仿宋_GBK" w:cs="方正仿宋_GBK"/>
          <w:b w:val="0"/>
          <w:sz w:val="32"/>
          <w:szCs w:val="32"/>
        </w:rPr>
        <w:t>1251</w:t>
      </w:r>
      <w:r>
        <w:rPr>
          <w:rStyle w:val="8"/>
          <w:rFonts w:hint="eastAsia" w:ascii="方正仿宋_GBK" w:hAnsi="方正仿宋_GBK" w:eastAsia="方正仿宋_GBK" w:cs="方正仿宋_GBK"/>
          <w:b w:val="0"/>
          <w:sz w:val="32"/>
          <w:szCs w:val="32"/>
        </w:rPr>
        <w:t>元，增长</w:t>
      </w:r>
      <w:r>
        <w:rPr>
          <w:rStyle w:val="8"/>
          <w:rFonts w:ascii="方正仿宋_GBK" w:hAnsi="方正仿宋_GBK" w:eastAsia="方正仿宋_GBK" w:cs="方正仿宋_GBK"/>
          <w:b w:val="0"/>
          <w:sz w:val="32"/>
          <w:szCs w:val="32"/>
        </w:rPr>
        <w:t>6.1</w:t>
      </w:r>
      <w:r>
        <w:rPr>
          <w:rStyle w:val="8"/>
          <w:rFonts w:hint="eastAsia" w:ascii="方正仿宋_GBK" w:hAnsi="方正仿宋_GBK" w:eastAsia="方正仿宋_GBK" w:cs="方正仿宋_GBK"/>
          <w:b w:val="0"/>
          <w:sz w:val="32"/>
          <w:szCs w:val="32"/>
        </w:rPr>
        <w:t>%；教育文化娱乐</w:t>
      </w:r>
      <w:r>
        <w:rPr>
          <w:rStyle w:val="8"/>
          <w:rFonts w:ascii="方正仿宋_GBK" w:hAnsi="方正仿宋_GBK" w:eastAsia="方正仿宋_GBK" w:cs="方正仿宋_GBK"/>
          <w:b w:val="0"/>
          <w:sz w:val="32"/>
          <w:szCs w:val="32"/>
        </w:rPr>
        <w:t>1023</w:t>
      </w:r>
      <w:r>
        <w:rPr>
          <w:rStyle w:val="8"/>
          <w:rFonts w:hint="eastAsia" w:ascii="方正仿宋_GBK" w:hAnsi="方正仿宋_GBK" w:eastAsia="方正仿宋_GBK" w:cs="方正仿宋_GBK"/>
          <w:b w:val="0"/>
          <w:sz w:val="32"/>
          <w:szCs w:val="32"/>
        </w:rPr>
        <w:t>元，增长</w:t>
      </w:r>
      <w:r>
        <w:rPr>
          <w:rStyle w:val="8"/>
          <w:rFonts w:ascii="方正仿宋_GBK" w:hAnsi="方正仿宋_GBK" w:eastAsia="方正仿宋_GBK" w:cs="方正仿宋_GBK"/>
          <w:b w:val="0"/>
          <w:sz w:val="32"/>
          <w:szCs w:val="32"/>
        </w:rPr>
        <w:t>6.7</w:t>
      </w:r>
      <w:r>
        <w:rPr>
          <w:rStyle w:val="8"/>
          <w:rFonts w:hint="eastAsia" w:ascii="方正仿宋_GBK" w:hAnsi="方正仿宋_GBK" w:eastAsia="方正仿宋_GBK" w:cs="方正仿宋_GBK"/>
          <w:b w:val="0"/>
          <w:sz w:val="32"/>
          <w:szCs w:val="32"/>
        </w:rPr>
        <w:t>%；医疗保健</w:t>
      </w:r>
      <w:r>
        <w:rPr>
          <w:rStyle w:val="8"/>
          <w:rFonts w:ascii="方正仿宋_GBK" w:hAnsi="方正仿宋_GBK" w:eastAsia="方正仿宋_GBK" w:cs="方正仿宋_GBK"/>
          <w:b w:val="0"/>
          <w:sz w:val="32"/>
          <w:szCs w:val="32"/>
        </w:rPr>
        <w:t>825</w:t>
      </w:r>
      <w:r>
        <w:rPr>
          <w:rStyle w:val="8"/>
          <w:rFonts w:hint="eastAsia" w:ascii="方正仿宋_GBK" w:hAnsi="方正仿宋_GBK" w:eastAsia="方正仿宋_GBK" w:cs="方正仿宋_GBK"/>
          <w:b w:val="0"/>
          <w:sz w:val="32"/>
          <w:szCs w:val="32"/>
        </w:rPr>
        <w:t>元，增长</w:t>
      </w:r>
      <w:r>
        <w:rPr>
          <w:rStyle w:val="8"/>
          <w:rFonts w:ascii="方正仿宋_GBK" w:hAnsi="方正仿宋_GBK" w:eastAsia="方正仿宋_GBK" w:cs="方正仿宋_GBK"/>
          <w:b w:val="0"/>
          <w:sz w:val="32"/>
          <w:szCs w:val="32"/>
        </w:rPr>
        <w:t>2.5</w:t>
      </w:r>
      <w:r>
        <w:rPr>
          <w:rStyle w:val="8"/>
          <w:rFonts w:hint="eastAsia" w:ascii="方正仿宋_GBK" w:hAnsi="方正仿宋_GBK" w:eastAsia="方正仿宋_GBK" w:cs="方正仿宋_GBK"/>
          <w:b w:val="0"/>
          <w:sz w:val="32"/>
          <w:szCs w:val="32"/>
        </w:rPr>
        <w:t>%。农村居民恩格尔系数</w:t>
      </w:r>
      <w:r>
        <w:rPr>
          <w:rStyle w:val="8"/>
          <w:rFonts w:ascii="方正仿宋_GBK" w:hAnsi="方正仿宋_GBK" w:eastAsia="方正仿宋_GBK" w:cs="方正仿宋_GBK"/>
          <w:b w:val="0"/>
          <w:sz w:val="32"/>
          <w:szCs w:val="32"/>
        </w:rPr>
        <w:t>36.52</w:t>
      </w:r>
      <w:r>
        <w:rPr>
          <w:rStyle w:val="8"/>
          <w:rFonts w:hint="eastAsia" w:ascii="方正仿宋_GBK" w:hAnsi="方正仿宋_GBK" w:eastAsia="方正仿宋_GBK" w:cs="方正仿宋_GBK"/>
          <w:b w:val="0"/>
          <w:sz w:val="32"/>
          <w:szCs w:val="32"/>
        </w:rPr>
        <w:t>%，比上年下降</w:t>
      </w:r>
      <w:r>
        <w:rPr>
          <w:rStyle w:val="8"/>
          <w:rFonts w:ascii="方正仿宋_GBK" w:hAnsi="方正仿宋_GBK" w:eastAsia="方正仿宋_GBK" w:cs="方正仿宋_GBK"/>
          <w:b w:val="0"/>
          <w:sz w:val="32"/>
          <w:szCs w:val="32"/>
        </w:rPr>
        <w:t>0.13</w:t>
      </w:r>
      <w:r>
        <w:rPr>
          <w:rStyle w:val="8"/>
          <w:rFonts w:hint="eastAsia" w:ascii="方正仿宋_GBK" w:hAnsi="方正仿宋_GBK" w:eastAsia="方正仿宋_GBK" w:cs="方正仿宋_GBK"/>
          <w:b w:val="0"/>
          <w:sz w:val="32"/>
          <w:szCs w:val="32"/>
        </w:rPr>
        <w:t>个百分点。农村居民人均住房面积</w:t>
      </w:r>
      <w:r>
        <w:rPr>
          <w:rStyle w:val="8"/>
          <w:rFonts w:ascii="方正仿宋_GBK" w:hAnsi="方正仿宋_GBK" w:eastAsia="方正仿宋_GBK" w:cs="方正仿宋_GBK"/>
          <w:b w:val="0"/>
          <w:sz w:val="32"/>
          <w:szCs w:val="32"/>
        </w:rPr>
        <w:t>45.33</w:t>
      </w:r>
      <w:r>
        <w:rPr>
          <w:rStyle w:val="8"/>
          <w:rFonts w:hint="eastAsia" w:ascii="方正仿宋_GBK" w:hAnsi="方正仿宋_GBK" w:eastAsia="方正仿宋_GBK" w:cs="方正仿宋_GBK"/>
          <w:b w:val="0"/>
          <w:sz w:val="32"/>
          <w:szCs w:val="32"/>
        </w:rPr>
        <w:t>平方米，比上年减少</w:t>
      </w:r>
      <w:r>
        <w:rPr>
          <w:rStyle w:val="8"/>
          <w:rFonts w:ascii="方正仿宋_GBK" w:hAnsi="方正仿宋_GBK" w:eastAsia="方正仿宋_GBK" w:cs="方正仿宋_GBK"/>
          <w:b w:val="0"/>
          <w:sz w:val="32"/>
          <w:szCs w:val="32"/>
        </w:rPr>
        <w:t>0.86%</w:t>
      </w:r>
      <w:r>
        <w:rPr>
          <w:rStyle w:val="8"/>
          <w:rFonts w:hint="eastAsia" w:ascii="方正仿宋_GBK" w:hAnsi="方正仿宋_GBK" w:eastAsia="方正仿宋_GBK" w:cs="方正仿宋_GBK"/>
          <w:b w:val="0"/>
          <w:sz w:val="32"/>
          <w:szCs w:val="32"/>
        </w:rPr>
        <w:t>。</w:t>
      </w:r>
    </w:p>
    <w:p>
      <w:pPr>
        <w:ind w:firstLine="562" w:firstLineChars="200"/>
        <w:jc w:val="center"/>
        <w:rPr>
          <w:rFonts w:ascii="方正仿宋_GBK" w:hAnsi="方正仿宋_GBK" w:eastAsia="方正仿宋_GBK" w:cs="方正仿宋_GBK"/>
          <w:b/>
          <w:bCs/>
          <w:kern w:val="0"/>
          <w:sz w:val="28"/>
          <w:szCs w:val="28"/>
        </w:rPr>
      </w:pPr>
      <w:r>
        <w:rPr>
          <w:rFonts w:hint="eastAsia" w:ascii="方正仿宋_GBK" w:hAnsi="方正仿宋_GBK" w:eastAsia="方正仿宋_GBK" w:cs="方正仿宋_GBK"/>
          <w:b/>
          <w:bCs/>
          <w:kern w:val="0"/>
          <w:sz w:val="28"/>
          <w:szCs w:val="28"/>
        </w:rPr>
        <w:t>表7  2018年常住居民人均可支配收入</w:t>
      </w:r>
    </w:p>
    <w:tbl>
      <w:tblPr>
        <w:tblStyle w:val="6"/>
        <w:tblW w:w="8140" w:type="dxa"/>
        <w:tblInd w:w="0" w:type="dxa"/>
        <w:tblLayout w:type="fixed"/>
        <w:tblCellMar>
          <w:top w:w="15" w:type="dxa"/>
          <w:left w:w="15" w:type="dxa"/>
          <w:bottom w:w="15" w:type="dxa"/>
          <w:right w:w="15" w:type="dxa"/>
        </w:tblCellMar>
      </w:tblPr>
      <w:tblGrid>
        <w:gridCol w:w="1890"/>
        <w:gridCol w:w="985"/>
        <w:gridCol w:w="1087"/>
        <w:gridCol w:w="985"/>
        <w:gridCol w:w="1118"/>
        <w:gridCol w:w="985"/>
        <w:gridCol w:w="1090"/>
      </w:tblGrid>
      <w:tr>
        <w:tblPrEx>
          <w:tblLayout w:type="fixed"/>
          <w:tblCellMar>
            <w:top w:w="15" w:type="dxa"/>
            <w:left w:w="15" w:type="dxa"/>
            <w:bottom w:w="15" w:type="dxa"/>
            <w:right w:w="15" w:type="dxa"/>
          </w:tblCellMar>
        </w:tblPrEx>
        <w:trPr>
          <w:trHeight w:val="555" w:hRule="atLeast"/>
        </w:trPr>
        <w:tc>
          <w:tcPr>
            <w:tcW w:w="1890" w:type="dxa"/>
            <w:vMerge w:val="restart"/>
            <w:tcBorders>
              <w:top w:val="single" w:color="000000" w:sz="4" w:space="0"/>
              <w:bottom w:val="single" w:color="000000" w:sz="4" w:space="0"/>
              <w:right w:val="single" w:color="000000" w:sz="4" w:space="0"/>
            </w:tcBorders>
            <w:vAlign w:val="center"/>
          </w:tcPr>
          <w:p>
            <w:pPr>
              <w:widowControl/>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指标</w:t>
            </w:r>
          </w:p>
        </w:tc>
        <w:tc>
          <w:tcPr>
            <w:tcW w:w="207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 xml:space="preserve">全区常住居民 </w:t>
            </w:r>
          </w:p>
        </w:tc>
        <w:tc>
          <w:tcPr>
            <w:tcW w:w="2103"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城镇常住居民</w:t>
            </w:r>
          </w:p>
        </w:tc>
        <w:tc>
          <w:tcPr>
            <w:tcW w:w="2075" w:type="dxa"/>
            <w:gridSpan w:val="2"/>
            <w:tcBorders>
              <w:top w:val="single" w:color="000000" w:sz="4" w:space="0"/>
              <w:left w:val="single" w:color="000000" w:sz="4" w:space="0"/>
              <w:bottom w:val="single" w:color="000000" w:sz="4" w:space="0"/>
            </w:tcBorders>
            <w:vAlign w:val="center"/>
          </w:tcPr>
          <w:p>
            <w:pPr>
              <w:widowControl/>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 xml:space="preserve">农村常住居民 </w:t>
            </w:r>
          </w:p>
        </w:tc>
      </w:tr>
      <w:tr>
        <w:tblPrEx>
          <w:tblLayout w:type="fixed"/>
          <w:tblCellMar>
            <w:top w:w="15" w:type="dxa"/>
            <w:left w:w="15" w:type="dxa"/>
            <w:bottom w:w="15" w:type="dxa"/>
            <w:right w:w="15" w:type="dxa"/>
          </w:tblCellMar>
        </w:tblPrEx>
        <w:trPr>
          <w:trHeight w:val="936" w:hRule="atLeast"/>
        </w:trPr>
        <w:tc>
          <w:tcPr>
            <w:tcW w:w="1890" w:type="dxa"/>
            <w:vMerge w:val="continue"/>
            <w:tcBorders>
              <w:top w:val="single" w:color="000000" w:sz="4" w:space="0"/>
              <w:bottom w:val="single" w:color="000000" w:sz="4" w:space="0"/>
              <w:right w:val="single" w:color="000000" w:sz="4" w:space="0"/>
            </w:tcBorders>
            <w:vAlign w:val="center"/>
          </w:tcPr>
          <w:p>
            <w:pPr>
              <w:jc w:val="center"/>
              <w:rPr>
                <w:rFonts w:ascii="方正仿宋_GBK" w:hAnsi="方正仿宋_GBK" w:eastAsia="方正仿宋_GBK" w:cs="方正仿宋_GBK"/>
                <w:color w:val="000000"/>
                <w:sz w:val="24"/>
              </w:rPr>
            </w:pPr>
          </w:p>
        </w:tc>
        <w:tc>
          <w:tcPr>
            <w:tcW w:w="985" w:type="dxa"/>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绝对量（元）</w:t>
            </w:r>
          </w:p>
        </w:tc>
        <w:tc>
          <w:tcPr>
            <w:tcW w:w="1087" w:type="dxa"/>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比上年增长（%）</w:t>
            </w:r>
          </w:p>
        </w:tc>
        <w:tc>
          <w:tcPr>
            <w:tcW w:w="985" w:type="dxa"/>
            <w:tcBorders>
              <w:top w:val="single" w:color="000000" w:sz="4" w:space="0"/>
              <w:left w:val="single" w:color="000000" w:sz="4" w:space="0"/>
              <w:bottom w:val="single" w:color="auto" w:sz="4" w:space="0"/>
              <w:right w:val="single" w:color="000000" w:sz="4" w:space="0"/>
            </w:tcBorders>
            <w:vAlign w:val="center"/>
          </w:tcPr>
          <w:p>
            <w:pPr>
              <w:widowControl/>
              <w:jc w:val="left"/>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绝对量（元）</w:t>
            </w:r>
          </w:p>
        </w:tc>
        <w:tc>
          <w:tcPr>
            <w:tcW w:w="1118" w:type="dxa"/>
            <w:tcBorders>
              <w:top w:val="single" w:color="000000" w:sz="4" w:space="0"/>
              <w:left w:val="single" w:color="000000" w:sz="4" w:space="0"/>
              <w:bottom w:val="single" w:color="auto" w:sz="4" w:space="0"/>
              <w:right w:val="single" w:color="000000" w:sz="4" w:space="0"/>
            </w:tcBorders>
            <w:vAlign w:val="center"/>
          </w:tcPr>
          <w:p>
            <w:pPr>
              <w:widowControl/>
              <w:jc w:val="left"/>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比上年增长（%）</w:t>
            </w:r>
          </w:p>
        </w:tc>
        <w:tc>
          <w:tcPr>
            <w:tcW w:w="985" w:type="dxa"/>
            <w:tcBorders>
              <w:top w:val="single" w:color="000000" w:sz="4" w:space="0"/>
              <w:left w:val="single" w:color="000000" w:sz="4" w:space="0"/>
              <w:bottom w:val="single" w:color="auto" w:sz="4" w:space="0"/>
              <w:right w:val="single" w:color="000000" w:sz="4" w:space="0"/>
            </w:tcBorders>
            <w:vAlign w:val="center"/>
          </w:tcPr>
          <w:p>
            <w:pPr>
              <w:widowControl/>
              <w:jc w:val="left"/>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绝对量（元）</w:t>
            </w:r>
          </w:p>
        </w:tc>
        <w:tc>
          <w:tcPr>
            <w:tcW w:w="1090" w:type="dxa"/>
            <w:tcBorders>
              <w:top w:val="single" w:color="000000" w:sz="4" w:space="0"/>
              <w:left w:val="single" w:color="000000" w:sz="4" w:space="0"/>
              <w:bottom w:val="single" w:color="auto" w:sz="4" w:space="0"/>
            </w:tcBorders>
            <w:vAlign w:val="center"/>
          </w:tcPr>
          <w:p>
            <w:pPr>
              <w:widowControl/>
              <w:jc w:val="left"/>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比上年增长（%）</w:t>
            </w:r>
          </w:p>
        </w:tc>
      </w:tr>
      <w:tr>
        <w:tblPrEx>
          <w:tblLayout w:type="fixed"/>
          <w:tblCellMar>
            <w:top w:w="15" w:type="dxa"/>
            <w:left w:w="15" w:type="dxa"/>
            <w:bottom w:w="15" w:type="dxa"/>
            <w:right w:w="15" w:type="dxa"/>
          </w:tblCellMar>
        </w:tblPrEx>
        <w:trPr>
          <w:trHeight w:val="555" w:hRule="atLeast"/>
        </w:trPr>
        <w:tc>
          <w:tcPr>
            <w:tcW w:w="1890" w:type="dxa"/>
            <w:tcBorders>
              <w:bottom w:val="single" w:color="000000" w:sz="4" w:space="0"/>
              <w:right w:val="single" w:color="auto" w:sz="4" w:space="0"/>
            </w:tcBorders>
            <w:shd w:val="clear" w:color="auto" w:fill="auto"/>
            <w:vAlign w:val="center"/>
          </w:tcPr>
          <w:p>
            <w:pPr>
              <w:widowControl/>
              <w:jc w:val="left"/>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人均可支配收入</w:t>
            </w:r>
          </w:p>
        </w:tc>
        <w:tc>
          <w:tcPr>
            <w:tcW w:w="985" w:type="dxa"/>
            <w:tcBorders>
              <w:top w:val="single" w:color="auto" w:sz="4" w:space="0"/>
              <w:left w:val="single" w:color="auto" w:sz="4" w:space="0"/>
              <w:bottom w:val="nil"/>
              <w:right w:val="nil"/>
            </w:tcBorders>
            <w:shd w:val="clear" w:color="auto" w:fill="auto"/>
            <w:vAlign w:val="center"/>
          </w:tcPr>
          <w:p>
            <w:pPr>
              <w:widowControl/>
              <w:jc w:val="center"/>
              <w:textAlignment w:val="center"/>
              <w:rPr>
                <w:rFonts w:ascii="方正仿宋_GBK" w:hAnsi="方正仿宋_GBK" w:eastAsia="方正仿宋_GBK" w:cs="方正仿宋_GBK"/>
                <w:color w:val="000000"/>
                <w:kern w:val="0"/>
                <w:sz w:val="24"/>
              </w:rPr>
            </w:pPr>
            <w:r>
              <w:rPr>
                <w:rFonts w:ascii="方正仿宋_GBK" w:hAnsi="方正仿宋_GBK" w:eastAsia="方正仿宋_GBK" w:cs="方正仿宋_GBK"/>
                <w:color w:val="000000"/>
                <w:kern w:val="0"/>
                <w:sz w:val="24"/>
              </w:rPr>
              <w:t>26926</w:t>
            </w:r>
          </w:p>
        </w:tc>
        <w:tc>
          <w:tcPr>
            <w:tcW w:w="1087" w:type="dxa"/>
            <w:tcBorders>
              <w:top w:val="single" w:color="auto" w:sz="4" w:space="0"/>
              <w:left w:val="nil"/>
              <w:bottom w:val="nil"/>
              <w:right w:val="nil"/>
            </w:tcBorders>
            <w:shd w:val="clear" w:color="auto" w:fill="auto"/>
            <w:vAlign w:val="center"/>
          </w:tcPr>
          <w:p>
            <w:pPr>
              <w:widowControl/>
              <w:jc w:val="center"/>
              <w:textAlignment w:val="center"/>
              <w:rPr>
                <w:rFonts w:ascii="方正仿宋_GBK" w:hAnsi="方正仿宋_GBK" w:eastAsia="方正仿宋_GBK" w:cs="方正仿宋_GBK"/>
                <w:color w:val="000000"/>
                <w:kern w:val="0"/>
                <w:sz w:val="24"/>
              </w:rPr>
            </w:pPr>
            <w:r>
              <w:rPr>
                <w:rFonts w:ascii="方正仿宋_GBK" w:hAnsi="方正仿宋_GBK" w:eastAsia="方正仿宋_GBK" w:cs="方正仿宋_GBK"/>
                <w:color w:val="000000"/>
                <w:kern w:val="0"/>
                <w:sz w:val="24"/>
              </w:rPr>
              <w:t>10.2</w:t>
            </w:r>
          </w:p>
        </w:tc>
        <w:tc>
          <w:tcPr>
            <w:tcW w:w="985" w:type="dxa"/>
            <w:tcBorders>
              <w:top w:val="single" w:color="auto" w:sz="4" w:space="0"/>
              <w:left w:val="nil"/>
              <w:bottom w:val="nil"/>
              <w:right w:val="nil"/>
            </w:tcBorders>
            <w:shd w:val="clear" w:color="auto" w:fill="FFFFFF"/>
            <w:vAlign w:val="center"/>
          </w:tcPr>
          <w:p>
            <w:pPr>
              <w:widowControl/>
              <w:jc w:val="center"/>
              <w:textAlignment w:val="center"/>
              <w:rPr>
                <w:rFonts w:ascii="方正仿宋_GBK" w:hAnsi="方正仿宋_GBK" w:eastAsia="方正仿宋_GBK" w:cs="方正仿宋_GBK"/>
                <w:color w:val="000000"/>
                <w:kern w:val="0"/>
                <w:sz w:val="24"/>
              </w:rPr>
            </w:pPr>
            <w:r>
              <w:rPr>
                <w:rFonts w:ascii="方正仿宋_GBK" w:hAnsi="方正仿宋_GBK" w:eastAsia="方正仿宋_GBK" w:cs="方正仿宋_GBK"/>
                <w:color w:val="000000"/>
                <w:kern w:val="0"/>
                <w:sz w:val="24"/>
              </w:rPr>
              <w:t>35066</w:t>
            </w:r>
          </w:p>
        </w:tc>
        <w:tc>
          <w:tcPr>
            <w:tcW w:w="1118" w:type="dxa"/>
            <w:tcBorders>
              <w:top w:val="single" w:color="auto" w:sz="4" w:space="0"/>
              <w:left w:val="nil"/>
              <w:bottom w:val="nil"/>
              <w:right w:val="nil"/>
            </w:tcBorders>
            <w:shd w:val="clear" w:color="auto" w:fill="FFFFFF"/>
            <w:vAlign w:val="center"/>
          </w:tcPr>
          <w:p>
            <w:pPr>
              <w:widowControl/>
              <w:jc w:val="center"/>
              <w:textAlignment w:val="center"/>
              <w:rPr>
                <w:rFonts w:ascii="方正仿宋_GBK" w:hAnsi="方正仿宋_GBK" w:eastAsia="方正仿宋_GBK" w:cs="方正仿宋_GBK"/>
                <w:color w:val="000000"/>
                <w:kern w:val="0"/>
                <w:sz w:val="24"/>
              </w:rPr>
            </w:pPr>
            <w:r>
              <w:rPr>
                <w:rFonts w:ascii="方正仿宋_GBK" w:hAnsi="方正仿宋_GBK" w:eastAsia="方正仿宋_GBK" w:cs="方正仿宋_GBK"/>
                <w:color w:val="000000"/>
                <w:kern w:val="0"/>
                <w:sz w:val="24"/>
              </w:rPr>
              <w:t>8.8</w:t>
            </w:r>
          </w:p>
        </w:tc>
        <w:tc>
          <w:tcPr>
            <w:tcW w:w="985" w:type="dxa"/>
            <w:tcBorders>
              <w:top w:val="single" w:color="auto" w:sz="4" w:space="0"/>
              <w:left w:val="nil"/>
              <w:bottom w:val="nil"/>
              <w:right w:val="nil"/>
            </w:tcBorders>
            <w:shd w:val="clear" w:color="auto" w:fill="auto"/>
            <w:vAlign w:val="center"/>
          </w:tcPr>
          <w:p>
            <w:pPr>
              <w:widowControl/>
              <w:jc w:val="center"/>
              <w:rPr>
                <w:rFonts w:ascii="方正仿宋_GBK" w:hAnsi="方正仿宋_GBK" w:eastAsia="方正仿宋_GBK" w:cs="方正仿宋_GBK"/>
                <w:color w:val="000000"/>
                <w:kern w:val="0"/>
                <w:sz w:val="24"/>
              </w:rPr>
            </w:pPr>
            <w:r>
              <w:rPr>
                <w:rFonts w:ascii="方正仿宋_GBK" w:hAnsi="方正仿宋_GBK" w:eastAsia="方正仿宋_GBK" w:cs="方正仿宋_GBK"/>
                <w:color w:val="000000"/>
                <w:kern w:val="0"/>
                <w:sz w:val="24"/>
              </w:rPr>
              <w:t>17051</w:t>
            </w:r>
          </w:p>
        </w:tc>
        <w:tc>
          <w:tcPr>
            <w:tcW w:w="1090" w:type="dxa"/>
            <w:tcBorders>
              <w:top w:val="single" w:color="auto" w:sz="4" w:space="0"/>
              <w:left w:val="nil"/>
              <w:bottom w:val="nil"/>
            </w:tcBorders>
            <w:shd w:val="clear" w:color="auto" w:fill="FFFFFF"/>
            <w:vAlign w:val="center"/>
          </w:tcPr>
          <w:p>
            <w:pPr>
              <w:widowControl/>
              <w:jc w:val="center"/>
              <w:rPr>
                <w:rFonts w:ascii="方正仿宋_GBK" w:hAnsi="方正仿宋_GBK" w:eastAsia="方正仿宋_GBK" w:cs="方正仿宋_GBK"/>
                <w:color w:val="000000"/>
                <w:kern w:val="0"/>
                <w:sz w:val="24"/>
              </w:rPr>
            </w:pPr>
            <w:r>
              <w:rPr>
                <w:rFonts w:ascii="方正仿宋_GBK" w:hAnsi="方正仿宋_GBK" w:eastAsia="方正仿宋_GBK" w:cs="方正仿宋_GBK"/>
                <w:color w:val="000000"/>
                <w:kern w:val="0"/>
                <w:sz w:val="24"/>
              </w:rPr>
              <w:t>8.7</w:t>
            </w:r>
          </w:p>
        </w:tc>
      </w:tr>
      <w:tr>
        <w:tblPrEx>
          <w:tblLayout w:type="fixed"/>
          <w:tblCellMar>
            <w:top w:w="15" w:type="dxa"/>
            <w:left w:w="15" w:type="dxa"/>
            <w:bottom w:w="15" w:type="dxa"/>
            <w:right w:w="15" w:type="dxa"/>
          </w:tblCellMar>
        </w:tblPrEx>
        <w:trPr>
          <w:trHeight w:val="555" w:hRule="atLeast"/>
        </w:trPr>
        <w:tc>
          <w:tcPr>
            <w:tcW w:w="1890" w:type="dxa"/>
            <w:tcBorders>
              <w:top w:val="single" w:color="000000" w:sz="4" w:space="0"/>
              <w:bottom w:val="single" w:color="000000" w:sz="4" w:space="0"/>
              <w:right w:val="single" w:color="auto" w:sz="4" w:space="0"/>
            </w:tcBorders>
            <w:shd w:val="clear" w:color="auto" w:fill="auto"/>
            <w:vAlign w:val="center"/>
          </w:tcPr>
          <w:p>
            <w:pPr>
              <w:widowControl/>
              <w:jc w:val="left"/>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 xml:space="preserve">  工资性收入</w:t>
            </w:r>
          </w:p>
        </w:tc>
        <w:tc>
          <w:tcPr>
            <w:tcW w:w="985" w:type="dxa"/>
            <w:tcBorders>
              <w:top w:val="nil"/>
              <w:left w:val="single" w:color="auto" w:sz="4" w:space="0"/>
              <w:bottom w:val="nil"/>
              <w:right w:val="nil"/>
            </w:tcBorders>
            <w:shd w:val="clear" w:color="auto" w:fill="auto"/>
            <w:vAlign w:val="center"/>
          </w:tcPr>
          <w:p>
            <w:pPr>
              <w:widowControl/>
              <w:jc w:val="center"/>
              <w:textAlignment w:val="center"/>
              <w:rPr>
                <w:rFonts w:ascii="方正仿宋_GBK" w:hAnsi="方正仿宋_GBK" w:eastAsia="方正仿宋_GBK" w:cs="方正仿宋_GBK"/>
                <w:color w:val="000000"/>
                <w:kern w:val="0"/>
                <w:sz w:val="24"/>
              </w:rPr>
            </w:pPr>
            <w:r>
              <w:rPr>
                <w:rFonts w:ascii="方正仿宋_GBK" w:hAnsi="方正仿宋_GBK" w:eastAsia="方正仿宋_GBK" w:cs="方正仿宋_GBK"/>
                <w:color w:val="000000"/>
                <w:kern w:val="0"/>
                <w:sz w:val="24"/>
              </w:rPr>
              <w:t>14039</w:t>
            </w:r>
          </w:p>
        </w:tc>
        <w:tc>
          <w:tcPr>
            <w:tcW w:w="1087" w:type="dxa"/>
            <w:tcBorders>
              <w:top w:val="nil"/>
              <w:left w:val="nil"/>
              <w:bottom w:val="nil"/>
              <w:right w:val="nil"/>
            </w:tcBorders>
            <w:shd w:val="clear" w:color="auto" w:fill="auto"/>
            <w:vAlign w:val="center"/>
          </w:tcPr>
          <w:p>
            <w:pPr>
              <w:widowControl/>
              <w:jc w:val="center"/>
              <w:textAlignment w:val="center"/>
              <w:rPr>
                <w:rFonts w:ascii="方正仿宋_GBK" w:hAnsi="方正仿宋_GBK" w:eastAsia="方正仿宋_GBK" w:cs="方正仿宋_GBK"/>
                <w:color w:val="000000"/>
                <w:kern w:val="0"/>
                <w:sz w:val="24"/>
              </w:rPr>
            </w:pPr>
            <w:r>
              <w:rPr>
                <w:rFonts w:ascii="方正仿宋_GBK" w:hAnsi="方正仿宋_GBK" w:eastAsia="方正仿宋_GBK" w:cs="方正仿宋_GBK"/>
                <w:color w:val="000000"/>
                <w:kern w:val="0"/>
                <w:sz w:val="24"/>
              </w:rPr>
              <w:t>11.0</w:t>
            </w:r>
          </w:p>
        </w:tc>
        <w:tc>
          <w:tcPr>
            <w:tcW w:w="985" w:type="dxa"/>
            <w:tcBorders>
              <w:top w:val="nil"/>
              <w:left w:val="nil"/>
              <w:bottom w:val="nil"/>
              <w:right w:val="nil"/>
            </w:tcBorders>
            <w:shd w:val="clear" w:color="auto" w:fill="auto"/>
            <w:vAlign w:val="center"/>
          </w:tcPr>
          <w:p>
            <w:pPr>
              <w:widowControl/>
              <w:jc w:val="center"/>
              <w:textAlignment w:val="center"/>
              <w:rPr>
                <w:rFonts w:ascii="方正仿宋_GBK" w:hAnsi="方正仿宋_GBK" w:eastAsia="方正仿宋_GBK" w:cs="方正仿宋_GBK"/>
                <w:color w:val="000000"/>
                <w:kern w:val="0"/>
                <w:sz w:val="24"/>
              </w:rPr>
            </w:pPr>
            <w:r>
              <w:rPr>
                <w:rFonts w:ascii="方正仿宋_GBK" w:hAnsi="方正仿宋_GBK" w:eastAsia="方正仿宋_GBK" w:cs="方正仿宋_GBK"/>
                <w:color w:val="000000"/>
                <w:kern w:val="0"/>
                <w:sz w:val="24"/>
              </w:rPr>
              <w:t>20749</w:t>
            </w:r>
          </w:p>
        </w:tc>
        <w:tc>
          <w:tcPr>
            <w:tcW w:w="1118" w:type="dxa"/>
            <w:tcBorders>
              <w:top w:val="nil"/>
              <w:left w:val="nil"/>
              <w:bottom w:val="nil"/>
              <w:right w:val="nil"/>
            </w:tcBorders>
            <w:shd w:val="clear" w:color="auto" w:fill="FFFFFF"/>
            <w:vAlign w:val="center"/>
          </w:tcPr>
          <w:p>
            <w:pPr>
              <w:widowControl/>
              <w:jc w:val="center"/>
              <w:textAlignment w:val="center"/>
              <w:rPr>
                <w:rFonts w:ascii="方正仿宋_GBK" w:hAnsi="方正仿宋_GBK" w:eastAsia="方正仿宋_GBK" w:cs="方正仿宋_GBK"/>
                <w:color w:val="000000"/>
                <w:kern w:val="0"/>
                <w:sz w:val="24"/>
              </w:rPr>
            </w:pPr>
            <w:r>
              <w:rPr>
                <w:rFonts w:ascii="方正仿宋_GBK" w:hAnsi="方正仿宋_GBK" w:eastAsia="方正仿宋_GBK" w:cs="方正仿宋_GBK"/>
                <w:color w:val="000000"/>
                <w:kern w:val="0"/>
                <w:sz w:val="24"/>
              </w:rPr>
              <w:t>8.7</w:t>
            </w:r>
          </w:p>
        </w:tc>
        <w:tc>
          <w:tcPr>
            <w:tcW w:w="985" w:type="dxa"/>
            <w:tcBorders>
              <w:top w:val="nil"/>
              <w:left w:val="nil"/>
              <w:bottom w:val="nil"/>
              <w:right w:val="nil"/>
            </w:tcBorders>
            <w:shd w:val="clear" w:color="auto" w:fill="auto"/>
            <w:vAlign w:val="center"/>
          </w:tcPr>
          <w:p>
            <w:pPr>
              <w:jc w:val="center"/>
              <w:rPr>
                <w:rFonts w:ascii="方正仿宋_GBK" w:hAnsi="方正仿宋_GBK" w:eastAsia="方正仿宋_GBK" w:cs="方正仿宋_GBK"/>
                <w:color w:val="000000"/>
                <w:kern w:val="0"/>
                <w:sz w:val="24"/>
              </w:rPr>
            </w:pPr>
            <w:r>
              <w:rPr>
                <w:rFonts w:ascii="方正仿宋_GBK" w:hAnsi="方正仿宋_GBK" w:eastAsia="方正仿宋_GBK" w:cs="方正仿宋_GBK"/>
                <w:color w:val="000000"/>
                <w:kern w:val="0"/>
                <w:sz w:val="24"/>
              </w:rPr>
              <w:t>5899</w:t>
            </w:r>
          </w:p>
        </w:tc>
        <w:tc>
          <w:tcPr>
            <w:tcW w:w="1090" w:type="dxa"/>
            <w:tcBorders>
              <w:top w:val="nil"/>
              <w:left w:val="nil"/>
              <w:bottom w:val="nil"/>
            </w:tcBorders>
            <w:shd w:val="clear" w:color="auto" w:fill="FFFFFF"/>
            <w:vAlign w:val="center"/>
          </w:tcPr>
          <w:p>
            <w:pPr>
              <w:jc w:val="center"/>
              <w:rPr>
                <w:rFonts w:ascii="方正仿宋_GBK" w:hAnsi="方正仿宋_GBK" w:eastAsia="方正仿宋_GBK" w:cs="方正仿宋_GBK"/>
                <w:color w:val="000000"/>
                <w:kern w:val="0"/>
                <w:sz w:val="24"/>
              </w:rPr>
            </w:pPr>
            <w:r>
              <w:rPr>
                <w:rFonts w:ascii="方正仿宋_GBK" w:hAnsi="方正仿宋_GBK" w:eastAsia="方正仿宋_GBK" w:cs="方正仿宋_GBK"/>
                <w:color w:val="000000"/>
                <w:kern w:val="0"/>
                <w:sz w:val="24"/>
              </w:rPr>
              <w:t>8.9</w:t>
            </w:r>
          </w:p>
        </w:tc>
      </w:tr>
      <w:tr>
        <w:tblPrEx>
          <w:tblLayout w:type="fixed"/>
          <w:tblCellMar>
            <w:top w:w="15" w:type="dxa"/>
            <w:left w:w="15" w:type="dxa"/>
            <w:bottom w:w="15" w:type="dxa"/>
            <w:right w:w="15" w:type="dxa"/>
          </w:tblCellMar>
        </w:tblPrEx>
        <w:trPr>
          <w:trHeight w:val="555" w:hRule="atLeast"/>
        </w:trPr>
        <w:tc>
          <w:tcPr>
            <w:tcW w:w="1890" w:type="dxa"/>
            <w:tcBorders>
              <w:top w:val="single" w:color="000000" w:sz="4" w:space="0"/>
              <w:bottom w:val="single" w:color="000000" w:sz="4" w:space="0"/>
              <w:right w:val="single" w:color="auto" w:sz="4" w:space="0"/>
            </w:tcBorders>
            <w:shd w:val="clear" w:color="auto" w:fill="auto"/>
            <w:vAlign w:val="center"/>
          </w:tcPr>
          <w:p>
            <w:pPr>
              <w:widowControl/>
              <w:textAlignment w:val="center"/>
              <w:rPr>
                <w:rFonts w:ascii="方正仿宋_GBK" w:hAnsi="方正仿宋_GBK" w:eastAsia="方正仿宋_GBK" w:cs="方正仿宋_GBK"/>
                <w:color w:val="000000"/>
                <w:kern w:val="0"/>
                <w:sz w:val="24"/>
              </w:rPr>
            </w:pPr>
            <w:r>
              <w:rPr>
                <w:rFonts w:hint="eastAsia" w:ascii="方正仿宋_GBK" w:hAnsi="方正仿宋_GBK" w:eastAsia="方正仿宋_GBK" w:cs="方正仿宋_GBK"/>
                <w:color w:val="000000"/>
                <w:kern w:val="0"/>
                <w:sz w:val="24"/>
              </w:rPr>
              <w:t xml:space="preserve">  经营净收入</w:t>
            </w:r>
          </w:p>
        </w:tc>
        <w:tc>
          <w:tcPr>
            <w:tcW w:w="985" w:type="dxa"/>
            <w:tcBorders>
              <w:top w:val="nil"/>
              <w:left w:val="single" w:color="auto" w:sz="4" w:space="0"/>
              <w:bottom w:val="nil"/>
              <w:right w:val="nil"/>
            </w:tcBorders>
            <w:shd w:val="clear" w:color="auto" w:fill="auto"/>
            <w:vAlign w:val="center"/>
          </w:tcPr>
          <w:p>
            <w:pPr>
              <w:widowControl/>
              <w:jc w:val="center"/>
              <w:textAlignment w:val="center"/>
              <w:rPr>
                <w:rFonts w:ascii="方正仿宋_GBK" w:hAnsi="方正仿宋_GBK" w:eastAsia="方正仿宋_GBK" w:cs="方正仿宋_GBK"/>
                <w:color w:val="000000"/>
                <w:kern w:val="0"/>
                <w:sz w:val="24"/>
              </w:rPr>
            </w:pPr>
            <w:r>
              <w:rPr>
                <w:rFonts w:ascii="方正仿宋_GBK" w:hAnsi="方正仿宋_GBK" w:eastAsia="方正仿宋_GBK" w:cs="方正仿宋_GBK"/>
                <w:color w:val="000000"/>
                <w:kern w:val="0"/>
                <w:sz w:val="24"/>
              </w:rPr>
              <w:t>4770</w:t>
            </w:r>
          </w:p>
        </w:tc>
        <w:tc>
          <w:tcPr>
            <w:tcW w:w="1087" w:type="dxa"/>
            <w:tcBorders>
              <w:top w:val="nil"/>
              <w:left w:val="nil"/>
              <w:bottom w:val="nil"/>
              <w:right w:val="nil"/>
            </w:tcBorders>
            <w:shd w:val="clear" w:color="auto" w:fill="auto"/>
            <w:vAlign w:val="center"/>
          </w:tcPr>
          <w:p>
            <w:pPr>
              <w:widowControl/>
              <w:jc w:val="center"/>
              <w:textAlignment w:val="center"/>
              <w:rPr>
                <w:rFonts w:ascii="方正仿宋_GBK" w:hAnsi="方正仿宋_GBK" w:eastAsia="方正仿宋_GBK" w:cs="方正仿宋_GBK"/>
                <w:color w:val="000000"/>
                <w:kern w:val="0"/>
                <w:sz w:val="24"/>
              </w:rPr>
            </w:pPr>
            <w:r>
              <w:rPr>
                <w:rFonts w:ascii="方正仿宋_GBK" w:hAnsi="方正仿宋_GBK" w:eastAsia="方正仿宋_GBK" w:cs="方正仿宋_GBK"/>
                <w:color w:val="000000"/>
                <w:kern w:val="0"/>
                <w:sz w:val="24"/>
              </w:rPr>
              <w:t>8.0</w:t>
            </w:r>
          </w:p>
        </w:tc>
        <w:tc>
          <w:tcPr>
            <w:tcW w:w="985" w:type="dxa"/>
            <w:tcBorders>
              <w:top w:val="nil"/>
              <w:left w:val="nil"/>
              <w:bottom w:val="nil"/>
              <w:right w:val="nil"/>
            </w:tcBorders>
            <w:shd w:val="clear" w:color="auto" w:fill="auto"/>
            <w:vAlign w:val="center"/>
          </w:tcPr>
          <w:p>
            <w:pPr>
              <w:widowControl/>
              <w:jc w:val="center"/>
              <w:textAlignment w:val="center"/>
              <w:rPr>
                <w:rFonts w:ascii="方正仿宋_GBK" w:hAnsi="方正仿宋_GBK" w:eastAsia="方正仿宋_GBK" w:cs="方正仿宋_GBK"/>
                <w:color w:val="000000"/>
                <w:kern w:val="0"/>
                <w:sz w:val="24"/>
              </w:rPr>
            </w:pPr>
            <w:r>
              <w:rPr>
                <w:rFonts w:ascii="方正仿宋_GBK" w:hAnsi="方正仿宋_GBK" w:eastAsia="方正仿宋_GBK" w:cs="方正仿宋_GBK"/>
                <w:color w:val="000000"/>
                <w:kern w:val="0"/>
                <w:sz w:val="24"/>
              </w:rPr>
              <w:t>3877</w:t>
            </w:r>
          </w:p>
        </w:tc>
        <w:tc>
          <w:tcPr>
            <w:tcW w:w="1118" w:type="dxa"/>
            <w:tcBorders>
              <w:top w:val="nil"/>
              <w:left w:val="nil"/>
              <w:bottom w:val="nil"/>
              <w:right w:val="nil"/>
            </w:tcBorders>
            <w:shd w:val="clear" w:color="auto" w:fill="FFFFFF"/>
            <w:vAlign w:val="center"/>
          </w:tcPr>
          <w:p>
            <w:pPr>
              <w:widowControl/>
              <w:jc w:val="center"/>
              <w:textAlignment w:val="center"/>
              <w:rPr>
                <w:rFonts w:ascii="方正仿宋_GBK" w:hAnsi="方正仿宋_GBK" w:eastAsia="方正仿宋_GBK" w:cs="方正仿宋_GBK"/>
                <w:color w:val="000000"/>
                <w:kern w:val="0"/>
                <w:sz w:val="24"/>
              </w:rPr>
            </w:pPr>
            <w:r>
              <w:rPr>
                <w:rFonts w:ascii="方正仿宋_GBK" w:hAnsi="方正仿宋_GBK" w:eastAsia="方正仿宋_GBK" w:cs="方正仿宋_GBK"/>
                <w:color w:val="000000"/>
                <w:kern w:val="0"/>
                <w:sz w:val="24"/>
              </w:rPr>
              <w:t>10.0</w:t>
            </w:r>
          </w:p>
        </w:tc>
        <w:tc>
          <w:tcPr>
            <w:tcW w:w="985" w:type="dxa"/>
            <w:tcBorders>
              <w:top w:val="nil"/>
              <w:left w:val="nil"/>
              <w:bottom w:val="nil"/>
              <w:right w:val="nil"/>
            </w:tcBorders>
            <w:shd w:val="clear" w:color="auto" w:fill="auto"/>
            <w:vAlign w:val="center"/>
          </w:tcPr>
          <w:p>
            <w:pPr>
              <w:jc w:val="center"/>
              <w:rPr>
                <w:rFonts w:ascii="方正仿宋_GBK" w:hAnsi="方正仿宋_GBK" w:eastAsia="方正仿宋_GBK" w:cs="方正仿宋_GBK"/>
                <w:color w:val="000000"/>
                <w:kern w:val="0"/>
                <w:sz w:val="24"/>
              </w:rPr>
            </w:pPr>
            <w:r>
              <w:rPr>
                <w:rFonts w:ascii="方正仿宋_GBK" w:hAnsi="方正仿宋_GBK" w:eastAsia="方正仿宋_GBK" w:cs="方正仿宋_GBK"/>
                <w:color w:val="000000"/>
                <w:kern w:val="0"/>
                <w:sz w:val="24"/>
              </w:rPr>
              <w:t>5854</w:t>
            </w:r>
          </w:p>
        </w:tc>
        <w:tc>
          <w:tcPr>
            <w:tcW w:w="1090" w:type="dxa"/>
            <w:tcBorders>
              <w:top w:val="nil"/>
              <w:left w:val="nil"/>
              <w:bottom w:val="nil"/>
            </w:tcBorders>
            <w:shd w:val="clear" w:color="auto" w:fill="FFFFFF"/>
            <w:vAlign w:val="center"/>
          </w:tcPr>
          <w:p>
            <w:pPr>
              <w:jc w:val="center"/>
              <w:rPr>
                <w:rFonts w:ascii="方正仿宋_GBK" w:hAnsi="方正仿宋_GBK" w:eastAsia="方正仿宋_GBK" w:cs="方正仿宋_GBK"/>
                <w:color w:val="000000"/>
                <w:kern w:val="0"/>
                <w:sz w:val="24"/>
              </w:rPr>
            </w:pPr>
            <w:r>
              <w:rPr>
                <w:rFonts w:ascii="方正仿宋_GBK" w:hAnsi="方正仿宋_GBK" w:eastAsia="方正仿宋_GBK" w:cs="方正仿宋_GBK"/>
                <w:color w:val="000000"/>
                <w:kern w:val="0"/>
                <w:sz w:val="24"/>
              </w:rPr>
              <w:t>8.0</w:t>
            </w:r>
          </w:p>
        </w:tc>
      </w:tr>
      <w:tr>
        <w:tblPrEx>
          <w:tblLayout w:type="fixed"/>
          <w:tblCellMar>
            <w:top w:w="15" w:type="dxa"/>
            <w:left w:w="15" w:type="dxa"/>
            <w:bottom w:w="15" w:type="dxa"/>
            <w:right w:w="15" w:type="dxa"/>
          </w:tblCellMar>
        </w:tblPrEx>
        <w:trPr>
          <w:trHeight w:val="555" w:hRule="atLeast"/>
        </w:trPr>
        <w:tc>
          <w:tcPr>
            <w:tcW w:w="1890" w:type="dxa"/>
            <w:tcBorders>
              <w:top w:val="single" w:color="000000" w:sz="4" w:space="0"/>
              <w:bottom w:val="single" w:color="000000" w:sz="4" w:space="0"/>
              <w:right w:val="single" w:color="auto" w:sz="4" w:space="0"/>
            </w:tcBorders>
            <w:shd w:val="clear" w:color="auto" w:fill="auto"/>
            <w:vAlign w:val="center"/>
          </w:tcPr>
          <w:p>
            <w:pPr>
              <w:widowControl/>
              <w:jc w:val="left"/>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 xml:space="preserve">  财产净收入</w:t>
            </w:r>
          </w:p>
        </w:tc>
        <w:tc>
          <w:tcPr>
            <w:tcW w:w="985" w:type="dxa"/>
            <w:tcBorders>
              <w:top w:val="nil"/>
              <w:left w:val="single" w:color="auto" w:sz="4" w:space="0"/>
              <w:bottom w:val="nil"/>
              <w:right w:val="nil"/>
            </w:tcBorders>
            <w:shd w:val="clear" w:color="auto" w:fill="auto"/>
            <w:vAlign w:val="center"/>
          </w:tcPr>
          <w:p>
            <w:pPr>
              <w:widowControl/>
              <w:jc w:val="center"/>
              <w:textAlignment w:val="center"/>
              <w:rPr>
                <w:rFonts w:ascii="方正仿宋_GBK" w:hAnsi="方正仿宋_GBK" w:eastAsia="方正仿宋_GBK" w:cs="方正仿宋_GBK"/>
                <w:color w:val="000000"/>
                <w:kern w:val="0"/>
                <w:sz w:val="24"/>
              </w:rPr>
            </w:pPr>
            <w:r>
              <w:rPr>
                <w:rFonts w:ascii="方正仿宋_GBK" w:hAnsi="方正仿宋_GBK" w:eastAsia="方正仿宋_GBK" w:cs="方正仿宋_GBK"/>
                <w:color w:val="000000"/>
                <w:kern w:val="0"/>
                <w:sz w:val="24"/>
              </w:rPr>
              <w:t>1444</w:t>
            </w:r>
          </w:p>
        </w:tc>
        <w:tc>
          <w:tcPr>
            <w:tcW w:w="1087" w:type="dxa"/>
            <w:tcBorders>
              <w:top w:val="nil"/>
              <w:left w:val="nil"/>
              <w:bottom w:val="nil"/>
              <w:right w:val="nil"/>
            </w:tcBorders>
            <w:shd w:val="clear" w:color="auto" w:fill="auto"/>
            <w:vAlign w:val="center"/>
          </w:tcPr>
          <w:p>
            <w:pPr>
              <w:widowControl/>
              <w:jc w:val="center"/>
              <w:textAlignment w:val="center"/>
              <w:rPr>
                <w:rFonts w:ascii="方正仿宋_GBK" w:hAnsi="方正仿宋_GBK" w:eastAsia="方正仿宋_GBK" w:cs="方正仿宋_GBK"/>
                <w:color w:val="000000"/>
                <w:kern w:val="0"/>
                <w:sz w:val="24"/>
              </w:rPr>
            </w:pPr>
            <w:r>
              <w:rPr>
                <w:rFonts w:ascii="方正仿宋_GBK" w:hAnsi="方正仿宋_GBK" w:eastAsia="方正仿宋_GBK" w:cs="方正仿宋_GBK"/>
                <w:color w:val="000000"/>
                <w:kern w:val="0"/>
                <w:sz w:val="24"/>
              </w:rPr>
              <w:t>9.0</w:t>
            </w:r>
          </w:p>
        </w:tc>
        <w:tc>
          <w:tcPr>
            <w:tcW w:w="985" w:type="dxa"/>
            <w:tcBorders>
              <w:top w:val="nil"/>
              <w:left w:val="nil"/>
              <w:bottom w:val="nil"/>
              <w:right w:val="nil"/>
            </w:tcBorders>
            <w:shd w:val="clear" w:color="auto" w:fill="auto"/>
            <w:vAlign w:val="center"/>
          </w:tcPr>
          <w:p>
            <w:pPr>
              <w:widowControl/>
              <w:jc w:val="center"/>
              <w:textAlignment w:val="center"/>
              <w:rPr>
                <w:rFonts w:ascii="方正仿宋_GBK" w:hAnsi="方正仿宋_GBK" w:eastAsia="方正仿宋_GBK" w:cs="方正仿宋_GBK"/>
                <w:color w:val="000000"/>
                <w:kern w:val="0"/>
                <w:sz w:val="24"/>
              </w:rPr>
            </w:pPr>
            <w:r>
              <w:rPr>
                <w:rFonts w:ascii="方正仿宋_GBK" w:hAnsi="方正仿宋_GBK" w:eastAsia="方正仿宋_GBK" w:cs="方正仿宋_GBK"/>
                <w:color w:val="000000"/>
                <w:kern w:val="0"/>
                <w:sz w:val="24"/>
              </w:rPr>
              <w:t>2440</w:t>
            </w:r>
          </w:p>
        </w:tc>
        <w:tc>
          <w:tcPr>
            <w:tcW w:w="1118" w:type="dxa"/>
            <w:tcBorders>
              <w:top w:val="nil"/>
              <w:left w:val="nil"/>
              <w:bottom w:val="nil"/>
              <w:right w:val="nil"/>
            </w:tcBorders>
            <w:shd w:val="clear" w:color="auto" w:fill="FFFFFF"/>
            <w:vAlign w:val="center"/>
          </w:tcPr>
          <w:p>
            <w:pPr>
              <w:widowControl/>
              <w:jc w:val="center"/>
              <w:textAlignment w:val="center"/>
              <w:rPr>
                <w:rFonts w:ascii="方正仿宋_GBK" w:hAnsi="方正仿宋_GBK" w:eastAsia="方正仿宋_GBK" w:cs="方正仿宋_GBK"/>
                <w:color w:val="000000"/>
                <w:kern w:val="0"/>
                <w:sz w:val="24"/>
              </w:rPr>
            </w:pPr>
            <w:r>
              <w:rPr>
                <w:rFonts w:ascii="方正仿宋_GBK" w:hAnsi="方正仿宋_GBK" w:eastAsia="方正仿宋_GBK" w:cs="方正仿宋_GBK"/>
                <w:color w:val="000000"/>
                <w:kern w:val="0"/>
                <w:sz w:val="24"/>
              </w:rPr>
              <w:t>5.6</w:t>
            </w:r>
          </w:p>
        </w:tc>
        <w:tc>
          <w:tcPr>
            <w:tcW w:w="985" w:type="dxa"/>
            <w:tcBorders>
              <w:top w:val="nil"/>
              <w:left w:val="nil"/>
              <w:bottom w:val="nil"/>
              <w:right w:val="nil"/>
            </w:tcBorders>
            <w:shd w:val="clear" w:color="auto" w:fill="auto"/>
            <w:vAlign w:val="center"/>
          </w:tcPr>
          <w:p>
            <w:pPr>
              <w:jc w:val="center"/>
              <w:rPr>
                <w:rFonts w:ascii="方正仿宋_GBK" w:hAnsi="方正仿宋_GBK" w:eastAsia="方正仿宋_GBK" w:cs="方正仿宋_GBK"/>
                <w:color w:val="000000"/>
                <w:kern w:val="0"/>
                <w:sz w:val="24"/>
              </w:rPr>
            </w:pPr>
            <w:r>
              <w:rPr>
                <w:rFonts w:ascii="方正仿宋_GBK" w:hAnsi="方正仿宋_GBK" w:eastAsia="方正仿宋_GBK" w:cs="方正仿宋_GBK"/>
                <w:color w:val="000000"/>
                <w:kern w:val="0"/>
                <w:sz w:val="24"/>
              </w:rPr>
              <w:t>236</w:t>
            </w:r>
          </w:p>
        </w:tc>
        <w:tc>
          <w:tcPr>
            <w:tcW w:w="1090" w:type="dxa"/>
            <w:tcBorders>
              <w:top w:val="nil"/>
              <w:left w:val="nil"/>
              <w:bottom w:val="nil"/>
            </w:tcBorders>
            <w:shd w:val="clear" w:color="auto" w:fill="FFFFFF"/>
            <w:vAlign w:val="center"/>
          </w:tcPr>
          <w:p>
            <w:pPr>
              <w:jc w:val="center"/>
              <w:rPr>
                <w:rFonts w:ascii="方正仿宋_GBK" w:hAnsi="方正仿宋_GBK" w:eastAsia="方正仿宋_GBK" w:cs="方正仿宋_GBK"/>
                <w:color w:val="000000"/>
                <w:kern w:val="0"/>
                <w:sz w:val="24"/>
              </w:rPr>
            </w:pPr>
            <w:r>
              <w:rPr>
                <w:rFonts w:ascii="方正仿宋_GBK" w:hAnsi="方正仿宋_GBK" w:eastAsia="方正仿宋_GBK" w:cs="方正仿宋_GBK"/>
                <w:color w:val="000000"/>
                <w:kern w:val="0"/>
                <w:sz w:val="24"/>
              </w:rPr>
              <w:t>8.3</w:t>
            </w:r>
          </w:p>
        </w:tc>
      </w:tr>
      <w:tr>
        <w:tblPrEx>
          <w:tblLayout w:type="fixed"/>
          <w:tblCellMar>
            <w:top w:w="15" w:type="dxa"/>
            <w:left w:w="15" w:type="dxa"/>
            <w:bottom w:w="15" w:type="dxa"/>
            <w:right w:w="15" w:type="dxa"/>
          </w:tblCellMar>
        </w:tblPrEx>
        <w:trPr>
          <w:trHeight w:val="582" w:hRule="atLeast"/>
        </w:trPr>
        <w:tc>
          <w:tcPr>
            <w:tcW w:w="1890" w:type="dxa"/>
            <w:tcBorders>
              <w:top w:val="single" w:color="000000" w:sz="4" w:space="0"/>
              <w:bottom w:val="single" w:color="000000" w:sz="4" w:space="0"/>
              <w:right w:val="single" w:color="auto" w:sz="4" w:space="0"/>
            </w:tcBorders>
            <w:shd w:val="clear" w:color="auto" w:fill="auto"/>
            <w:vAlign w:val="center"/>
          </w:tcPr>
          <w:p>
            <w:pPr>
              <w:widowControl/>
              <w:jc w:val="left"/>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 xml:space="preserve">  转移净收入</w:t>
            </w:r>
          </w:p>
        </w:tc>
        <w:tc>
          <w:tcPr>
            <w:tcW w:w="985" w:type="dxa"/>
            <w:tcBorders>
              <w:top w:val="nil"/>
              <w:left w:val="single" w:color="auto" w:sz="4" w:space="0"/>
              <w:bottom w:val="single" w:color="auto" w:sz="4" w:space="0"/>
              <w:right w:val="nil"/>
            </w:tcBorders>
            <w:shd w:val="clear" w:color="auto" w:fill="auto"/>
            <w:vAlign w:val="center"/>
          </w:tcPr>
          <w:p>
            <w:pPr>
              <w:widowControl/>
              <w:jc w:val="center"/>
              <w:textAlignment w:val="center"/>
              <w:rPr>
                <w:rFonts w:ascii="方正仿宋_GBK" w:hAnsi="方正仿宋_GBK" w:eastAsia="方正仿宋_GBK" w:cs="方正仿宋_GBK"/>
                <w:color w:val="000000"/>
                <w:kern w:val="0"/>
                <w:sz w:val="24"/>
              </w:rPr>
            </w:pPr>
            <w:r>
              <w:rPr>
                <w:rFonts w:ascii="方正仿宋_GBK" w:hAnsi="方正仿宋_GBK" w:eastAsia="方正仿宋_GBK" w:cs="方正仿宋_GBK"/>
                <w:color w:val="000000"/>
                <w:kern w:val="0"/>
                <w:sz w:val="24"/>
              </w:rPr>
              <w:t>6673</w:t>
            </w:r>
          </w:p>
        </w:tc>
        <w:tc>
          <w:tcPr>
            <w:tcW w:w="1087" w:type="dxa"/>
            <w:tcBorders>
              <w:top w:val="nil"/>
              <w:left w:val="nil"/>
              <w:bottom w:val="single" w:color="auto" w:sz="4" w:space="0"/>
              <w:right w:val="nil"/>
            </w:tcBorders>
            <w:shd w:val="clear" w:color="auto" w:fill="auto"/>
            <w:vAlign w:val="center"/>
          </w:tcPr>
          <w:p>
            <w:pPr>
              <w:widowControl/>
              <w:jc w:val="center"/>
              <w:textAlignment w:val="center"/>
              <w:rPr>
                <w:rFonts w:ascii="方正仿宋_GBK" w:hAnsi="方正仿宋_GBK" w:eastAsia="方正仿宋_GBK" w:cs="方正仿宋_GBK"/>
                <w:color w:val="000000"/>
                <w:kern w:val="0"/>
                <w:sz w:val="24"/>
              </w:rPr>
            </w:pPr>
            <w:r>
              <w:rPr>
                <w:rFonts w:ascii="方正仿宋_GBK" w:hAnsi="方正仿宋_GBK" w:eastAsia="方正仿宋_GBK" w:cs="方正仿宋_GBK"/>
                <w:color w:val="000000"/>
                <w:kern w:val="0"/>
                <w:sz w:val="24"/>
              </w:rPr>
              <w:t>10.3</w:t>
            </w:r>
          </w:p>
        </w:tc>
        <w:tc>
          <w:tcPr>
            <w:tcW w:w="985" w:type="dxa"/>
            <w:tcBorders>
              <w:top w:val="nil"/>
              <w:left w:val="nil"/>
              <w:bottom w:val="single" w:color="auto" w:sz="4" w:space="0"/>
              <w:right w:val="nil"/>
            </w:tcBorders>
            <w:shd w:val="clear" w:color="auto" w:fill="auto"/>
            <w:vAlign w:val="center"/>
          </w:tcPr>
          <w:p>
            <w:pPr>
              <w:widowControl/>
              <w:jc w:val="center"/>
              <w:textAlignment w:val="center"/>
              <w:rPr>
                <w:rFonts w:ascii="方正仿宋_GBK" w:hAnsi="方正仿宋_GBK" w:eastAsia="方正仿宋_GBK" w:cs="方正仿宋_GBK"/>
                <w:color w:val="000000"/>
                <w:kern w:val="0"/>
                <w:sz w:val="24"/>
              </w:rPr>
            </w:pPr>
            <w:r>
              <w:rPr>
                <w:rFonts w:ascii="方正仿宋_GBK" w:hAnsi="方正仿宋_GBK" w:eastAsia="方正仿宋_GBK" w:cs="方正仿宋_GBK"/>
                <w:color w:val="000000"/>
                <w:kern w:val="0"/>
                <w:sz w:val="24"/>
              </w:rPr>
              <w:t>8000</w:t>
            </w:r>
          </w:p>
        </w:tc>
        <w:tc>
          <w:tcPr>
            <w:tcW w:w="1118" w:type="dxa"/>
            <w:tcBorders>
              <w:top w:val="nil"/>
              <w:left w:val="nil"/>
              <w:bottom w:val="single" w:color="auto" w:sz="4" w:space="0"/>
              <w:right w:val="nil"/>
            </w:tcBorders>
            <w:shd w:val="clear" w:color="auto" w:fill="FFFFFF"/>
            <w:vAlign w:val="center"/>
          </w:tcPr>
          <w:p>
            <w:pPr>
              <w:widowControl/>
              <w:jc w:val="center"/>
              <w:textAlignment w:val="center"/>
              <w:rPr>
                <w:rFonts w:ascii="方正仿宋_GBK" w:hAnsi="方正仿宋_GBK" w:eastAsia="方正仿宋_GBK" w:cs="方正仿宋_GBK"/>
                <w:color w:val="000000"/>
                <w:kern w:val="0"/>
                <w:sz w:val="24"/>
              </w:rPr>
            </w:pPr>
            <w:r>
              <w:rPr>
                <w:rFonts w:ascii="方正仿宋_GBK" w:hAnsi="方正仿宋_GBK" w:eastAsia="方正仿宋_GBK" w:cs="方正仿宋_GBK"/>
                <w:color w:val="000000"/>
                <w:kern w:val="0"/>
                <w:sz w:val="24"/>
              </w:rPr>
              <w:t>9.4</w:t>
            </w:r>
          </w:p>
        </w:tc>
        <w:tc>
          <w:tcPr>
            <w:tcW w:w="985" w:type="dxa"/>
            <w:tcBorders>
              <w:top w:val="nil"/>
              <w:left w:val="nil"/>
              <w:bottom w:val="single" w:color="auto" w:sz="4" w:space="0"/>
              <w:right w:val="nil"/>
            </w:tcBorders>
            <w:shd w:val="clear" w:color="auto" w:fill="auto"/>
            <w:vAlign w:val="center"/>
          </w:tcPr>
          <w:p>
            <w:pPr>
              <w:jc w:val="center"/>
              <w:rPr>
                <w:rFonts w:ascii="方正仿宋_GBK" w:hAnsi="方正仿宋_GBK" w:eastAsia="方正仿宋_GBK" w:cs="方正仿宋_GBK"/>
                <w:color w:val="000000"/>
                <w:kern w:val="0"/>
                <w:sz w:val="24"/>
              </w:rPr>
            </w:pPr>
            <w:r>
              <w:rPr>
                <w:rFonts w:ascii="方正仿宋_GBK" w:hAnsi="方正仿宋_GBK" w:eastAsia="方正仿宋_GBK" w:cs="方正仿宋_GBK"/>
                <w:color w:val="000000"/>
                <w:kern w:val="0"/>
                <w:sz w:val="24"/>
              </w:rPr>
              <w:t>5062</w:t>
            </w:r>
          </w:p>
        </w:tc>
        <w:tc>
          <w:tcPr>
            <w:tcW w:w="1090" w:type="dxa"/>
            <w:tcBorders>
              <w:top w:val="nil"/>
              <w:left w:val="nil"/>
              <w:bottom w:val="single" w:color="auto" w:sz="4" w:space="0"/>
            </w:tcBorders>
            <w:shd w:val="clear" w:color="auto" w:fill="FFFFFF"/>
            <w:vAlign w:val="center"/>
          </w:tcPr>
          <w:p>
            <w:pPr>
              <w:jc w:val="center"/>
              <w:rPr>
                <w:rFonts w:ascii="方正仿宋_GBK" w:hAnsi="方正仿宋_GBK" w:eastAsia="方正仿宋_GBK" w:cs="方正仿宋_GBK"/>
                <w:color w:val="000000"/>
                <w:kern w:val="0"/>
                <w:sz w:val="24"/>
              </w:rPr>
            </w:pPr>
            <w:r>
              <w:rPr>
                <w:rFonts w:ascii="方正仿宋_GBK" w:hAnsi="方正仿宋_GBK" w:eastAsia="方正仿宋_GBK" w:cs="方正仿宋_GBK"/>
                <w:color w:val="000000"/>
                <w:kern w:val="0"/>
                <w:sz w:val="24"/>
              </w:rPr>
              <w:t>9.3</w:t>
            </w:r>
          </w:p>
        </w:tc>
      </w:tr>
    </w:tbl>
    <w:p>
      <w:pPr>
        <w:pStyle w:val="5"/>
        <w:tabs>
          <w:tab w:val="left" w:pos="1081"/>
        </w:tabs>
        <w:spacing w:before="0" w:beforeAutospacing="0" w:after="0" w:afterAutospacing="0"/>
        <w:ind w:right="44" w:firstLine="640" w:firstLineChars="200"/>
        <w:jc w:val="both"/>
        <w:rPr>
          <w:rStyle w:val="8"/>
          <w:rFonts w:ascii="方正仿宋_GBK" w:hAnsi="方正仿宋_GBK" w:eastAsia="方正仿宋_GBK" w:cs="方正仿宋_GBK"/>
          <w:b w:val="0"/>
          <w:color w:val="000000" w:themeColor="text1"/>
          <w:sz w:val="32"/>
          <w:szCs w:val="32"/>
          <w14:textFill>
            <w14:solidFill>
              <w14:schemeClr w14:val="tx1"/>
            </w14:solidFill>
          </w14:textFill>
        </w:rPr>
      </w:pPr>
      <w:r>
        <w:rPr>
          <w:rStyle w:val="8"/>
          <w:rFonts w:hint="eastAsia" w:ascii="方正仿宋_GBK" w:hAnsi="方正仿宋_GBK" w:eastAsia="方正仿宋_GBK" w:cs="方正仿宋_GBK"/>
          <w:b w:val="0"/>
          <w:color w:val="000000" w:themeColor="text1"/>
          <w:sz w:val="32"/>
          <w:szCs w:val="32"/>
          <w14:textFill>
            <w14:solidFill>
              <w14:schemeClr w14:val="tx1"/>
            </w14:solidFill>
          </w14:textFill>
        </w:rPr>
        <w:t>社会保障建设稳步推进。全区城镇企业职工基本养老保险参保人数为</w:t>
      </w:r>
      <w:r>
        <w:rPr>
          <w:rStyle w:val="8"/>
          <w:rFonts w:ascii="方正仿宋_GBK" w:hAnsi="方正仿宋_GBK" w:eastAsia="方正仿宋_GBK" w:cs="方正仿宋_GBK"/>
          <w:b w:val="0"/>
          <w:color w:val="000000" w:themeColor="text1"/>
          <w:sz w:val="32"/>
          <w:szCs w:val="32"/>
          <w14:textFill>
            <w14:solidFill>
              <w14:schemeClr w14:val="tx1"/>
            </w14:solidFill>
          </w14:textFill>
        </w:rPr>
        <w:t>107193</w:t>
      </w:r>
      <w:r>
        <w:rPr>
          <w:rStyle w:val="8"/>
          <w:rFonts w:hint="eastAsia" w:ascii="方正仿宋_GBK" w:hAnsi="方正仿宋_GBK" w:eastAsia="方正仿宋_GBK" w:cs="方正仿宋_GBK"/>
          <w:b w:val="0"/>
          <w:color w:val="000000" w:themeColor="text1"/>
          <w:sz w:val="32"/>
          <w:szCs w:val="32"/>
          <w14:textFill>
            <w14:solidFill>
              <w14:schemeClr w14:val="tx1"/>
            </w14:solidFill>
          </w14:textFill>
        </w:rPr>
        <w:t>人，比上年增长</w:t>
      </w:r>
      <w:r>
        <w:rPr>
          <w:rStyle w:val="8"/>
          <w:rFonts w:ascii="方正仿宋_GBK" w:hAnsi="方正仿宋_GBK" w:eastAsia="方正仿宋_GBK" w:cs="方正仿宋_GBK"/>
          <w:b w:val="0"/>
          <w:color w:val="000000" w:themeColor="text1"/>
          <w:sz w:val="32"/>
          <w:szCs w:val="32"/>
          <w14:textFill>
            <w14:solidFill>
              <w14:schemeClr w14:val="tx1"/>
            </w14:solidFill>
          </w14:textFill>
        </w:rPr>
        <w:t>8.5</w:t>
      </w:r>
      <w:r>
        <w:rPr>
          <w:rStyle w:val="8"/>
          <w:rFonts w:hint="eastAsia" w:ascii="方正仿宋_GBK" w:hAnsi="方正仿宋_GBK" w:eastAsia="方正仿宋_GBK" w:cs="方正仿宋_GBK"/>
          <w:b w:val="0"/>
          <w:color w:val="000000" w:themeColor="text1"/>
          <w:sz w:val="32"/>
          <w:szCs w:val="32"/>
          <w14:textFill>
            <w14:solidFill>
              <w14:schemeClr w14:val="tx1"/>
            </w14:solidFill>
          </w14:textFill>
        </w:rPr>
        <w:t>%。参加城乡居民基本养老保险人数34.32万人，比上年增长0.2%。城镇职工基本医疗保险参保人数</w:t>
      </w:r>
      <w:r>
        <w:rPr>
          <w:rStyle w:val="8"/>
          <w:rFonts w:ascii="方正仿宋_GBK" w:hAnsi="方正仿宋_GBK" w:eastAsia="方正仿宋_GBK" w:cs="方正仿宋_GBK"/>
          <w:b w:val="0"/>
          <w:color w:val="000000" w:themeColor="text1"/>
          <w:sz w:val="32"/>
          <w:szCs w:val="32"/>
          <w14:textFill>
            <w14:solidFill>
              <w14:schemeClr w14:val="tx1"/>
            </w14:solidFill>
          </w14:textFill>
        </w:rPr>
        <w:t>91226</w:t>
      </w:r>
      <w:r>
        <w:rPr>
          <w:rStyle w:val="8"/>
          <w:rFonts w:hint="eastAsia" w:ascii="方正仿宋_GBK" w:hAnsi="方正仿宋_GBK" w:eastAsia="方正仿宋_GBK" w:cs="方正仿宋_GBK"/>
          <w:b w:val="0"/>
          <w:color w:val="000000" w:themeColor="text1"/>
          <w:sz w:val="32"/>
          <w:szCs w:val="32"/>
          <w14:textFill>
            <w14:solidFill>
              <w14:schemeClr w14:val="tx1"/>
            </w14:solidFill>
          </w14:textFill>
        </w:rPr>
        <w:t>人，增长</w:t>
      </w:r>
      <w:r>
        <w:rPr>
          <w:rStyle w:val="8"/>
          <w:rFonts w:ascii="方正仿宋_GBK" w:hAnsi="方正仿宋_GBK" w:eastAsia="方正仿宋_GBK" w:cs="方正仿宋_GBK"/>
          <w:b w:val="0"/>
          <w:color w:val="000000" w:themeColor="text1"/>
          <w:sz w:val="32"/>
          <w:szCs w:val="32"/>
          <w14:textFill>
            <w14:solidFill>
              <w14:schemeClr w14:val="tx1"/>
            </w14:solidFill>
          </w14:textFill>
        </w:rPr>
        <w:t>5.9</w:t>
      </w:r>
      <w:r>
        <w:rPr>
          <w:rStyle w:val="8"/>
          <w:rFonts w:hint="eastAsia" w:ascii="方正仿宋_GBK" w:hAnsi="方正仿宋_GBK" w:eastAsia="方正仿宋_GBK" w:cs="方正仿宋_GBK"/>
          <w:b w:val="0"/>
          <w:color w:val="000000" w:themeColor="text1"/>
          <w:sz w:val="32"/>
          <w:szCs w:val="32"/>
          <w14:textFill>
            <w14:solidFill>
              <w14:schemeClr w14:val="tx1"/>
            </w14:solidFill>
          </w14:textFill>
        </w:rPr>
        <w:t>%；城乡居民合作医疗保险参保人数</w:t>
      </w:r>
      <w:r>
        <w:rPr>
          <w:rStyle w:val="8"/>
          <w:rFonts w:ascii="方正仿宋_GBK" w:hAnsi="方正仿宋_GBK" w:eastAsia="方正仿宋_GBK" w:cs="方正仿宋_GBK"/>
          <w:b w:val="0"/>
          <w:color w:val="000000" w:themeColor="text1"/>
          <w:sz w:val="32"/>
          <w:szCs w:val="32"/>
          <w14:textFill>
            <w14:solidFill>
              <w14:schemeClr w14:val="tx1"/>
            </w14:solidFill>
          </w14:textFill>
        </w:rPr>
        <w:t>678779</w:t>
      </w:r>
      <w:r>
        <w:rPr>
          <w:rStyle w:val="8"/>
          <w:rFonts w:hint="eastAsia" w:ascii="方正仿宋_GBK" w:hAnsi="方正仿宋_GBK" w:eastAsia="方正仿宋_GBK" w:cs="方正仿宋_GBK"/>
          <w:b w:val="0"/>
          <w:color w:val="000000" w:themeColor="text1"/>
          <w:sz w:val="32"/>
          <w:szCs w:val="32"/>
          <w14:textFill>
            <w14:solidFill>
              <w14:schemeClr w14:val="tx1"/>
            </w14:solidFill>
          </w14:textFill>
        </w:rPr>
        <w:t>人，下降</w:t>
      </w:r>
      <w:r>
        <w:rPr>
          <w:rStyle w:val="8"/>
          <w:rFonts w:ascii="方正仿宋_GBK" w:hAnsi="方正仿宋_GBK" w:eastAsia="方正仿宋_GBK" w:cs="方正仿宋_GBK"/>
          <w:b w:val="0"/>
          <w:color w:val="000000" w:themeColor="text1"/>
          <w:sz w:val="32"/>
          <w:szCs w:val="32"/>
          <w14:textFill>
            <w14:solidFill>
              <w14:schemeClr w14:val="tx1"/>
            </w14:solidFill>
          </w14:textFill>
        </w:rPr>
        <w:t>0.3</w:t>
      </w:r>
      <w:r>
        <w:rPr>
          <w:rStyle w:val="8"/>
          <w:rFonts w:hint="eastAsia" w:ascii="方正仿宋_GBK" w:hAnsi="方正仿宋_GBK" w:eastAsia="方正仿宋_GBK" w:cs="方正仿宋_GBK"/>
          <w:b w:val="0"/>
          <w:color w:val="000000" w:themeColor="text1"/>
          <w:sz w:val="32"/>
          <w:szCs w:val="32"/>
          <w14:textFill>
            <w14:solidFill>
              <w14:schemeClr w14:val="tx1"/>
            </w14:solidFill>
          </w14:textFill>
        </w:rPr>
        <w:t>%，全年城乡居民合作医疗基金总支出</w:t>
      </w:r>
      <w:r>
        <w:rPr>
          <w:rStyle w:val="8"/>
          <w:rFonts w:ascii="方正仿宋_GBK" w:hAnsi="方正仿宋_GBK" w:eastAsia="方正仿宋_GBK" w:cs="方正仿宋_GBK"/>
          <w:b w:val="0"/>
          <w:color w:val="000000" w:themeColor="text1"/>
          <w:sz w:val="32"/>
          <w:szCs w:val="32"/>
          <w14:textFill>
            <w14:solidFill>
              <w14:schemeClr w14:val="tx1"/>
            </w14:solidFill>
          </w14:textFill>
        </w:rPr>
        <w:t>44834</w:t>
      </w:r>
      <w:r>
        <w:rPr>
          <w:rStyle w:val="8"/>
          <w:rFonts w:hint="eastAsia" w:ascii="方正仿宋_GBK" w:hAnsi="方正仿宋_GBK" w:eastAsia="方正仿宋_GBK" w:cs="方正仿宋_GBK"/>
          <w:b w:val="0"/>
          <w:color w:val="000000" w:themeColor="text1"/>
          <w:sz w:val="32"/>
          <w:szCs w:val="32"/>
          <w14:textFill>
            <w14:solidFill>
              <w14:schemeClr w14:val="tx1"/>
            </w14:solidFill>
          </w14:textFill>
        </w:rPr>
        <w:t>万元。工伤保险参保人数</w:t>
      </w:r>
      <w:r>
        <w:rPr>
          <w:rStyle w:val="8"/>
          <w:rFonts w:ascii="方正仿宋_GBK" w:hAnsi="方正仿宋_GBK" w:eastAsia="方正仿宋_GBK" w:cs="方正仿宋_GBK"/>
          <w:b w:val="0"/>
          <w:color w:val="000000" w:themeColor="text1"/>
          <w:sz w:val="32"/>
          <w:szCs w:val="32"/>
          <w14:textFill>
            <w14:solidFill>
              <w14:schemeClr w14:val="tx1"/>
            </w14:solidFill>
          </w14:textFill>
        </w:rPr>
        <w:t>91801</w:t>
      </w:r>
      <w:r>
        <w:rPr>
          <w:rStyle w:val="8"/>
          <w:rFonts w:hint="eastAsia" w:ascii="方正仿宋_GBK" w:hAnsi="方正仿宋_GBK" w:eastAsia="方正仿宋_GBK" w:cs="方正仿宋_GBK"/>
          <w:b w:val="0"/>
          <w:color w:val="000000" w:themeColor="text1"/>
          <w:sz w:val="32"/>
          <w:szCs w:val="32"/>
          <w14:textFill>
            <w14:solidFill>
              <w14:schemeClr w14:val="tx1"/>
            </w14:solidFill>
          </w14:textFill>
        </w:rPr>
        <w:t>人，增长</w:t>
      </w:r>
      <w:r>
        <w:rPr>
          <w:rStyle w:val="8"/>
          <w:rFonts w:ascii="方正仿宋_GBK" w:hAnsi="方正仿宋_GBK" w:eastAsia="方正仿宋_GBK" w:cs="方正仿宋_GBK"/>
          <w:b w:val="0"/>
          <w:color w:val="000000" w:themeColor="text1"/>
          <w:sz w:val="32"/>
          <w:szCs w:val="32"/>
          <w14:textFill>
            <w14:solidFill>
              <w14:schemeClr w14:val="tx1"/>
            </w14:solidFill>
          </w14:textFill>
        </w:rPr>
        <w:t>3.9</w:t>
      </w:r>
      <w:r>
        <w:rPr>
          <w:rStyle w:val="8"/>
          <w:rFonts w:hint="eastAsia" w:ascii="方正仿宋_GBK" w:hAnsi="方正仿宋_GBK" w:eastAsia="方正仿宋_GBK" w:cs="方正仿宋_GBK"/>
          <w:b w:val="0"/>
          <w:color w:val="000000" w:themeColor="text1"/>
          <w:sz w:val="32"/>
          <w:szCs w:val="32"/>
          <w14:textFill>
            <w14:solidFill>
              <w14:schemeClr w14:val="tx1"/>
            </w14:solidFill>
          </w14:textFill>
        </w:rPr>
        <w:t>％；生育保险参保人数</w:t>
      </w:r>
      <w:r>
        <w:rPr>
          <w:rStyle w:val="8"/>
          <w:rFonts w:ascii="方正仿宋_GBK" w:hAnsi="方正仿宋_GBK" w:eastAsia="方正仿宋_GBK" w:cs="方正仿宋_GBK"/>
          <w:b w:val="0"/>
          <w:color w:val="000000" w:themeColor="text1"/>
          <w:sz w:val="32"/>
          <w:szCs w:val="32"/>
          <w14:textFill>
            <w14:solidFill>
              <w14:schemeClr w14:val="tx1"/>
            </w14:solidFill>
          </w14:textFill>
        </w:rPr>
        <w:t>48407</w:t>
      </w:r>
      <w:r>
        <w:rPr>
          <w:rStyle w:val="8"/>
          <w:rFonts w:hint="eastAsia" w:ascii="方正仿宋_GBK" w:hAnsi="方正仿宋_GBK" w:eastAsia="方正仿宋_GBK" w:cs="方正仿宋_GBK"/>
          <w:b w:val="0"/>
          <w:color w:val="000000" w:themeColor="text1"/>
          <w:sz w:val="32"/>
          <w:szCs w:val="32"/>
          <w14:textFill>
            <w14:solidFill>
              <w14:schemeClr w14:val="tx1"/>
            </w14:solidFill>
          </w14:textFill>
        </w:rPr>
        <w:t>人，增长</w:t>
      </w:r>
      <w:r>
        <w:rPr>
          <w:rStyle w:val="8"/>
          <w:rFonts w:ascii="方正仿宋_GBK" w:hAnsi="方正仿宋_GBK" w:eastAsia="方正仿宋_GBK" w:cs="方正仿宋_GBK"/>
          <w:b w:val="0"/>
          <w:color w:val="000000" w:themeColor="text1"/>
          <w:sz w:val="32"/>
          <w:szCs w:val="32"/>
          <w14:textFill>
            <w14:solidFill>
              <w14:schemeClr w14:val="tx1"/>
            </w14:solidFill>
          </w14:textFill>
        </w:rPr>
        <w:t>6.1</w:t>
      </w:r>
      <w:r>
        <w:rPr>
          <w:rStyle w:val="8"/>
          <w:rFonts w:hint="eastAsia" w:ascii="方正仿宋_GBK" w:hAnsi="方正仿宋_GBK" w:eastAsia="方正仿宋_GBK" w:cs="方正仿宋_GBK"/>
          <w:b w:val="0"/>
          <w:color w:val="000000" w:themeColor="text1"/>
          <w:sz w:val="32"/>
          <w:szCs w:val="32"/>
          <w14:textFill>
            <w14:solidFill>
              <w14:schemeClr w14:val="tx1"/>
            </w14:solidFill>
          </w14:textFill>
        </w:rPr>
        <w:t>％。领取失业保险金人数</w:t>
      </w:r>
      <w:r>
        <w:rPr>
          <w:rStyle w:val="8"/>
          <w:rFonts w:ascii="方正仿宋_GBK" w:hAnsi="方正仿宋_GBK" w:eastAsia="方正仿宋_GBK" w:cs="方正仿宋_GBK"/>
          <w:b w:val="0"/>
          <w:color w:val="000000" w:themeColor="text1"/>
          <w:sz w:val="32"/>
          <w:szCs w:val="32"/>
          <w14:textFill>
            <w14:solidFill>
              <w14:schemeClr w14:val="tx1"/>
            </w14:solidFill>
          </w14:textFill>
        </w:rPr>
        <w:t>1546</w:t>
      </w:r>
      <w:r>
        <w:rPr>
          <w:rStyle w:val="8"/>
          <w:rFonts w:hint="eastAsia" w:ascii="方正仿宋_GBK" w:hAnsi="方正仿宋_GBK" w:eastAsia="方正仿宋_GBK" w:cs="方正仿宋_GBK"/>
          <w:b w:val="0"/>
          <w:color w:val="000000" w:themeColor="text1"/>
          <w:sz w:val="32"/>
          <w:szCs w:val="32"/>
          <w14:textFill>
            <w14:solidFill>
              <w14:schemeClr w14:val="tx1"/>
            </w14:solidFill>
          </w14:textFill>
        </w:rPr>
        <w:t>人，下降13.1 %。</w:t>
      </w:r>
    </w:p>
    <w:p>
      <w:pPr>
        <w:pStyle w:val="5"/>
        <w:spacing w:before="0" w:beforeAutospacing="0" w:after="0" w:afterAutospacing="0"/>
        <w:ind w:left="44" w:right="44" w:firstLine="643" w:firstLineChars="200"/>
        <w:jc w:val="both"/>
        <w:rPr>
          <w:rFonts w:ascii="方正黑体_GBK" w:hAnsi="方正黑体_GBK" w:eastAsia="方正黑体_GBK" w:cs="方正黑体_GBK"/>
          <w:b/>
          <w:kern w:val="2"/>
          <w:sz w:val="32"/>
          <w:szCs w:val="32"/>
        </w:rPr>
      </w:pPr>
      <w:r>
        <w:rPr>
          <w:rFonts w:hint="eastAsia" w:ascii="方正黑体_GBK" w:hAnsi="方正黑体_GBK" w:eastAsia="方正黑体_GBK" w:cs="方正黑体_GBK"/>
          <w:b/>
          <w:kern w:val="2"/>
          <w:sz w:val="32"/>
          <w:szCs w:val="32"/>
        </w:rPr>
        <w:t>十、教育、科学技术和文化</w:t>
      </w:r>
    </w:p>
    <w:p>
      <w:pPr>
        <w:pStyle w:val="5"/>
        <w:spacing w:before="0" w:beforeAutospacing="0" w:after="0" w:afterAutospacing="0"/>
        <w:ind w:left="44" w:right="44" w:firstLine="640" w:firstLineChars="200"/>
        <w:jc w:val="both"/>
        <w:rPr>
          <w:rFonts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rPr>
        <w:t>全区共有区属各类学校291所。其中，普通中学 20所（含4所高完中），中等职业学校2 所，小学 124所，幼儿园144所，特殊学校１所。普通初中招生8544人，在校生</w:t>
      </w:r>
      <w:r>
        <w:rPr>
          <w:rFonts w:ascii="方正仿宋_GBK" w:hAnsi="方正仿宋_GBK" w:eastAsia="方正仿宋_GBK" w:cs="方正仿宋_GBK"/>
          <w:kern w:val="2"/>
          <w:sz w:val="32"/>
          <w:szCs w:val="32"/>
        </w:rPr>
        <w:t>25025</w:t>
      </w:r>
      <w:r>
        <w:rPr>
          <w:rFonts w:hint="eastAsia" w:ascii="方正仿宋_GBK" w:hAnsi="方正仿宋_GBK" w:eastAsia="方正仿宋_GBK" w:cs="方正仿宋_GBK"/>
          <w:kern w:val="2"/>
          <w:sz w:val="32"/>
          <w:szCs w:val="32"/>
        </w:rPr>
        <w:t>人，毕业生</w:t>
      </w:r>
      <w:r>
        <w:rPr>
          <w:rFonts w:ascii="方正仿宋_GBK" w:hAnsi="方正仿宋_GBK" w:eastAsia="方正仿宋_GBK" w:cs="方正仿宋_GBK"/>
          <w:kern w:val="2"/>
          <w:sz w:val="32"/>
          <w:szCs w:val="32"/>
        </w:rPr>
        <w:t>7309</w:t>
      </w:r>
      <w:r>
        <w:rPr>
          <w:rFonts w:hint="eastAsia" w:ascii="方正仿宋_GBK" w:hAnsi="方正仿宋_GBK" w:eastAsia="方正仿宋_GBK" w:cs="方正仿宋_GBK"/>
          <w:kern w:val="2"/>
          <w:sz w:val="32"/>
          <w:szCs w:val="32"/>
        </w:rPr>
        <w:t>人；普通高中招生</w:t>
      </w:r>
      <w:r>
        <w:rPr>
          <w:rFonts w:ascii="方正仿宋_GBK" w:hAnsi="方正仿宋_GBK" w:eastAsia="方正仿宋_GBK" w:cs="方正仿宋_GBK"/>
          <w:kern w:val="2"/>
          <w:sz w:val="32"/>
          <w:szCs w:val="32"/>
        </w:rPr>
        <w:t>4525</w:t>
      </w:r>
      <w:r>
        <w:rPr>
          <w:rFonts w:hint="eastAsia" w:ascii="方正仿宋_GBK" w:hAnsi="方正仿宋_GBK" w:eastAsia="方正仿宋_GBK" w:cs="方正仿宋_GBK"/>
          <w:kern w:val="2"/>
          <w:sz w:val="32"/>
          <w:szCs w:val="32"/>
        </w:rPr>
        <w:t>人，在校生</w:t>
      </w:r>
      <w:r>
        <w:rPr>
          <w:rFonts w:ascii="方正仿宋_GBK" w:hAnsi="方正仿宋_GBK" w:eastAsia="方正仿宋_GBK" w:cs="方正仿宋_GBK"/>
          <w:kern w:val="2"/>
          <w:sz w:val="32"/>
          <w:szCs w:val="32"/>
        </w:rPr>
        <w:t>13546</w:t>
      </w:r>
      <w:r>
        <w:rPr>
          <w:rFonts w:hint="eastAsia" w:ascii="方正仿宋_GBK" w:hAnsi="方正仿宋_GBK" w:eastAsia="方正仿宋_GBK" w:cs="方正仿宋_GBK"/>
          <w:kern w:val="2"/>
          <w:sz w:val="32"/>
          <w:szCs w:val="32"/>
        </w:rPr>
        <w:t>人，毕业生</w:t>
      </w:r>
      <w:r>
        <w:rPr>
          <w:rFonts w:ascii="方正仿宋_GBK" w:hAnsi="方正仿宋_GBK" w:eastAsia="方正仿宋_GBK" w:cs="方正仿宋_GBK"/>
          <w:kern w:val="2"/>
          <w:sz w:val="32"/>
          <w:szCs w:val="32"/>
        </w:rPr>
        <w:t>4525</w:t>
      </w:r>
      <w:r>
        <w:rPr>
          <w:rFonts w:hint="eastAsia" w:ascii="方正仿宋_GBK" w:hAnsi="方正仿宋_GBK" w:eastAsia="方正仿宋_GBK" w:cs="方正仿宋_GBK"/>
          <w:kern w:val="2"/>
          <w:sz w:val="32"/>
          <w:szCs w:val="32"/>
        </w:rPr>
        <w:t>人；小学招生</w:t>
      </w:r>
      <w:r>
        <w:rPr>
          <w:rFonts w:ascii="方正仿宋_GBK" w:hAnsi="方正仿宋_GBK" w:eastAsia="方正仿宋_GBK" w:cs="方正仿宋_GBK"/>
          <w:kern w:val="2"/>
          <w:sz w:val="32"/>
          <w:szCs w:val="32"/>
        </w:rPr>
        <w:t>6862</w:t>
      </w:r>
      <w:r>
        <w:rPr>
          <w:rFonts w:hint="eastAsia" w:ascii="方正仿宋_GBK" w:hAnsi="方正仿宋_GBK" w:eastAsia="方正仿宋_GBK" w:cs="方正仿宋_GBK"/>
          <w:kern w:val="2"/>
          <w:sz w:val="32"/>
          <w:szCs w:val="32"/>
        </w:rPr>
        <w:t>人，在校生</w:t>
      </w:r>
      <w:r>
        <w:rPr>
          <w:rFonts w:ascii="方正仿宋_GBK" w:hAnsi="方正仿宋_GBK" w:eastAsia="方正仿宋_GBK" w:cs="方正仿宋_GBK"/>
          <w:kern w:val="2"/>
          <w:sz w:val="32"/>
          <w:szCs w:val="32"/>
        </w:rPr>
        <w:t>47239</w:t>
      </w:r>
      <w:r>
        <w:rPr>
          <w:rFonts w:hint="eastAsia" w:ascii="方正仿宋_GBK" w:hAnsi="方正仿宋_GBK" w:eastAsia="方正仿宋_GBK" w:cs="方正仿宋_GBK"/>
          <w:kern w:val="2"/>
          <w:sz w:val="32"/>
          <w:szCs w:val="32"/>
        </w:rPr>
        <w:t>人，毕业生</w:t>
      </w:r>
      <w:r>
        <w:rPr>
          <w:rFonts w:ascii="方正仿宋_GBK" w:hAnsi="方正仿宋_GBK" w:eastAsia="方正仿宋_GBK" w:cs="方正仿宋_GBK"/>
          <w:kern w:val="2"/>
          <w:sz w:val="32"/>
          <w:szCs w:val="32"/>
        </w:rPr>
        <w:t>8504</w:t>
      </w:r>
      <w:r>
        <w:rPr>
          <w:rFonts w:hint="eastAsia" w:ascii="方正仿宋_GBK" w:hAnsi="方正仿宋_GBK" w:eastAsia="方正仿宋_GBK" w:cs="方正仿宋_GBK"/>
          <w:kern w:val="2"/>
          <w:sz w:val="32"/>
          <w:szCs w:val="32"/>
        </w:rPr>
        <w:t>人；中等职业学校招生</w:t>
      </w:r>
      <w:r>
        <w:rPr>
          <w:rFonts w:ascii="方正仿宋_GBK" w:hAnsi="方正仿宋_GBK" w:eastAsia="方正仿宋_GBK" w:cs="方正仿宋_GBK"/>
          <w:kern w:val="2"/>
          <w:sz w:val="32"/>
          <w:szCs w:val="32"/>
        </w:rPr>
        <w:t>2033</w:t>
      </w:r>
      <w:r>
        <w:rPr>
          <w:rFonts w:hint="eastAsia" w:ascii="方正仿宋_GBK" w:hAnsi="方正仿宋_GBK" w:eastAsia="方正仿宋_GBK" w:cs="方正仿宋_GBK"/>
          <w:kern w:val="2"/>
          <w:sz w:val="32"/>
          <w:szCs w:val="32"/>
        </w:rPr>
        <w:t>人，在校生</w:t>
      </w:r>
      <w:r>
        <w:rPr>
          <w:rFonts w:ascii="方正仿宋_GBK" w:hAnsi="方正仿宋_GBK" w:eastAsia="方正仿宋_GBK" w:cs="方正仿宋_GBK"/>
          <w:kern w:val="2"/>
          <w:sz w:val="32"/>
          <w:szCs w:val="32"/>
        </w:rPr>
        <w:t>5191</w:t>
      </w:r>
      <w:r>
        <w:rPr>
          <w:rFonts w:hint="eastAsia" w:ascii="方正仿宋_GBK" w:hAnsi="方正仿宋_GBK" w:eastAsia="方正仿宋_GBK" w:cs="方正仿宋_GBK"/>
          <w:kern w:val="2"/>
          <w:sz w:val="32"/>
          <w:szCs w:val="32"/>
        </w:rPr>
        <w:t>人，毕业生</w:t>
      </w:r>
      <w:r>
        <w:rPr>
          <w:rFonts w:ascii="方正仿宋_GBK" w:hAnsi="方正仿宋_GBK" w:eastAsia="方正仿宋_GBK" w:cs="方正仿宋_GBK"/>
          <w:kern w:val="2"/>
          <w:sz w:val="32"/>
          <w:szCs w:val="32"/>
        </w:rPr>
        <w:t>1378</w:t>
      </w:r>
      <w:r>
        <w:rPr>
          <w:rFonts w:hint="eastAsia" w:ascii="方正仿宋_GBK" w:hAnsi="方正仿宋_GBK" w:eastAsia="方正仿宋_GBK" w:cs="方正仿宋_GBK"/>
          <w:kern w:val="2"/>
          <w:sz w:val="32"/>
          <w:szCs w:val="32"/>
        </w:rPr>
        <w:t>人；学前教育招生</w:t>
      </w:r>
      <w:r>
        <w:rPr>
          <w:rFonts w:ascii="方正仿宋_GBK" w:hAnsi="方正仿宋_GBK" w:eastAsia="方正仿宋_GBK" w:cs="方正仿宋_GBK"/>
          <w:kern w:val="2"/>
          <w:sz w:val="32"/>
          <w:szCs w:val="32"/>
        </w:rPr>
        <w:t>8475</w:t>
      </w:r>
      <w:r>
        <w:rPr>
          <w:rFonts w:hint="eastAsia" w:ascii="方正仿宋_GBK" w:hAnsi="方正仿宋_GBK" w:eastAsia="方正仿宋_GBK" w:cs="方正仿宋_GBK"/>
          <w:kern w:val="2"/>
          <w:sz w:val="32"/>
          <w:szCs w:val="32"/>
        </w:rPr>
        <w:t>人，在校生</w:t>
      </w:r>
      <w:r>
        <w:rPr>
          <w:rFonts w:ascii="方正仿宋_GBK" w:hAnsi="方正仿宋_GBK" w:eastAsia="方正仿宋_GBK" w:cs="方正仿宋_GBK"/>
          <w:kern w:val="2"/>
          <w:sz w:val="32"/>
          <w:szCs w:val="32"/>
        </w:rPr>
        <w:t>20399</w:t>
      </w:r>
      <w:r>
        <w:rPr>
          <w:rFonts w:hint="eastAsia" w:ascii="方正仿宋_GBK" w:hAnsi="方正仿宋_GBK" w:eastAsia="方正仿宋_GBK" w:cs="方正仿宋_GBK"/>
          <w:kern w:val="2"/>
          <w:sz w:val="32"/>
          <w:szCs w:val="32"/>
        </w:rPr>
        <w:t>人，毕业生8400人；特殊学校招生16人，在校生</w:t>
      </w:r>
      <w:r>
        <w:rPr>
          <w:rFonts w:ascii="方正仿宋_GBK" w:hAnsi="方正仿宋_GBK" w:eastAsia="方正仿宋_GBK" w:cs="方正仿宋_GBK"/>
          <w:kern w:val="2"/>
          <w:sz w:val="32"/>
          <w:szCs w:val="32"/>
        </w:rPr>
        <w:t>182</w:t>
      </w:r>
      <w:r>
        <w:rPr>
          <w:rFonts w:hint="eastAsia" w:ascii="方正仿宋_GBK" w:hAnsi="方正仿宋_GBK" w:eastAsia="方正仿宋_GBK" w:cs="方正仿宋_GBK"/>
          <w:kern w:val="2"/>
          <w:sz w:val="32"/>
          <w:szCs w:val="32"/>
        </w:rPr>
        <w:t>人，毕业生</w:t>
      </w:r>
      <w:r>
        <w:rPr>
          <w:rFonts w:ascii="方正仿宋_GBK" w:hAnsi="方正仿宋_GBK" w:eastAsia="方正仿宋_GBK" w:cs="方正仿宋_GBK"/>
          <w:kern w:val="2"/>
          <w:sz w:val="32"/>
          <w:szCs w:val="32"/>
        </w:rPr>
        <w:t>17</w:t>
      </w:r>
      <w:r>
        <w:rPr>
          <w:rFonts w:hint="eastAsia" w:ascii="方正仿宋_GBK" w:hAnsi="方正仿宋_GBK" w:eastAsia="方正仿宋_GBK" w:cs="方正仿宋_GBK"/>
          <w:kern w:val="2"/>
          <w:sz w:val="32"/>
          <w:szCs w:val="32"/>
        </w:rPr>
        <w:t>人。2018年全年全区初中入学率为100%，小学的入学率为100%。</w:t>
      </w:r>
    </w:p>
    <w:p>
      <w:pPr>
        <w:pStyle w:val="5"/>
        <w:spacing w:before="0" w:beforeAutospacing="0" w:after="0" w:afterAutospacing="0"/>
        <w:ind w:right="44"/>
        <w:jc w:val="both"/>
        <w:rPr>
          <w:rFonts w:ascii="方正仿宋_GBK" w:hAnsi="方正仿宋_GBK" w:eastAsia="方正仿宋_GBK" w:cs="方正仿宋_GBK"/>
          <w:kern w:val="2"/>
          <w:sz w:val="32"/>
          <w:szCs w:val="32"/>
        </w:rPr>
      </w:pPr>
      <w:r>
        <w:drawing>
          <wp:inline distT="0" distB="0" distL="0" distR="0">
            <wp:extent cx="5057775" cy="2819400"/>
            <wp:effectExtent l="0" t="0" r="9525" b="0"/>
            <wp:docPr id="14"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pStyle w:val="5"/>
        <w:tabs>
          <w:tab w:val="left" w:pos="796"/>
        </w:tabs>
        <w:spacing w:before="0" w:beforeAutospacing="0" w:after="0" w:afterAutospacing="0"/>
        <w:ind w:left="45" w:right="45" w:firstLine="560" w:firstLineChars="200"/>
        <w:jc w:val="both"/>
        <w:rPr>
          <w:rFonts w:ascii="方正仿宋_GBK" w:hAnsi="方正仿宋_GBK" w:eastAsia="方正仿宋_GBK" w:cs="方正仿宋_GBK"/>
          <w:kern w:val="2"/>
          <w:sz w:val="28"/>
          <w:szCs w:val="28"/>
        </w:rPr>
      </w:pPr>
      <w:r>
        <w:rPr>
          <w:rFonts w:hint="eastAsia" w:ascii="方正仿宋_GBK" w:hAnsi="方正仿宋_GBK" w:eastAsia="方正仿宋_GBK" w:cs="方正仿宋_GBK"/>
          <w:kern w:val="2"/>
          <w:sz w:val="28"/>
          <w:szCs w:val="28"/>
        </w:rPr>
        <w:tab/>
      </w:r>
      <w:r>
        <w:rPr>
          <w:rFonts w:hint="eastAsia" w:ascii="方正仿宋_GBK" w:hAnsi="方正仿宋_GBK" w:eastAsia="方正仿宋_GBK" w:cs="方正仿宋_GBK"/>
          <w:kern w:val="2"/>
          <w:sz w:val="28"/>
          <w:szCs w:val="28"/>
        </w:rPr>
        <w:tab/>
      </w:r>
    </w:p>
    <w:p>
      <w:pPr>
        <w:pStyle w:val="5"/>
        <w:spacing w:before="0" w:beforeAutospacing="0" w:after="0" w:afterAutospacing="0"/>
        <w:ind w:left="45" w:right="45" w:firstLine="640" w:firstLineChars="200"/>
        <w:jc w:val="both"/>
        <w:rPr>
          <w:rFonts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rPr>
        <w:t>全年高新技术企业44家，</w:t>
      </w:r>
      <w:r>
        <w:rPr>
          <w:rFonts w:ascii="方正仿宋_GBK" w:hAnsi="方正仿宋_GBK" w:eastAsia="方正仿宋_GBK" w:cs="方正仿宋_GBK"/>
          <w:kern w:val="2"/>
          <w:sz w:val="32"/>
          <w:szCs w:val="32"/>
        </w:rPr>
        <w:t>市级科技型企业</w:t>
      </w:r>
      <w:r>
        <w:rPr>
          <w:rFonts w:hint="eastAsia" w:ascii="方正仿宋_GBK" w:hAnsi="方正仿宋_GBK" w:eastAsia="方正仿宋_GBK" w:cs="方正仿宋_GBK"/>
          <w:kern w:val="2"/>
          <w:sz w:val="32"/>
          <w:szCs w:val="32"/>
        </w:rPr>
        <w:t>280家；高新技术产品200个。全年获得专利授权491件。</w:t>
      </w:r>
    </w:p>
    <w:p>
      <w:pPr>
        <w:pStyle w:val="5"/>
        <w:spacing w:before="0" w:beforeAutospacing="0" w:after="0" w:afterAutospacing="0"/>
        <w:ind w:left="45" w:right="45" w:firstLine="640" w:firstLineChars="200"/>
        <w:jc w:val="both"/>
        <w:rPr>
          <w:rFonts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rPr>
        <w:t>全区共有中国驰名商标3件；地理标志量5件。</w:t>
      </w:r>
    </w:p>
    <w:p>
      <w:pPr>
        <w:pStyle w:val="5"/>
        <w:spacing w:before="0" w:beforeAutospacing="0" w:after="0" w:afterAutospacing="0"/>
        <w:ind w:left="45" w:right="45" w:firstLine="640" w:firstLineChars="200"/>
        <w:jc w:val="both"/>
        <w:rPr>
          <w:rFonts w:ascii="方正仿宋_GBK" w:hAnsi="方正仿宋_GBK" w:eastAsia="方正仿宋_GBK" w:cs="方正仿宋_GBK"/>
          <w:color w:val="0000FF"/>
          <w:kern w:val="2"/>
          <w:sz w:val="32"/>
          <w:szCs w:val="32"/>
        </w:rPr>
      </w:pPr>
      <w:r>
        <w:rPr>
          <w:rFonts w:hint="eastAsia" w:ascii="方正仿宋_GBK" w:hAnsi="方正仿宋_GBK" w:eastAsia="方正仿宋_GBK" w:cs="方正仿宋_GBK"/>
          <w:kern w:val="2"/>
          <w:sz w:val="32"/>
          <w:szCs w:val="32"/>
        </w:rPr>
        <w:t>全区共有文化馆1个，图书馆1个。有线电视用户</w:t>
      </w:r>
      <w:r>
        <w:rPr>
          <w:rFonts w:ascii="方正仿宋_GBK" w:hAnsi="方正仿宋_GBK" w:eastAsia="方正仿宋_GBK" w:cs="方正仿宋_GBK"/>
          <w:kern w:val="2"/>
          <w:sz w:val="32"/>
          <w:szCs w:val="32"/>
        </w:rPr>
        <w:t>12.53</w:t>
      </w:r>
      <w:r>
        <w:rPr>
          <w:rFonts w:hint="eastAsia" w:ascii="方正仿宋_GBK" w:hAnsi="方正仿宋_GBK" w:eastAsia="方正仿宋_GBK" w:cs="方正仿宋_GBK"/>
          <w:kern w:val="2"/>
          <w:sz w:val="32"/>
          <w:szCs w:val="32"/>
        </w:rPr>
        <w:t>万户，其中数字电视用户</w:t>
      </w:r>
      <w:r>
        <w:rPr>
          <w:rFonts w:ascii="方正仿宋_GBK" w:hAnsi="方正仿宋_GBK" w:eastAsia="方正仿宋_GBK" w:cs="方正仿宋_GBK"/>
          <w:kern w:val="2"/>
          <w:sz w:val="32"/>
          <w:szCs w:val="32"/>
        </w:rPr>
        <w:t>8.93</w:t>
      </w:r>
      <w:r>
        <w:rPr>
          <w:rFonts w:hint="eastAsia" w:ascii="方正仿宋_GBK" w:hAnsi="方正仿宋_GBK" w:eastAsia="方正仿宋_GBK" w:cs="方正仿宋_GBK"/>
          <w:kern w:val="2"/>
          <w:sz w:val="32"/>
          <w:szCs w:val="32"/>
        </w:rPr>
        <w:t>万户。乡镇文化站21个。</w:t>
      </w:r>
    </w:p>
    <w:p>
      <w:pPr>
        <w:pStyle w:val="5"/>
        <w:spacing w:before="0" w:beforeAutospacing="0" w:after="0" w:afterAutospacing="0"/>
        <w:ind w:left="45" w:right="45" w:firstLine="643" w:firstLineChars="200"/>
        <w:jc w:val="both"/>
        <w:rPr>
          <w:rFonts w:ascii="方正黑体_GBK" w:hAnsi="方正黑体_GBK" w:eastAsia="方正黑体_GBK" w:cs="方正黑体_GBK"/>
          <w:b/>
          <w:kern w:val="2"/>
          <w:sz w:val="32"/>
          <w:szCs w:val="32"/>
        </w:rPr>
      </w:pPr>
      <w:r>
        <w:rPr>
          <w:rFonts w:hint="eastAsia" w:ascii="方正黑体_GBK" w:hAnsi="方正黑体_GBK" w:eastAsia="方正黑体_GBK" w:cs="方正黑体_GBK"/>
          <w:b/>
          <w:kern w:val="2"/>
          <w:sz w:val="32"/>
          <w:szCs w:val="32"/>
        </w:rPr>
        <w:t>十一、卫生和社会服务</w:t>
      </w:r>
    </w:p>
    <w:p>
      <w:pPr>
        <w:pStyle w:val="5"/>
        <w:spacing w:before="0" w:beforeAutospacing="0" w:after="0" w:afterAutospacing="0"/>
        <w:ind w:left="45" w:right="45" w:firstLine="640" w:firstLineChars="200"/>
        <w:jc w:val="both"/>
        <w:rPr>
          <w:rFonts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rPr>
        <w:t>年末全区共有各级各类医疗卫生机构446个（含村卫生室），其中，医院13个，乡镇卫生院15个，社区卫生服务中心6个，诊所（门诊部、医务室）137个，村卫生室271个，疾病预防控制中心1个，卫生监督局1个，中心血库1个，卫生计生培训学校1所。共有医疗卫生机构实有床位数4499张。全区共有卫生技术人员4689人，其中执业医师和执业助理医师1858人，注册护士1930人。</w:t>
      </w:r>
    </w:p>
    <w:p>
      <w:pPr>
        <w:pStyle w:val="5"/>
        <w:spacing w:before="0" w:beforeAutospacing="0" w:after="0" w:afterAutospacing="0"/>
        <w:ind w:left="45" w:right="45" w:firstLine="640" w:firstLineChars="200"/>
        <w:jc w:val="both"/>
        <w:rPr>
          <w:rFonts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rPr>
        <w:t>年末全区共有</w:t>
      </w:r>
      <w:r>
        <w:rPr>
          <w:rFonts w:ascii="方正仿宋_GBK" w:hAnsi="方正仿宋_GBK" w:eastAsia="方正仿宋_GBK" w:cs="方正仿宋_GBK"/>
          <w:kern w:val="2"/>
          <w:sz w:val="32"/>
          <w:szCs w:val="32"/>
        </w:rPr>
        <w:t>8671</w:t>
      </w:r>
      <w:r>
        <w:rPr>
          <w:rFonts w:hint="eastAsia" w:ascii="方正仿宋_GBK" w:hAnsi="方正仿宋_GBK" w:eastAsia="方正仿宋_GBK" w:cs="方正仿宋_GBK"/>
          <w:kern w:val="2"/>
          <w:sz w:val="32"/>
          <w:szCs w:val="32"/>
        </w:rPr>
        <w:t>户</w:t>
      </w:r>
      <w:r>
        <w:rPr>
          <w:rFonts w:ascii="方正仿宋_GBK" w:hAnsi="方正仿宋_GBK" w:eastAsia="方正仿宋_GBK" w:cs="方正仿宋_GBK"/>
          <w:kern w:val="2"/>
          <w:sz w:val="32"/>
          <w:szCs w:val="32"/>
        </w:rPr>
        <w:t>14694</w:t>
      </w:r>
      <w:r>
        <w:rPr>
          <w:rFonts w:hint="eastAsia" w:ascii="方正仿宋_GBK" w:hAnsi="方正仿宋_GBK" w:eastAsia="方正仿宋_GBK" w:cs="方正仿宋_GBK"/>
          <w:kern w:val="2"/>
          <w:sz w:val="32"/>
          <w:szCs w:val="32"/>
        </w:rPr>
        <w:t>人享受城乡居民最低生活保障，比上年增加</w:t>
      </w:r>
      <w:r>
        <w:rPr>
          <w:rFonts w:ascii="方正仿宋_GBK" w:hAnsi="方正仿宋_GBK" w:eastAsia="方正仿宋_GBK" w:cs="方正仿宋_GBK"/>
          <w:kern w:val="2"/>
          <w:sz w:val="32"/>
          <w:szCs w:val="32"/>
        </w:rPr>
        <w:t>1144</w:t>
      </w:r>
      <w:r>
        <w:rPr>
          <w:rFonts w:hint="eastAsia" w:ascii="方正仿宋_GBK" w:hAnsi="方正仿宋_GBK" w:eastAsia="方正仿宋_GBK" w:cs="方正仿宋_GBK"/>
          <w:kern w:val="2"/>
          <w:sz w:val="32"/>
          <w:szCs w:val="32"/>
        </w:rPr>
        <w:t>人，增长</w:t>
      </w:r>
      <w:r>
        <w:rPr>
          <w:rFonts w:ascii="方正仿宋_GBK" w:hAnsi="方正仿宋_GBK" w:eastAsia="方正仿宋_GBK" w:cs="方正仿宋_GBK"/>
          <w:kern w:val="2"/>
          <w:sz w:val="32"/>
          <w:szCs w:val="32"/>
        </w:rPr>
        <w:t>8.4</w:t>
      </w:r>
      <w:r>
        <w:rPr>
          <w:rFonts w:hint="eastAsia" w:ascii="方正仿宋_GBK" w:hAnsi="方正仿宋_GBK" w:eastAsia="方正仿宋_GBK" w:cs="方正仿宋_GBK"/>
          <w:kern w:val="2"/>
          <w:sz w:val="32"/>
          <w:szCs w:val="32"/>
        </w:rPr>
        <w:t>%，其中城镇居民最低生活保障人数为</w:t>
      </w:r>
      <w:r>
        <w:rPr>
          <w:rFonts w:ascii="方正仿宋_GBK" w:hAnsi="方正仿宋_GBK" w:eastAsia="方正仿宋_GBK" w:cs="方正仿宋_GBK"/>
          <w:kern w:val="2"/>
          <w:sz w:val="32"/>
          <w:szCs w:val="32"/>
        </w:rPr>
        <w:t>6162</w:t>
      </w:r>
      <w:r>
        <w:rPr>
          <w:rFonts w:hint="eastAsia" w:ascii="方正仿宋_GBK" w:hAnsi="方正仿宋_GBK" w:eastAsia="方正仿宋_GBK" w:cs="方正仿宋_GBK"/>
          <w:kern w:val="2"/>
          <w:sz w:val="32"/>
          <w:szCs w:val="32"/>
        </w:rPr>
        <w:t>人，比上年增加</w:t>
      </w:r>
      <w:r>
        <w:rPr>
          <w:rFonts w:ascii="方正仿宋_GBK" w:hAnsi="方正仿宋_GBK" w:eastAsia="方正仿宋_GBK" w:cs="方正仿宋_GBK"/>
          <w:kern w:val="2"/>
          <w:sz w:val="32"/>
          <w:szCs w:val="32"/>
        </w:rPr>
        <w:t>279</w:t>
      </w:r>
      <w:r>
        <w:rPr>
          <w:rFonts w:hint="eastAsia" w:ascii="方正仿宋_GBK" w:hAnsi="方正仿宋_GBK" w:eastAsia="方正仿宋_GBK" w:cs="方正仿宋_GBK"/>
          <w:kern w:val="2"/>
          <w:sz w:val="32"/>
          <w:szCs w:val="32"/>
        </w:rPr>
        <w:t>人，城镇居民最低生活保障</w:t>
      </w:r>
      <w:r>
        <w:rPr>
          <w:rFonts w:ascii="方正仿宋_GBK" w:hAnsi="方正仿宋_GBK" w:eastAsia="方正仿宋_GBK" w:cs="方正仿宋_GBK"/>
          <w:kern w:val="2"/>
          <w:sz w:val="32"/>
          <w:szCs w:val="32"/>
        </w:rPr>
        <w:t>3893</w:t>
      </w:r>
      <w:r>
        <w:rPr>
          <w:rFonts w:hint="eastAsia" w:ascii="方正仿宋_GBK" w:hAnsi="方正仿宋_GBK" w:eastAsia="方正仿宋_GBK" w:cs="方正仿宋_GBK"/>
          <w:kern w:val="2"/>
          <w:sz w:val="32"/>
          <w:szCs w:val="32"/>
        </w:rPr>
        <w:t>户，比上年增加</w:t>
      </w:r>
      <w:r>
        <w:rPr>
          <w:rFonts w:ascii="方正仿宋_GBK" w:hAnsi="方正仿宋_GBK" w:eastAsia="方正仿宋_GBK" w:cs="方正仿宋_GBK"/>
          <w:kern w:val="2"/>
          <w:sz w:val="32"/>
          <w:szCs w:val="32"/>
        </w:rPr>
        <w:t>202</w:t>
      </w:r>
      <w:r>
        <w:rPr>
          <w:rFonts w:hint="eastAsia" w:ascii="方正仿宋_GBK" w:hAnsi="方正仿宋_GBK" w:eastAsia="方正仿宋_GBK" w:cs="方正仿宋_GBK"/>
          <w:kern w:val="2"/>
          <w:sz w:val="32"/>
          <w:szCs w:val="32"/>
        </w:rPr>
        <w:t>户；农村居民最低生活保障人数为</w:t>
      </w:r>
      <w:r>
        <w:rPr>
          <w:rFonts w:ascii="方正仿宋_GBK" w:hAnsi="方正仿宋_GBK" w:eastAsia="方正仿宋_GBK" w:cs="方正仿宋_GBK"/>
          <w:kern w:val="2"/>
          <w:sz w:val="32"/>
          <w:szCs w:val="32"/>
        </w:rPr>
        <w:t>8532</w:t>
      </w:r>
      <w:r>
        <w:rPr>
          <w:rFonts w:hint="eastAsia" w:ascii="方正仿宋_GBK" w:hAnsi="方正仿宋_GBK" w:eastAsia="方正仿宋_GBK" w:cs="方正仿宋_GBK"/>
          <w:kern w:val="2"/>
          <w:sz w:val="32"/>
          <w:szCs w:val="32"/>
        </w:rPr>
        <w:t>人，比上年增加</w:t>
      </w:r>
      <w:r>
        <w:rPr>
          <w:rFonts w:ascii="方正仿宋_GBK" w:hAnsi="方正仿宋_GBK" w:eastAsia="方正仿宋_GBK" w:cs="方正仿宋_GBK"/>
          <w:kern w:val="2"/>
          <w:sz w:val="32"/>
          <w:szCs w:val="32"/>
        </w:rPr>
        <w:t>865</w:t>
      </w:r>
      <w:r>
        <w:rPr>
          <w:rFonts w:hint="eastAsia" w:ascii="方正仿宋_GBK" w:hAnsi="方正仿宋_GBK" w:eastAsia="方正仿宋_GBK" w:cs="方正仿宋_GBK"/>
          <w:kern w:val="2"/>
          <w:sz w:val="32"/>
          <w:szCs w:val="32"/>
        </w:rPr>
        <w:t>人，农村居民最低生活保障</w:t>
      </w:r>
      <w:r>
        <w:rPr>
          <w:rFonts w:ascii="方正仿宋_GBK" w:hAnsi="方正仿宋_GBK" w:eastAsia="方正仿宋_GBK" w:cs="方正仿宋_GBK"/>
          <w:kern w:val="2"/>
          <w:sz w:val="32"/>
          <w:szCs w:val="32"/>
        </w:rPr>
        <w:t>4778</w:t>
      </w:r>
      <w:r>
        <w:rPr>
          <w:rFonts w:hint="eastAsia" w:ascii="方正仿宋_GBK" w:hAnsi="方正仿宋_GBK" w:eastAsia="方正仿宋_GBK" w:cs="方正仿宋_GBK"/>
          <w:kern w:val="2"/>
          <w:sz w:val="32"/>
          <w:szCs w:val="32"/>
        </w:rPr>
        <w:t>户，比上年增加</w:t>
      </w:r>
      <w:r>
        <w:rPr>
          <w:rFonts w:ascii="方正仿宋_GBK" w:hAnsi="方正仿宋_GBK" w:eastAsia="方正仿宋_GBK" w:cs="方正仿宋_GBK"/>
          <w:kern w:val="2"/>
          <w:sz w:val="32"/>
          <w:szCs w:val="32"/>
        </w:rPr>
        <w:t>510</w:t>
      </w:r>
      <w:r>
        <w:rPr>
          <w:rFonts w:hint="eastAsia" w:ascii="方正仿宋_GBK" w:hAnsi="方正仿宋_GBK" w:eastAsia="方正仿宋_GBK" w:cs="方正仿宋_GBK"/>
          <w:kern w:val="2"/>
          <w:sz w:val="32"/>
          <w:szCs w:val="32"/>
        </w:rPr>
        <w:t>户。全年共救助城乡低保对象</w:t>
      </w:r>
      <w:r>
        <w:rPr>
          <w:rFonts w:ascii="方正仿宋_GBK" w:hAnsi="方正仿宋_GBK" w:eastAsia="方正仿宋_GBK" w:cs="方正仿宋_GBK"/>
          <w:kern w:val="2"/>
          <w:sz w:val="32"/>
          <w:szCs w:val="32"/>
        </w:rPr>
        <w:t>14694</w:t>
      </w:r>
      <w:r>
        <w:rPr>
          <w:rFonts w:hint="eastAsia" w:ascii="方正仿宋_GBK" w:hAnsi="方正仿宋_GBK" w:eastAsia="方正仿宋_GBK" w:cs="方正仿宋_GBK"/>
          <w:kern w:val="2"/>
          <w:sz w:val="32"/>
          <w:szCs w:val="32"/>
        </w:rPr>
        <w:t>人，发放低保金</w:t>
      </w:r>
      <w:r>
        <w:rPr>
          <w:rFonts w:ascii="方正仿宋_GBK" w:hAnsi="方正仿宋_GBK" w:eastAsia="方正仿宋_GBK" w:cs="方正仿宋_GBK"/>
          <w:kern w:val="2"/>
          <w:sz w:val="32"/>
          <w:szCs w:val="32"/>
        </w:rPr>
        <w:t>7066</w:t>
      </w:r>
      <w:r>
        <w:rPr>
          <w:rFonts w:hint="eastAsia" w:ascii="方正仿宋_GBK" w:hAnsi="方正仿宋_GBK" w:eastAsia="方正仿宋_GBK" w:cs="方正仿宋_GBK"/>
          <w:kern w:val="2"/>
          <w:sz w:val="32"/>
          <w:szCs w:val="32"/>
        </w:rPr>
        <w:t>万元，其中农村低保发放</w:t>
      </w:r>
      <w:r>
        <w:rPr>
          <w:rFonts w:ascii="方正仿宋_GBK" w:hAnsi="方正仿宋_GBK" w:eastAsia="方正仿宋_GBK" w:cs="方正仿宋_GBK"/>
          <w:kern w:val="2"/>
          <w:sz w:val="32"/>
          <w:szCs w:val="32"/>
        </w:rPr>
        <w:t>3689</w:t>
      </w:r>
      <w:r>
        <w:rPr>
          <w:rFonts w:hint="eastAsia" w:ascii="方正仿宋_GBK" w:hAnsi="方正仿宋_GBK" w:eastAsia="方正仿宋_GBK" w:cs="方正仿宋_GBK"/>
          <w:kern w:val="2"/>
          <w:sz w:val="32"/>
          <w:szCs w:val="32"/>
        </w:rPr>
        <w:t>万元，城镇低保发放</w:t>
      </w:r>
      <w:r>
        <w:rPr>
          <w:rFonts w:ascii="方正仿宋_GBK" w:hAnsi="方正仿宋_GBK" w:eastAsia="方正仿宋_GBK" w:cs="方正仿宋_GBK"/>
          <w:kern w:val="2"/>
          <w:sz w:val="32"/>
          <w:szCs w:val="32"/>
        </w:rPr>
        <w:t>3377</w:t>
      </w:r>
      <w:r>
        <w:rPr>
          <w:rFonts w:hint="eastAsia" w:ascii="方正仿宋_GBK" w:hAnsi="方正仿宋_GBK" w:eastAsia="方正仿宋_GBK" w:cs="方正仿宋_GBK"/>
          <w:kern w:val="2"/>
          <w:sz w:val="32"/>
          <w:szCs w:val="32"/>
        </w:rPr>
        <w:t>万元。农村特困人员救助供养人数</w:t>
      </w:r>
      <w:r>
        <w:rPr>
          <w:rFonts w:ascii="方正仿宋_GBK" w:hAnsi="方正仿宋_GBK" w:eastAsia="方正仿宋_GBK" w:cs="方正仿宋_GBK"/>
          <w:kern w:val="2"/>
          <w:sz w:val="32"/>
          <w:szCs w:val="32"/>
        </w:rPr>
        <w:t>5322</w:t>
      </w:r>
      <w:r>
        <w:rPr>
          <w:rFonts w:hint="eastAsia" w:ascii="方正仿宋_GBK" w:hAnsi="方正仿宋_GBK" w:eastAsia="方正仿宋_GBK" w:cs="方正仿宋_GBK"/>
          <w:kern w:val="2"/>
          <w:sz w:val="32"/>
          <w:szCs w:val="32"/>
        </w:rPr>
        <w:t>人。</w:t>
      </w:r>
    </w:p>
    <w:p>
      <w:pPr>
        <w:pStyle w:val="5"/>
        <w:spacing w:before="0" w:beforeAutospacing="0" w:after="0" w:afterAutospacing="0"/>
        <w:ind w:left="45" w:right="45" w:firstLine="640" w:firstLineChars="200"/>
        <w:rPr>
          <w:rFonts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rPr>
        <w:t>城市居民最低生活保障标准为</w:t>
      </w:r>
      <w:r>
        <w:rPr>
          <w:rFonts w:ascii="方正仿宋_GBK" w:hAnsi="方正仿宋_GBK" w:eastAsia="方正仿宋_GBK" w:cs="方正仿宋_GBK"/>
          <w:kern w:val="2"/>
          <w:sz w:val="32"/>
          <w:szCs w:val="32"/>
        </w:rPr>
        <w:t>546</w:t>
      </w:r>
      <w:r>
        <w:rPr>
          <w:rFonts w:hint="eastAsia" w:ascii="方正仿宋_GBK" w:hAnsi="方正仿宋_GBK" w:eastAsia="方正仿宋_GBK" w:cs="方正仿宋_GBK"/>
          <w:kern w:val="2"/>
          <w:sz w:val="32"/>
          <w:szCs w:val="32"/>
        </w:rPr>
        <w:t>元/月，农村居民最低生活保障标准为</w:t>
      </w:r>
      <w:r>
        <w:rPr>
          <w:rFonts w:ascii="方正仿宋_GBK" w:hAnsi="方正仿宋_GBK" w:eastAsia="方正仿宋_GBK" w:cs="方正仿宋_GBK"/>
          <w:kern w:val="2"/>
          <w:sz w:val="32"/>
          <w:szCs w:val="32"/>
        </w:rPr>
        <w:t>410</w:t>
      </w:r>
      <w:r>
        <w:rPr>
          <w:rFonts w:hint="eastAsia" w:ascii="方正仿宋_GBK" w:hAnsi="方正仿宋_GBK" w:eastAsia="方正仿宋_GBK" w:cs="方正仿宋_GBK"/>
          <w:kern w:val="2"/>
          <w:sz w:val="32"/>
          <w:szCs w:val="32"/>
        </w:rPr>
        <w:t>元/月，分别比上年增长</w:t>
      </w:r>
      <w:r>
        <w:rPr>
          <w:rFonts w:ascii="方正仿宋_GBK" w:hAnsi="方正仿宋_GBK" w:eastAsia="方正仿宋_GBK" w:cs="方正仿宋_GBK"/>
          <w:kern w:val="2"/>
          <w:sz w:val="32"/>
          <w:szCs w:val="32"/>
        </w:rPr>
        <w:t>9.2</w:t>
      </w:r>
      <w:r>
        <w:rPr>
          <w:rFonts w:hint="eastAsia" w:ascii="方正仿宋_GBK" w:hAnsi="方正仿宋_GBK" w:eastAsia="方正仿宋_GBK" w:cs="方正仿宋_GBK"/>
          <w:kern w:val="2"/>
          <w:sz w:val="32"/>
          <w:szCs w:val="32"/>
        </w:rPr>
        <w:t>%和</w:t>
      </w:r>
      <w:r>
        <w:rPr>
          <w:rFonts w:ascii="方正仿宋_GBK" w:hAnsi="方正仿宋_GBK" w:eastAsia="方正仿宋_GBK" w:cs="方正仿宋_GBK"/>
          <w:kern w:val="2"/>
          <w:sz w:val="32"/>
          <w:szCs w:val="32"/>
        </w:rPr>
        <w:t>17.1</w:t>
      </w:r>
      <w:r>
        <w:rPr>
          <w:rFonts w:hint="eastAsia" w:ascii="方正仿宋_GBK" w:hAnsi="方正仿宋_GBK" w:eastAsia="方正仿宋_GBK" w:cs="方正仿宋_GBK"/>
          <w:kern w:val="2"/>
          <w:sz w:val="32"/>
          <w:szCs w:val="32"/>
        </w:rPr>
        <w:t>%。</w:t>
      </w:r>
    </w:p>
    <w:p>
      <w:pPr>
        <w:pStyle w:val="5"/>
        <w:spacing w:before="0" w:beforeAutospacing="0" w:after="0" w:afterAutospacing="0"/>
        <w:ind w:left="44" w:right="44" w:firstLine="643" w:firstLineChars="200"/>
        <w:jc w:val="both"/>
        <w:rPr>
          <w:rFonts w:ascii="方正黑体_GBK" w:hAnsi="方正黑体_GBK" w:eastAsia="方正黑体_GBK" w:cs="方正黑体_GBK"/>
          <w:b/>
          <w:kern w:val="2"/>
          <w:sz w:val="32"/>
          <w:szCs w:val="32"/>
        </w:rPr>
      </w:pPr>
      <w:r>
        <w:rPr>
          <w:rFonts w:hint="eastAsia" w:ascii="方正黑体_GBK" w:hAnsi="方正黑体_GBK" w:eastAsia="方正黑体_GBK" w:cs="方正黑体_GBK"/>
          <w:b/>
          <w:kern w:val="2"/>
          <w:sz w:val="32"/>
          <w:szCs w:val="32"/>
        </w:rPr>
        <w:t>十二、资源和安全生产</w:t>
      </w:r>
    </w:p>
    <w:p>
      <w:pPr>
        <w:pStyle w:val="5"/>
        <w:spacing w:before="0" w:beforeAutospacing="0" w:after="0" w:afterAutospacing="0"/>
        <w:ind w:left="44" w:right="44" w:firstLine="640" w:firstLineChars="200"/>
        <w:jc w:val="both"/>
        <w:rPr>
          <w:rFonts w:ascii="方正仿宋_GBK" w:hAnsi="方正黑体_GBK" w:eastAsia="方正仿宋_GBK" w:cs="方正黑体_GBK"/>
          <w:kern w:val="2"/>
          <w:sz w:val="32"/>
          <w:szCs w:val="32"/>
        </w:rPr>
      </w:pPr>
      <w:r>
        <w:rPr>
          <w:rFonts w:hint="eastAsia" w:ascii="方正仿宋_GBK" w:hAnsi="方正黑体_GBK" w:eastAsia="方正仿宋_GBK" w:cs="方正黑体_GBK"/>
          <w:kern w:val="2"/>
          <w:sz w:val="32"/>
          <w:szCs w:val="32"/>
        </w:rPr>
        <w:t>当年降水量1063</w:t>
      </w:r>
      <w:r>
        <w:rPr>
          <w:rFonts w:ascii="方正仿宋_GBK" w:hAnsi="方正黑体_GBK" w:eastAsia="方正仿宋_GBK" w:cs="方正黑体_GBK"/>
          <w:kern w:val="2"/>
          <w:sz w:val="32"/>
          <w:szCs w:val="32"/>
        </w:rPr>
        <w:t>毫米，</w:t>
      </w:r>
      <w:r>
        <w:rPr>
          <w:rFonts w:hint="eastAsia" w:ascii="方正仿宋_GBK" w:hAnsi="方正黑体_GBK" w:eastAsia="方正仿宋_GBK" w:cs="方正黑体_GBK"/>
          <w:kern w:val="2"/>
          <w:sz w:val="32"/>
          <w:szCs w:val="32"/>
        </w:rPr>
        <w:t>比</w:t>
      </w:r>
      <w:r>
        <w:rPr>
          <w:rFonts w:ascii="方正仿宋_GBK" w:hAnsi="方正黑体_GBK" w:eastAsia="方正仿宋_GBK" w:cs="方正黑体_GBK"/>
          <w:kern w:val="2"/>
          <w:sz w:val="32"/>
          <w:szCs w:val="32"/>
        </w:rPr>
        <w:t>上年</w:t>
      </w:r>
      <w:r>
        <w:rPr>
          <w:rFonts w:hint="eastAsia" w:ascii="方正仿宋_GBK" w:hAnsi="方正黑体_GBK" w:eastAsia="方正仿宋_GBK" w:cs="方正黑体_GBK"/>
          <w:kern w:val="2"/>
          <w:sz w:val="32"/>
          <w:szCs w:val="32"/>
        </w:rPr>
        <w:t>增长42.8</w:t>
      </w:r>
      <w:r>
        <w:rPr>
          <w:rFonts w:ascii="方正仿宋_GBK" w:hAnsi="方正黑体_GBK" w:eastAsia="方正仿宋_GBK" w:cs="方正黑体_GBK"/>
          <w:kern w:val="2"/>
          <w:sz w:val="32"/>
          <w:szCs w:val="32"/>
        </w:rPr>
        <w:t>%。全年</w:t>
      </w:r>
      <w:r>
        <w:rPr>
          <w:rFonts w:hint="eastAsia" w:ascii="方正仿宋_GBK" w:hAnsi="方正黑体_GBK" w:eastAsia="方正仿宋_GBK" w:cs="方正黑体_GBK"/>
          <w:kern w:val="2"/>
          <w:sz w:val="32"/>
          <w:szCs w:val="32"/>
        </w:rPr>
        <w:t>用水</w:t>
      </w:r>
      <w:r>
        <w:rPr>
          <w:rFonts w:ascii="方正仿宋_GBK" w:hAnsi="方正黑体_GBK" w:eastAsia="方正仿宋_GBK" w:cs="方正黑体_GBK"/>
          <w:kern w:val="2"/>
          <w:sz w:val="32"/>
          <w:szCs w:val="32"/>
        </w:rPr>
        <w:t>总量</w:t>
      </w:r>
      <w:r>
        <w:rPr>
          <w:rFonts w:hint="eastAsia" w:ascii="方正仿宋_GBK" w:hAnsi="方正黑体_GBK" w:eastAsia="方正仿宋_GBK" w:cs="方正黑体_GBK"/>
          <w:kern w:val="2"/>
          <w:sz w:val="32"/>
          <w:szCs w:val="32"/>
        </w:rPr>
        <w:t>1.</w:t>
      </w:r>
      <w:r>
        <w:rPr>
          <w:rFonts w:ascii="方正仿宋_GBK" w:hAnsi="方正黑体_GBK" w:eastAsia="方正仿宋_GBK" w:cs="方正黑体_GBK"/>
          <w:kern w:val="2"/>
          <w:sz w:val="32"/>
          <w:szCs w:val="32"/>
        </w:rPr>
        <w:t>7197</w:t>
      </w:r>
      <w:r>
        <w:rPr>
          <w:rFonts w:hint="eastAsia" w:ascii="方正仿宋_GBK" w:hAnsi="方正黑体_GBK" w:eastAsia="方正仿宋_GBK" w:cs="方正黑体_GBK"/>
          <w:kern w:val="2"/>
          <w:sz w:val="32"/>
          <w:szCs w:val="32"/>
        </w:rPr>
        <w:t>亿立方米</w:t>
      </w:r>
      <w:r>
        <w:rPr>
          <w:rFonts w:ascii="方正仿宋_GBK" w:hAnsi="方正黑体_GBK" w:eastAsia="方正仿宋_GBK" w:cs="方正黑体_GBK"/>
          <w:kern w:val="2"/>
          <w:sz w:val="32"/>
          <w:szCs w:val="32"/>
        </w:rPr>
        <w:t>，比上年下降0.7%</w:t>
      </w:r>
      <w:r>
        <w:rPr>
          <w:rFonts w:hint="eastAsia" w:ascii="方正仿宋_GBK" w:hAnsi="方正黑体_GBK" w:eastAsia="方正仿宋_GBK" w:cs="方正黑体_GBK"/>
          <w:kern w:val="2"/>
          <w:sz w:val="32"/>
          <w:szCs w:val="32"/>
        </w:rPr>
        <w:t>。</w:t>
      </w:r>
    </w:p>
    <w:p>
      <w:pPr>
        <w:widowControl/>
        <w:ind w:firstLine="640" w:firstLineChars="200"/>
        <w:jc w:val="left"/>
        <w:rPr>
          <w:rStyle w:val="8"/>
          <w:rFonts w:ascii="方正仿宋_GBK" w:hAnsi="方正仿宋_GBK" w:eastAsia="方正仿宋_GBK" w:cs="方正仿宋_GBK"/>
          <w:b w:val="0"/>
          <w:bCs/>
          <w:kern w:val="0"/>
          <w:sz w:val="32"/>
          <w:szCs w:val="32"/>
        </w:rPr>
      </w:pPr>
      <w:r>
        <w:rPr>
          <w:rStyle w:val="8"/>
          <w:rFonts w:hint="eastAsia" w:ascii="方正仿宋_GBK" w:hAnsi="方正仿宋_GBK" w:eastAsia="方正仿宋_GBK" w:cs="方正仿宋_GBK"/>
          <w:b w:val="0"/>
          <w:bCs/>
          <w:kern w:val="0"/>
          <w:sz w:val="32"/>
          <w:szCs w:val="32"/>
        </w:rPr>
        <w:t>全区森林面积59.12万亩，森林覆盖率36.7%。</w:t>
      </w:r>
    </w:p>
    <w:p>
      <w:pPr>
        <w:pStyle w:val="5"/>
        <w:spacing w:before="0" w:beforeAutospacing="0" w:after="0" w:afterAutospacing="0"/>
        <w:ind w:left="44" w:right="44" w:firstLine="640" w:firstLineChars="200"/>
        <w:jc w:val="both"/>
        <w:rPr>
          <w:rStyle w:val="8"/>
          <w:rFonts w:ascii="方正仿宋_GBK" w:hAnsi="方正仿宋_GBK" w:eastAsia="方正仿宋_GBK" w:cs="方正仿宋_GBK"/>
          <w:b w:val="0"/>
          <w:sz w:val="32"/>
          <w:szCs w:val="32"/>
        </w:rPr>
      </w:pPr>
      <w:r>
        <w:rPr>
          <w:rStyle w:val="8"/>
          <w:rFonts w:hint="eastAsia" w:ascii="方正仿宋_GBK" w:hAnsi="方正仿宋_GBK" w:eastAsia="方正仿宋_GBK" w:cs="方正仿宋_GBK"/>
          <w:b w:val="0"/>
          <w:bCs/>
          <w:sz w:val="32"/>
          <w:szCs w:val="32"/>
        </w:rPr>
        <w:t>建成区园林绿化覆盖面积</w:t>
      </w:r>
      <w:r>
        <w:rPr>
          <w:rStyle w:val="8"/>
          <w:rFonts w:ascii="方正仿宋_GBK" w:hAnsi="方正仿宋_GBK" w:eastAsia="方正仿宋_GBK" w:cs="方正仿宋_GBK"/>
          <w:b w:val="0"/>
          <w:bCs/>
          <w:sz w:val="32"/>
          <w:szCs w:val="32"/>
        </w:rPr>
        <w:t>1419</w:t>
      </w:r>
      <w:r>
        <w:rPr>
          <w:rStyle w:val="8"/>
          <w:rFonts w:hint="eastAsia" w:ascii="方正仿宋_GBK" w:hAnsi="方正仿宋_GBK" w:eastAsia="方正仿宋_GBK" w:cs="方正仿宋_GBK"/>
          <w:b w:val="0"/>
          <w:bCs/>
          <w:sz w:val="32"/>
          <w:szCs w:val="32"/>
        </w:rPr>
        <w:t>公顷，</w:t>
      </w:r>
      <w:r>
        <w:rPr>
          <w:rStyle w:val="8"/>
          <w:rFonts w:hint="eastAsia" w:ascii="方正仿宋_GBK" w:hAnsi="方正仿宋_GBK" w:eastAsia="方正仿宋_GBK" w:cs="方正仿宋_GBK"/>
          <w:b w:val="0"/>
          <w:sz w:val="32"/>
          <w:szCs w:val="32"/>
        </w:rPr>
        <w:t>建成区绿化覆盖率</w:t>
      </w:r>
      <w:r>
        <w:rPr>
          <w:rStyle w:val="8"/>
          <w:rFonts w:ascii="方正仿宋_GBK" w:hAnsi="方正仿宋_GBK" w:eastAsia="方正仿宋_GBK" w:cs="方正仿宋_GBK"/>
          <w:b w:val="0"/>
          <w:sz w:val="32"/>
          <w:szCs w:val="32"/>
        </w:rPr>
        <w:t>44.3</w:t>
      </w:r>
      <w:r>
        <w:rPr>
          <w:rStyle w:val="8"/>
          <w:rFonts w:hint="eastAsia" w:ascii="方正仿宋_GBK" w:hAnsi="方正仿宋_GBK" w:eastAsia="方正仿宋_GBK" w:cs="方正仿宋_GBK"/>
          <w:b w:val="0"/>
          <w:sz w:val="32"/>
          <w:szCs w:val="32"/>
        </w:rPr>
        <w:t>%。</w:t>
      </w:r>
    </w:p>
    <w:p>
      <w:pPr>
        <w:pStyle w:val="5"/>
        <w:spacing w:before="0" w:beforeAutospacing="0" w:after="0" w:afterAutospacing="0"/>
        <w:ind w:left="44" w:right="44" w:firstLine="640" w:firstLineChars="200"/>
        <w:jc w:val="both"/>
        <w:rPr>
          <w:rStyle w:val="8"/>
          <w:rFonts w:ascii="方正仿宋_GBK" w:hAnsi="方正仿宋_GBK" w:eastAsia="方正仿宋_GBK" w:cs="方正仿宋_GBK"/>
          <w:b w:val="0"/>
          <w:sz w:val="32"/>
          <w:szCs w:val="32"/>
        </w:rPr>
      </w:pPr>
      <w:r>
        <w:rPr>
          <w:rStyle w:val="8"/>
          <w:rFonts w:hint="eastAsia" w:ascii="方正仿宋_GBK" w:hAnsi="方正仿宋_GBK" w:eastAsia="方正仿宋_GBK" w:cs="方正仿宋_GBK"/>
          <w:b w:val="0"/>
          <w:sz w:val="32"/>
          <w:szCs w:val="32"/>
        </w:rPr>
        <w:t>全年全区全社会用电量</w:t>
      </w:r>
      <w:r>
        <w:rPr>
          <w:rStyle w:val="8"/>
          <w:rFonts w:ascii="方正仿宋_GBK" w:hAnsi="方正仿宋_GBK" w:eastAsia="方正仿宋_GBK" w:cs="方正仿宋_GBK"/>
          <w:b w:val="0"/>
          <w:sz w:val="32"/>
          <w:szCs w:val="32"/>
        </w:rPr>
        <w:t>118362</w:t>
      </w:r>
      <w:r>
        <w:rPr>
          <w:rStyle w:val="8"/>
          <w:rFonts w:hint="eastAsia" w:ascii="方正仿宋_GBK" w:hAnsi="方正仿宋_GBK" w:eastAsia="方正仿宋_GBK" w:cs="方正仿宋_GBK"/>
          <w:b w:val="0"/>
          <w:sz w:val="32"/>
          <w:szCs w:val="32"/>
        </w:rPr>
        <w:t>万千瓦时，增长</w:t>
      </w:r>
      <w:r>
        <w:rPr>
          <w:rStyle w:val="8"/>
          <w:rFonts w:ascii="方正仿宋_GBK" w:hAnsi="方正仿宋_GBK" w:eastAsia="方正仿宋_GBK" w:cs="方正仿宋_GBK"/>
          <w:b w:val="0"/>
          <w:sz w:val="32"/>
          <w:szCs w:val="32"/>
        </w:rPr>
        <w:t>15.9</w:t>
      </w:r>
      <w:r>
        <w:rPr>
          <w:rStyle w:val="8"/>
          <w:rFonts w:hint="eastAsia" w:ascii="方正仿宋_GBK" w:hAnsi="方正仿宋_GBK" w:eastAsia="方正仿宋_GBK" w:cs="方正仿宋_GBK"/>
          <w:b w:val="0"/>
          <w:sz w:val="32"/>
          <w:szCs w:val="32"/>
        </w:rPr>
        <w:t>%；其中城乡居民生活用电</w:t>
      </w:r>
      <w:r>
        <w:rPr>
          <w:rStyle w:val="8"/>
          <w:rFonts w:ascii="方正仿宋_GBK" w:hAnsi="方正仿宋_GBK" w:eastAsia="方正仿宋_GBK" w:cs="方正仿宋_GBK"/>
          <w:b w:val="0"/>
          <w:sz w:val="32"/>
          <w:szCs w:val="32"/>
        </w:rPr>
        <w:t>40585</w:t>
      </w:r>
      <w:r>
        <w:rPr>
          <w:rStyle w:val="8"/>
          <w:rFonts w:hint="eastAsia" w:ascii="方正仿宋_GBK" w:hAnsi="方正仿宋_GBK" w:eastAsia="方正仿宋_GBK" w:cs="方正仿宋_GBK"/>
          <w:b w:val="0"/>
          <w:sz w:val="32"/>
          <w:szCs w:val="32"/>
        </w:rPr>
        <w:t>万千瓦时，增长</w:t>
      </w:r>
      <w:r>
        <w:rPr>
          <w:rStyle w:val="8"/>
          <w:rFonts w:ascii="方正仿宋_GBK" w:hAnsi="方正仿宋_GBK" w:eastAsia="方正仿宋_GBK" w:cs="方正仿宋_GBK"/>
          <w:b w:val="0"/>
          <w:sz w:val="32"/>
          <w:szCs w:val="32"/>
        </w:rPr>
        <w:t>10.5</w:t>
      </w:r>
      <w:r>
        <w:rPr>
          <w:rStyle w:val="8"/>
          <w:rFonts w:hint="eastAsia" w:ascii="方正仿宋_GBK" w:hAnsi="方正仿宋_GBK" w:eastAsia="方正仿宋_GBK" w:cs="方正仿宋_GBK"/>
          <w:b w:val="0"/>
          <w:sz w:val="32"/>
          <w:szCs w:val="32"/>
        </w:rPr>
        <w:t>%。</w:t>
      </w:r>
    </w:p>
    <w:p>
      <w:pPr>
        <w:pStyle w:val="5"/>
        <w:spacing w:before="0" w:beforeAutospacing="0" w:after="0" w:afterAutospacing="0"/>
        <w:ind w:left="44" w:right="44" w:firstLine="640" w:firstLineChars="200"/>
        <w:jc w:val="both"/>
        <w:rPr>
          <w:rStyle w:val="8"/>
          <w:b w:val="0"/>
          <w:sz w:val="32"/>
          <w:szCs w:val="32"/>
        </w:rPr>
      </w:pPr>
      <w:r>
        <w:rPr>
          <w:rStyle w:val="8"/>
          <w:rFonts w:hint="eastAsia" w:ascii="方正仿宋_GBK" w:hAnsi="方正仿宋_GBK" w:eastAsia="方正仿宋_GBK" w:cs="方正仿宋_GBK"/>
          <w:b w:val="0"/>
          <w:sz w:val="32"/>
          <w:szCs w:val="32"/>
        </w:rPr>
        <w:t>全年生产安全事故死亡人数10人，比上年下降44.5%。其中，工矿商贸企业事故死亡人数</w:t>
      </w:r>
      <w:r>
        <w:rPr>
          <w:rStyle w:val="8"/>
          <w:rFonts w:ascii="方正仿宋_GBK" w:hAnsi="方正仿宋_GBK" w:eastAsia="方正仿宋_GBK" w:cs="方正仿宋_GBK"/>
          <w:b w:val="0"/>
          <w:sz w:val="32"/>
          <w:szCs w:val="32"/>
        </w:rPr>
        <w:t>5</w:t>
      </w:r>
      <w:r>
        <w:rPr>
          <w:rStyle w:val="8"/>
          <w:rFonts w:hint="eastAsia" w:ascii="方正仿宋_GBK" w:hAnsi="方正仿宋_GBK" w:eastAsia="方正仿宋_GBK" w:cs="方正仿宋_GBK"/>
          <w:b w:val="0"/>
          <w:sz w:val="32"/>
          <w:szCs w:val="32"/>
        </w:rPr>
        <w:t>人，道路交通事故死亡</w:t>
      </w:r>
      <w:r>
        <w:rPr>
          <w:rStyle w:val="8"/>
          <w:rFonts w:ascii="方正仿宋_GBK" w:hAnsi="方正仿宋_GBK" w:eastAsia="方正仿宋_GBK" w:cs="方正仿宋_GBK"/>
          <w:b w:val="0"/>
          <w:sz w:val="32"/>
          <w:szCs w:val="32"/>
        </w:rPr>
        <w:t>5</w:t>
      </w:r>
      <w:r>
        <w:rPr>
          <w:rStyle w:val="8"/>
          <w:rFonts w:hint="eastAsia" w:ascii="方正仿宋_GBK" w:hAnsi="方正仿宋_GBK" w:eastAsia="方正仿宋_GBK" w:cs="方正仿宋_GBK"/>
          <w:b w:val="0"/>
          <w:sz w:val="32"/>
          <w:szCs w:val="32"/>
        </w:rPr>
        <w:t>人。</w:t>
      </w:r>
    </w:p>
    <w:p>
      <w:pPr>
        <w:pStyle w:val="5"/>
        <w:spacing w:before="0" w:beforeAutospacing="0" w:after="0" w:afterAutospacing="0"/>
        <w:ind w:left="130" w:leftChars="62" w:right="45" w:firstLine="640" w:firstLineChars="200"/>
        <w:rPr>
          <w:rFonts w:ascii="仿宋_GB2312" w:eastAsia="仿宋_GB2312"/>
          <w:color w:val="FF0000"/>
          <w:sz w:val="32"/>
          <w:szCs w:val="32"/>
        </w:rPr>
      </w:pPr>
    </w:p>
    <w:p>
      <w:pPr>
        <w:pStyle w:val="5"/>
        <w:spacing w:before="0" w:beforeAutospacing="0" w:after="0" w:afterAutospacing="0"/>
        <w:ind w:left="130" w:leftChars="62" w:right="45" w:firstLine="640" w:firstLineChars="200"/>
        <w:rPr>
          <w:rFonts w:ascii="仿宋_GB2312" w:eastAsia="仿宋_GB2312"/>
          <w:color w:val="000000"/>
          <w:sz w:val="32"/>
          <w:szCs w:val="32"/>
        </w:rPr>
      </w:pPr>
    </w:p>
    <w:p>
      <w:pPr>
        <w:pStyle w:val="5"/>
        <w:spacing w:before="0" w:beforeAutospacing="0" w:after="0" w:afterAutospacing="0"/>
        <w:ind w:left="130" w:leftChars="62" w:right="45" w:firstLine="420" w:firstLineChars="200"/>
        <w:rPr>
          <w:rFonts w:ascii="仿宋_GB2312" w:eastAsia="仿宋_GB2312"/>
          <w:color w:val="000000"/>
          <w:sz w:val="21"/>
          <w:szCs w:val="21"/>
        </w:rPr>
      </w:pPr>
    </w:p>
    <w:p>
      <w:pPr>
        <w:pStyle w:val="5"/>
        <w:spacing w:before="0" w:beforeAutospacing="0" w:after="0" w:afterAutospacing="0"/>
        <w:ind w:left="130" w:leftChars="62" w:right="45" w:firstLine="420" w:firstLineChars="200"/>
        <w:rPr>
          <w:rFonts w:ascii="仿宋_GB2312" w:eastAsia="仿宋_GB2312"/>
          <w:color w:val="000000"/>
          <w:sz w:val="21"/>
          <w:szCs w:val="21"/>
        </w:rPr>
      </w:pPr>
    </w:p>
    <w:p>
      <w:pPr>
        <w:pStyle w:val="5"/>
        <w:spacing w:before="0" w:beforeAutospacing="0" w:after="0" w:afterAutospacing="0"/>
        <w:ind w:left="130" w:leftChars="62" w:right="45" w:firstLine="420" w:firstLineChars="200"/>
        <w:rPr>
          <w:rFonts w:ascii="仿宋_GB2312" w:eastAsia="仿宋_GB2312"/>
          <w:color w:val="000000"/>
          <w:sz w:val="21"/>
          <w:szCs w:val="21"/>
        </w:rPr>
      </w:pPr>
    </w:p>
    <w:p>
      <w:pPr>
        <w:pStyle w:val="5"/>
        <w:spacing w:before="0" w:beforeAutospacing="0" w:after="0" w:afterAutospacing="0"/>
        <w:ind w:left="130" w:leftChars="62" w:right="45" w:firstLine="420" w:firstLineChars="200"/>
        <w:rPr>
          <w:rFonts w:ascii="仿宋_GB2312" w:eastAsia="仿宋_GB2312"/>
          <w:color w:val="000000"/>
          <w:sz w:val="21"/>
          <w:szCs w:val="21"/>
        </w:rPr>
      </w:pPr>
    </w:p>
    <w:p>
      <w:pPr>
        <w:pStyle w:val="5"/>
        <w:spacing w:before="0" w:beforeAutospacing="0" w:after="0" w:afterAutospacing="0"/>
        <w:ind w:left="130" w:leftChars="62" w:right="45" w:firstLine="420" w:firstLineChars="200"/>
        <w:rPr>
          <w:rFonts w:ascii="仿宋_GB2312" w:eastAsia="仿宋_GB2312"/>
          <w:color w:val="000000"/>
          <w:sz w:val="21"/>
          <w:szCs w:val="21"/>
        </w:rPr>
      </w:pPr>
    </w:p>
    <w:p>
      <w:pPr>
        <w:pStyle w:val="5"/>
        <w:spacing w:before="0" w:beforeAutospacing="0" w:after="0" w:afterAutospacing="0"/>
        <w:ind w:left="130" w:leftChars="62" w:right="45" w:firstLine="420" w:firstLineChars="200"/>
        <w:rPr>
          <w:rFonts w:ascii="仿宋_GB2312" w:eastAsia="仿宋_GB2312"/>
          <w:color w:val="000000"/>
          <w:sz w:val="21"/>
          <w:szCs w:val="21"/>
        </w:rPr>
      </w:pPr>
    </w:p>
    <w:p>
      <w:pPr>
        <w:pStyle w:val="5"/>
        <w:spacing w:before="0" w:beforeAutospacing="0" w:after="0" w:afterAutospacing="0"/>
        <w:ind w:left="130" w:leftChars="62" w:right="45" w:firstLine="420" w:firstLineChars="200"/>
        <w:rPr>
          <w:rFonts w:ascii="仿宋_GB2312" w:eastAsia="仿宋_GB2312"/>
          <w:color w:val="000000"/>
          <w:sz w:val="21"/>
          <w:szCs w:val="21"/>
        </w:rPr>
      </w:pPr>
    </w:p>
    <w:p>
      <w:pPr>
        <w:pStyle w:val="5"/>
        <w:spacing w:before="0" w:beforeAutospacing="0" w:after="0" w:afterAutospacing="0"/>
        <w:ind w:left="130" w:leftChars="62" w:right="45" w:firstLine="420" w:firstLineChars="200"/>
        <w:rPr>
          <w:rFonts w:ascii="仿宋_GB2312" w:eastAsia="仿宋_GB2312"/>
          <w:color w:val="000000"/>
          <w:sz w:val="21"/>
          <w:szCs w:val="21"/>
        </w:rPr>
      </w:pPr>
    </w:p>
    <w:p>
      <w:pPr>
        <w:pStyle w:val="5"/>
        <w:spacing w:before="0" w:beforeAutospacing="0" w:after="0" w:afterAutospacing="0"/>
        <w:ind w:left="130" w:leftChars="62" w:right="45" w:firstLine="420" w:firstLineChars="200"/>
        <w:rPr>
          <w:rFonts w:ascii="仿宋_GB2312" w:eastAsia="仿宋_GB2312"/>
          <w:color w:val="000000"/>
          <w:sz w:val="21"/>
          <w:szCs w:val="21"/>
        </w:rPr>
      </w:pPr>
    </w:p>
    <w:p>
      <w:pPr>
        <w:pStyle w:val="5"/>
        <w:spacing w:before="0" w:beforeAutospacing="0" w:after="0" w:afterAutospacing="0"/>
        <w:ind w:left="130" w:leftChars="62" w:right="45" w:firstLine="420" w:firstLineChars="200"/>
        <w:rPr>
          <w:rFonts w:ascii="仿宋_GB2312" w:eastAsia="仿宋_GB2312"/>
          <w:color w:val="000000"/>
          <w:sz w:val="21"/>
          <w:szCs w:val="21"/>
        </w:rPr>
      </w:pPr>
    </w:p>
    <w:p>
      <w:pPr>
        <w:pStyle w:val="5"/>
        <w:spacing w:before="0" w:beforeAutospacing="0" w:after="0" w:afterAutospacing="0"/>
        <w:ind w:left="130" w:leftChars="62" w:right="45" w:firstLine="420" w:firstLineChars="200"/>
        <w:rPr>
          <w:rFonts w:ascii="仿宋_GB2312" w:eastAsia="仿宋_GB2312"/>
          <w:color w:val="000000"/>
          <w:sz w:val="21"/>
          <w:szCs w:val="21"/>
        </w:rPr>
      </w:pPr>
    </w:p>
    <w:p>
      <w:pPr>
        <w:pStyle w:val="5"/>
        <w:spacing w:before="0" w:beforeAutospacing="0" w:after="0" w:afterAutospacing="0"/>
        <w:ind w:left="130" w:leftChars="62" w:right="45" w:firstLine="420" w:firstLineChars="200"/>
        <w:rPr>
          <w:rFonts w:ascii="仿宋_GB2312" w:eastAsia="仿宋_GB2312"/>
          <w:color w:val="000000"/>
          <w:sz w:val="21"/>
          <w:szCs w:val="21"/>
        </w:rPr>
      </w:pPr>
    </w:p>
    <w:p>
      <w:pPr>
        <w:pStyle w:val="5"/>
        <w:spacing w:before="0" w:beforeAutospacing="0" w:after="0" w:afterAutospacing="0"/>
        <w:ind w:left="130" w:leftChars="62" w:right="45" w:firstLine="420" w:firstLineChars="200"/>
        <w:rPr>
          <w:rFonts w:ascii="仿宋_GB2312" w:eastAsia="仿宋_GB2312"/>
          <w:color w:val="000000"/>
          <w:sz w:val="21"/>
          <w:szCs w:val="21"/>
        </w:rPr>
      </w:pPr>
    </w:p>
    <w:p>
      <w:pPr>
        <w:pStyle w:val="5"/>
        <w:spacing w:before="0" w:beforeAutospacing="0" w:after="0" w:afterAutospacing="0"/>
        <w:ind w:left="130" w:leftChars="62" w:right="45" w:firstLine="420" w:firstLineChars="200"/>
        <w:rPr>
          <w:rFonts w:ascii="仿宋_GB2312" w:eastAsia="仿宋_GB2312"/>
          <w:color w:val="000000"/>
          <w:sz w:val="21"/>
          <w:szCs w:val="21"/>
        </w:rPr>
      </w:pPr>
    </w:p>
    <w:p>
      <w:pPr>
        <w:pStyle w:val="5"/>
        <w:spacing w:before="0" w:beforeAutospacing="0" w:after="0" w:afterAutospacing="0"/>
        <w:ind w:left="130" w:leftChars="62" w:right="45" w:firstLine="420" w:firstLineChars="200"/>
        <w:rPr>
          <w:rFonts w:ascii="仿宋_GB2312" w:eastAsia="仿宋_GB2312"/>
          <w:color w:val="000000"/>
          <w:sz w:val="21"/>
          <w:szCs w:val="21"/>
        </w:rPr>
      </w:pPr>
    </w:p>
    <w:p>
      <w:pPr>
        <w:pStyle w:val="5"/>
        <w:spacing w:before="0" w:beforeAutospacing="0" w:after="0" w:afterAutospacing="0"/>
        <w:ind w:left="130" w:leftChars="62" w:right="45" w:firstLine="420" w:firstLineChars="200"/>
        <w:rPr>
          <w:rFonts w:ascii="仿宋_GB2312" w:eastAsia="仿宋_GB2312"/>
          <w:color w:val="000000"/>
          <w:sz w:val="21"/>
          <w:szCs w:val="21"/>
        </w:rPr>
      </w:pPr>
    </w:p>
    <w:p>
      <w:pPr>
        <w:pStyle w:val="5"/>
        <w:spacing w:before="0" w:beforeAutospacing="0" w:after="0" w:afterAutospacing="0"/>
        <w:ind w:left="130" w:leftChars="62" w:right="45" w:firstLine="420" w:firstLineChars="200"/>
        <w:rPr>
          <w:rFonts w:ascii="仿宋_GB2312" w:eastAsia="仿宋_GB2312"/>
          <w:color w:val="000000"/>
          <w:sz w:val="21"/>
          <w:szCs w:val="21"/>
        </w:rPr>
      </w:pPr>
    </w:p>
    <w:p>
      <w:pPr>
        <w:pStyle w:val="5"/>
        <w:spacing w:before="0" w:beforeAutospacing="0" w:after="0" w:afterAutospacing="0"/>
        <w:ind w:left="130" w:leftChars="62" w:right="45" w:firstLine="420" w:firstLineChars="200"/>
        <w:rPr>
          <w:rFonts w:ascii="仿宋_GB2312" w:eastAsia="仿宋_GB2312"/>
          <w:color w:val="000000"/>
          <w:sz w:val="21"/>
          <w:szCs w:val="21"/>
        </w:rPr>
      </w:pPr>
    </w:p>
    <w:p>
      <w:pPr>
        <w:pStyle w:val="5"/>
        <w:spacing w:before="0" w:beforeAutospacing="0" w:after="0" w:afterAutospacing="0"/>
        <w:ind w:left="130" w:leftChars="62" w:right="45" w:firstLine="420" w:firstLineChars="200"/>
        <w:rPr>
          <w:rFonts w:ascii="仿宋_GB2312" w:eastAsia="仿宋_GB2312"/>
          <w:color w:val="000000"/>
          <w:sz w:val="21"/>
          <w:szCs w:val="21"/>
        </w:rPr>
      </w:pPr>
      <w:r>
        <w:rPr>
          <w:rFonts w:ascii="仿宋_GB2312" w:eastAsia="仿宋_GB2312"/>
          <w:color w:val="000000"/>
          <w:sz w:val="21"/>
          <w:szCs w:val="21"/>
        </w:rPr>
        <w:t>注：</w:t>
      </w:r>
    </w:p>
    <w:p>
      <w:pPr>
        <w:pStyle w:val="5"/>
        <w:spacing w:before="0" w:beforeAutospacing="0" w:after="0" w:afterAutospacing="0"/>
        <w:ind w:left="130" w:leftChars="62" w:right="45" w:firstLine="420" w:firstLineChars="200"/>
        <w:rPr>
          <w:rFonts w:ascii="仿宋" w:hAnsi="仿宋" w:eastAsia="仿宋" w:cs="仿宋"/>
          <w:sz w:val="21"/>
          <w:szCs w:val="21"/>
        </w:rPr>
      </w:pPr>
      <w:r>
        <w:rPr>
          <w:rFonts w:hint="eastAsia" w:ascii="仿宋" w:hAnsi="仿宋" w:eastAsia="仿宋" w:cs="仿宋"/>
          <w:sz w:val="21"/>
          <w:szCs w:val="21"/>
        </w:rPr>
        <w:t>1、本公报中2018年的数据均为初步统计数，最终数据以《2019荣昌统计年鉴》为准。油料和肉类产量为上报数。部分数据因四舍五入的原因，存在着与分项不等的情况。</w:t>
      </w:r>
    </w:p>
    <w:p>
      <w:pPr>
        <w:pStyle w:val="5"/>
        <w:spacing w:before="0" w:beforeAutospacing="0" w:after="0" w:afterAutospacing="0"/>
        <w:ind w:left="130" w:leftChars="62" w:right="45" w:firstLine="420" w:firstLineChars="200"/>
        <w:rPr>
          <w:rFonts w:ascii="仿宋" w:hAnsi="仿宋" w:eastAsia="仿宋" w:cs="仿宋"/>
          <w:sz w:val="21"/>
          <w:szCs w:val="21"/>
        </w:rPr>
      </w:pPr>
      <w:r>
        <w:rPr>
          <w:rFonts w:hint="eastAsia" w:ascii="仿宋" w:hAnsi="仿宋" w:eastAsia="仿宋" w:cs="仿宋"/>
          <w:sz w:val="21"/>
          <w:szCs w:val="21"/>
        </w:rPr>
        <w:t>2、地区生产总值、人均生产总值、各产业增加值绝对数按现价计算，增长速度按可比价计算。</w:t>
      </w:r>
    </w:p>
    <w:p>
      <w:pPr>
        <w:pStyle w:val="5"/>
        <w:spacing w:before="0" w:beforeAutospacing="0" w:after="0" w:afterAutospacing="0"/>
        <w:ind w:left="130" w:leftChars="62" w:right="45" w:firstLine="420" w:firstLineChars="200"/>
        <w:rPr>
          <w:rFonts w:ascii="仿宋" w:hAnsi="仿宋" w:eastAsia="仿宋" w:cs="仿宋"/>
          <w:sz w:val="21"/>
          <w:szCs w:val="21"/>
        </w:rPr>
      </w:pPr>
      <w:r>
        <w:rPr>
          <w:rFonts w:hint="eastAsia" w:ascii="仿宋" w:hAnsi="仿宋" w:eastAsia="仿宋" w:cs="仿宋"/>
          <w:sz w:val="21"/>
          <w:szCs w:val="21"/>
        </w:rPr>
        <w:t>3、规模以上工业、有资质的建筑业、限额以上批发零售业、限额以上住宿和餐饮业、全部房地产开发经营业、规模以上服务业等行业统计标准：</w:t>
      </w:r>
    </w:p>
    <w:p>
      <w:pPr>
        <w:pStyle w:val="5"/>
        <w:spacing w:before="0" w:beforeAutospacing="0" w:after="0" w:afterAutospacing="0"/>
        <w:ind w:left="130" w:leftChars="62" w:right="45" w:firstLine="422" w:firstLineChars="200"/>
        <w:rPr>
          <w:rFonts w:ascii="仿宋" w:hAnsi="仿宋" w:eastAsia="仿宋" w:cs="仿宋"/>
          <w:sz w:val="21"/>
          <w:szCs w:val="21"/>
        </w:rPr>
      </w:pPr>
      <w:r>
        <w:rPr>
          <w:rFonts w:hint="eastAsia" w:ascii="仿宋" w:hAnsi="仿宋" w:eastAsia="仿宋" w:cs="仿宋"/>
          <w:b/>
          <w:sz w:val="21"/>
          <w:szCs w:val="21"/>
        </w:rPr>
        <w:t>规模以上工业：</w:t>
      </w:r>
      <w:r>
        <w:rPr>
          <w:rFonts w:hint="eastAsia" w:ascii="仿宋" w:hAnsi="仿宋" w:eastAsia="仿宋" w:cs="仿宋"/>
          <w:sz w:val="21"/>
          <w:szCs w:val="21"/>
        </w:rPr>
        <w:t>年主营业务收入2000万元及以上的工业法人企业。</w:t>
      </w:r>
    </w:p>
    <w:p>
      <w:pPr>
        <w:pStyle w:val="5"/>
        <w:spacing w:before="0" w:beforeAutospacing="0" w:after="0" w:afterAutospacing="0"/>
        <w:ind w:left="130" w:leftChars="62" w:right="45" w:firstLine="422" w:firstLineChars="200"/>
        <w:rPr>
          <w:rFonts w:ascii="仿宋" w:hAnsi="仿宋" w:eastAsia="仿宋" w:cs="仿宋"/>
          <w:sz w:val="21"/>
          <w:szCs w:val="21"/>
        </w:rPr>
      </w:pPr>
      <w:r>
        <w:rPr>
          <w:rFonts w:hint="eastAsia" w:ascii="仿宋" w:hAnsi="仿宋" w:eastAsia="仿宋" w:cs="仿宋"/>
          <w:b/>
          <w:sz w:val="21"/>
          <w:szCs w:val="21"/>
        </w:rPr>
        <w:t>有资质的建筑业：</w:t>
      </w:r>
      <w:r>
        <w:rPr>
          <w:rFonts w:hint="eastAsia" w:ascii="仿宋" w:hAnsi="仿宋" w:eastAsia="仿宋" w:cs="仿宋"/>
          <w:sz w:val="21"/>
          <w:szCs w:val="21"/>
        </w:rPr>
        <w:t>有总承包、专业承包和劳务分包资质的建筑业法人单位。</w:t>
      </w:r>
    </w:p>
    <w:p>
      <w:pPr>
        <w:pStyle w:val="5"/>
        <w:spacing w:before="0" w:beforeAutospacing="0" w:after="0" w:afterAutospacing="0"/>
        <w:ind w:left="130" w:leftChars="62" w:right="45" w:firstLine="422" w:firstLineChars="200"/>
        <w:rPr>
          <w:rFonts w:ascii="仿宋" w:hAnsi="仿宋" w:eastAsia="仿宋" w:cs="仿宋"/>
          <w:sz w:val="21"/>
          <w:szCs w:val="21"/>
        </w:rPr>
      </w:pPr>
      <w:r>
        <w:rPr>
          <w:rFonts w:hint="eastAsia" w:ascii="仿宋" w:hAnsi="仿宋" w:eastAsia="仿宋" w:cs="仿宋"/>
          <w:b/>
          <w:sz w:val="21"/>
          <w:szCs w:val="21"/>
        </w:rPr>
        <w:t>限额以上批发和零售业：</w:t>
      </w:r>
      <w:r>
        <w:rPr>
          <w:rFonts w:hint="eastAsia" w:ascii="仿宋" w:hAnsi="仿宋" w:eastAsia="仿宋" w:cs="仿宋"/>
          <w:sz w:val="21"/>
          <w:szCs w:val="21"/>
        </w:rPr>
        <w:t>年主营业务收入2000万元及以上的批发业、年主营业务收入500万元及以上的零售业法人单位。</w:t>
      </w:r>
    </w:p>
    <w:p>
      <w:pPr>
        <w:pStyle w:val="5"/>
        <w:spacing w:before="0" w:beforeAutospacing="0" w:after="0" w:afterAutospacing="0"/>
        <w:ind w:left="130" w:leftChars="62" w:right="45" w:firstLine="422" w:firstLineChars="200"/>
        <w:rPr>
          <w:rFonts w:ascii="仿宋" w:hAnsi="仿宋" w:eastAsia="仿宋" w:cs="仿宋"/>
          <w:sz w:val="21"/>
          <w:szCs w:val="21"/>
        </w:rPr>
      </w:pPr>
      <w:r>
        <w:rPr>
          <w:rFonts w:hint="eastAsia" w:ascii="仿宋" w:hAnsi="仿宋" w:eastAsia="仿宋" w:cs="仿宋"/>
          <w:b/>
          <w:sz w:val="21"/>
          <w:szCs w:val="21"/>
        </w:rPr>
        <w:t>限额以上住宿和餐饮业：</w:t>
      </w:r>
      <w:r>
        <w:rPr>
          <w:rFonts w:hint="eastAsia" w:ascii="仿宋" w:hAnsi="仿宋" w:eastAsia="仿宋" w:cs="仿宋"/>
          <w:sz w:val="21"/>
          <w:szCs w:val="21"/>
        </w:rPr>
        <w:t>年主营业务收入200万元及以上的住宿和餐饮业法人单位。</w:t>
      </w:r>
    </w:p>
    <w:p>
      <w:pPr>
        <w:pStyle w:val="5"/>
        <w:spacing w:before="0" w:beforeAutospacing="0" w:after="0" w:afterAutospacing="0"/>
        <w:ind w:left="130" w:leftChars="62" w:right="45" w:firstLine="422" w:firstLineChars="200"/>
        <w:rPr>
          <w:rFonts w:ascii="仿宋" w:hAnsi="仿宋" w:eastAsia="仿宋" w:cs="仿宋"/>
          <w:sz w:val="21"/>
          <w:szCs w:val="21"/>
        </w:rPr>
      </w:pPr>
      <w:r>
        <w:rPr>
          <w:rFonts w:hint="eastAsia" w:ascii="仿宋" w:hAnsi="仿宋" w:eastAsia="仿宋" w:cs="仿宋"/>
          <w:b/>
          <w:sz w:val="21"/>
          <w:szCs w:val="21"/>
        </w:rPr>
        <w:t>房地产开发经营业：</w:t>
      </w:r>
      <w:r>
        <w:rPr>
          <w:rFonts w:hint="eastAsia" w:ascii="仿宋" w:hAnsi="仿宋" w:eastAsia="仿宋" w:cs="仿宋"/>
          <w:sz w:val="21"/>
          <w:szCs w:val="21"/>
        </w:rPr>
        <w:t>全部房地产开发经营业法人单位。</w:t>
      </w:r>
    </w:p>
    <w:p>
      <w:pPr>
        <w:pStyle w:val="5"/>
        <w:spacing w:before="0" w:beforeAutospacing="0" w:after="0" w:afterAutospacing="0"/>
        <w:ind w:left="130" w:leftChars="62" w:right="45" w:firstLine="422" w:firstLineChars="200"/>
        <w:rPr>
          <w:rFonts w:ascii="仿宋" w:hAnsi="仿宋" w:eastAsia="仿宋" w:cs="仿宋"/>
          <w:sz w:val="21"/>
          <w:szCs w:val="21"/>
        </w:rPr>
      </w:pPr>
      <w:r>
        <w:rPr>
          <w:rFonts w:hint="eastAsia" w:ascii="仿宋" w:hAnsi="仿宋" w:eastAsia="仿宋" w:cs="仿宋"/>
          <w:b/>
          <w:sz w:val="21"/>
          <w:szCs w:val="21"/>
        </w:rPr>
        <w:t>规模以上服务业：</w:t>
      </w:r>
      <w:r>
        <w:rPr>
          <w:rFonts w:hint="eastAsia" w:ascii="仿宋" w:hAnsi="仿宋" w:eastAsia="仿宋" w:cs="仿宋"/>
          <w:sz w:val="21"/>
          <w:szCs w:val="21"/>
        </w:rPr>
        <w:t>一定规模以上的服务业法人单位。包括：交通运输、仓储和邮政业，信息传输、软件和信息技术服务服务业，租赁和商务服务业，科学研究和技术服务业，水利、环境和公共设施管理业，居民服务、修理和其他服务业，教育，卫生和社会工作，文化、体育和娱乐业，物业管理、房地产中介服务等行业。</w:t>
      </w:r>
    </w:p>
    <w:p>
      <w:pPr>
        <w:pStyle w:val="5"/>
        <w:spacing w:before="0" w:beforeAutospacing="0" w:after="0" w:afterAutospacing="0"/>
        <w:ind w:left="130" w:leftChars="62" w:right="45" w:firstLine="420" w:firstLineChars="200"/>
        <w:rPr>
          <w:rFonts w:ascii="仿宋" w:hAnsi="仿宋" w:eastAsia="仿宋" w:cs="仿宋"/>
          <w:sz w:val="21"/>
          <w:szCs w:val="21"/>
        </w:rPr>
      </w:pPr>
      <w:r>
        <w:rPr>
          <w:rFonts w:hint="eastAsia" w:ascii="仿宋" w:hAnsi="仿宋" w:eastAsia="仿宋" w:cs="仿宋"/>
          <w:sz w:val="21"/>
          <w:szCs w:val="21"/>
        </w:rPr>
        <w:t>4、基础设施投资指用于电力、燃气及水的生产和供应业，交通运输和邮政业，电信和其他信息传输服务业，水利、环境和公共设施管理业等的投资。</w:t>
      </w:r>
    </w:p>
    <w:p>
      <w:pPr>
        <w:pStyle w:val="5"/>
        <w:spacing w:before="0" w:beforeAutospacing="0" w:after="0" w:afterAutospacing="0"/>
        <w:ind w:left="130" w:leftChars="62" w:right="45" w:firstLine="420" w:firstLineChars="200"/>
        <w:rPr>
          <w:rFonts w:ascii="仿宋" w:hAnsi="仿宋" w:eastAsia="仿宋" w:cs="仿宋"/>
          <w:sz w:val="21"/>
          <w:szCs w:val="21"/>
        </w:rPr>
      </w:pPr>
      <w:r>
        <w:rPr>
          <w:rFonts w:hint="eastAsia" w:ascii="仿宋" w:hAnsi="仿宋" w:eastAsia="仿宋" w:cs="仿宋"/>
          <w:sz w:val="21"/>
          <w:szCs w:val="21"/>
        </w:rPr>
        <w:t>5、</w:t>
      </w:r>
      <w:r>
        <w:rPr>
          <w:rFonts w:hint="eastAsia" w:ascii="仿宋" w:hAnsi="仿宋" w:eastAsia="仿宋" w:cs="仿宋"/>
          <w:b/>
          <w:sz w:val="21"/>
          <w:szCs w:val="21"/>
        </w:rPr>
        <w:t>常住人口</w:t>
      </w:r>
      <w:r>
        <w:rPr>
          <w:rFonts w:hint="eastAsia" w:ascii="仿宋" w:hAnsi="仿宋" w:eastAsia="仿宋" w:cs="仿宋"/>
          <w:sz w:val="21"/>
          <w:szCs w:val="21"/>
        </w:rPr>
        <w:t xml:space="preserve"> 是指在本乡镇（街道）居住半年以上的人口，或虽居住不满半年但离开户口登记地半年以上人口以及户口待定人口。</w:t>
      </w:r>
    </w:p>
    <w:p>
      <w:pPr>
        <w:pStyle w:val="5"/>
        <w:spacing w:before="0" w:beforeAutospacing="0" w:after="0" w:afterAutospacing="0"/>
        <w:ind w:left="130" w:leftChars="62" w:right="45" w:firstLine="420" w:firstLineChars="200"/>
        <w:rPr>
          <w:rFonts w:ascii="仿宋" w:hAnsi="仿宋" w:eastAsia="仿宋" w:cs="仿宋"/>
          <w:sz w:val="21"/>
          <w:szCs w:val="21"/>
        </w:rPr>
      </w:pPr>
      <w:r>
        <w:rPr>
          <w:rFonts w:hint="eastAsia" w:ascii="仿宋" w:hAnsi="仿宋" w:eastAsia="仿宋" w:cs="仿宋"/>
          <w:sz w:val="21"/>
          <w:szCs w:val="21"/>
        </w:rPr>
        <w:t>6、</w:t>
      </w:r>
      <w:r>
        <w:rPr>
          <w:rFonts w:hint="eastAsia" w:ascii="仿宋" w:hAnsi="仿宋" w:eastAsia="仿宋" w:cs="仿宋"/>
          <w:b/>
          <w:sz w:val="21"/>
          <w:szCs w:val="21"/>
        </w:rPr>
        <w:t>户籍人口</w:t>
      </w:r>
      <w:r>
        <w:rPr>
          <w:rFonts w:hint="eastAsia" w:ascii="仿宋" w:hAnsi="仿宋" w:eastAsia="仿宋" w:cs="仿宋"/>
          <w:sz w:val="21"/>
          <w:szCs w:val="21"/>
        </w:rPr>
        <w:t xml:space="preserve"> 是指公民依照《中华人民共和国户口登记条例》，已在其经常居住地的公安户籍管理机关登记了常住户口的人。这类人口不管其是否外出，也不管外出时间长短，只要在某地注册有常住户口，则为该地区的户籍人口。户籍人口数一般是通过公安部门的经常性统计月报或年报取得的。</w:t>
      </w:r>
    </w:p>
    <w:p>
      <w:pPr>
        <w:pStyle w:val="5"/>
        <w:spacing w:before="0" w:beforeAutospacing="0" w:after="0" w:afterAutospacing="0"/>
        <w:ind w:left="130" w:leftChars="62" w:right="45" w:firstLine="420" w:firstLineChars="200"/>
        <w:rPr>
          <w:rFonts w:ascii="仿宋" w:hAnsi="仿宋" w:eastAsia="仿宋" w:cs="仿宋"/>
          <w:sz w:val="21"/>
          <w:szCs w:val="21"/>
        </w:rPr>
      </w:pPr>
      <w:r>
        <w:rPr>
          <w:rFonts w:hint="eastAsia" w:ascii="仿宋" w:hAnsi="仿宋" w:eastAsia="仿宋" w:cs="仿宋"/>
          <w:sz w:val="21"/>
          <w:szCs w:val="21"/>
        </w:rPr>
        <w:t>7、</w:t>
      </w:r>
      <w:r>
        <w:rPr>
          <w:rFonts w:hint="eastAsia" w:ascii="仿宋" w:hAnsi="仿宋" w:eastAsia="仿宋" w:cs="仿宋"/>
          <w:b/>
          <w:sz w:val="21"/>
          <w:szCs w:val="21"/>
        </w:rPr>
        <w:t>可支配收入</w:t>
      </w:r>
      <w:r>
        <w:rPr>
          <w:rFonts w:hint="eastAsia" w:ascii="仿宋" w:hAnsi="仿宋" w:eastAsia="仿宋" w:cs="仿宋"/>
          <w:sz w:val="21"/>
          <w:szCs w:val="21"/>
        </w:rPr>
        <w:t xml:space="preserve"> 是指调查户在调查期内获得的、可用于最终消费支出和储蓄的总和，即调查户可以用来自由支配的收入。可支配收入既包括现金，也包括实物收入。按照收入的来源，可支配收入包含四项，分别为：工资性收入、经营净收入、财产净收入和转移净收入。计算公式为：</w:t>
      </w:r>
    </w:p>
    <w:p>
      <w:pPr>
        <w:pStyle w:val="5"/>
        <w:spacing w:before="0" w:beforeAutospacing="0" w:after="0" w:afterAutospacing="0"/>
        <w:ind w:left="130" w:leftChars="62" w:right="45" w:firstLine="420" w:firstLineChars="200"/>
        <w:rPr>
          <w:rFonts w:ascii="仿宋" w:hAnsi="仿宋" w:eastAsia="仿宋" w:cs="仿宋"/>
          <w:sz w:val="21"/>
          <w:szCs w:val="21"/>
        </w:rPr>
      </w:pPr>
      <w:r>
        <w:rPr>
          <w:rFonts w:hint="eastAsia" w:ascii="仿宋" w:hAnsi="仿宋" w:eastAsia="仿宋" w:cs="仿宋"/>
          <w:sz w:val="21"/>
          <w:szCs w:val="21"/>
        </w:rPr>
        <w:t>可支配收入=工资性收入+经营净收入+财产净收入+转移净收入</w:t>
      </w:r>
    </w:p>
    <w:p>
      <w:pPr>
        <w:pStyle w:val="5"/>
        <w:spacing w:before="0" w:beforeAutospacing="0" w:after="0" w:afterAutospacing="0"/>
        <w:ind w:left="130" w:leftChars="62" w:right="45" w:firstLine="420" w:firstLineChars="200"/>
        <w:rPr>
          <w:rFonts w:ascii="仿宋" w:hAnsi="仿宋" w:eastAsia="仿宋" w:cs="仿宋"/>
          <w:sz w:val="21"/>
          <w:szCs w:val="21"/>
        </w:rPr>
      </w:pPr>
      <w:r>
        <w:rPr>
          <w:rFonts w:hint="eastAsia" w:ascii="仿宋" w:hAnsi="仿宋" w:eastAsia="仿宋" w:cs="仿宋"/>
          <w:sz w:val="21"/>
          <w:szCs w:val="21"/>
        </w:rPr>
        <w:t>其中：经营净收入=经营收入-经营费用-生产性固定资产折旧-生产税净额（生产税-生产补贴）</w:t>
      </w:r>
    </w:p>
    <w:p>
      <w:pPr>
        <w:pStyle w:val="5"/>
        <w:spacing w:before="0" w:beforeAutospacing="0" w:after="0" w:afterAutospacing="0"/>
        <w:ind w:left="130" w:leftChars="62" w:right="45" w:firstLine="420" w:firstLineChars="200"/>
        <w:rPr>
          <w:rFonts w:ascii="仿宋" w:hAnsi="仿宋" w:eastAsia="仿宋" w:cs="仿宋"/>
          <w:sz w:val="21"/>
          <w:szCs w:val="21"/>
        </w:rPr>
      </w:pPr>
      <w:r>
        <w:rPr>
          <w:rFonts w:hint="eastAsia" w:ascii="仿宋" w:hAnsi="仿宋" w:eastAsia="仿宋" w:cs="仿宋"/>
          <w:sz w:val="21"/>
          <w:szCs w:val="21"/>
        </w:rPr>
        <w:t>财产净收入=财产性收入-财产性支出</w:t>
      </w:r>
    </w:p>
    <w:p>
      <w:pPr>
        <w:pStyle w:val="5"/>
        <w:spacing w:before="0" w:beforeAutospacing="0" w:after="0" w:afterAutospacing="0"/>
        <w:ind w:left="130" w:leftChars="62" w:right="45" w:firstLine="420" w:firstLineChars="200"/>
        <w:rPr>
          <w:rFonts w:ascii="仿宋" w:hAnsi="仿宋" w:eastAsia="仿宋" w:cs="仿宋"/>
          <w:sz w:val="21"/>
          <w:szCs w:val="21"/>
        </w:rPr>
      </w:pPr>
      <w:r>
        <w:rPr>
          <w:rFonts w:hint="eastAsia" w:ascii="仿宋" w:hAnsi="仿宋" w:eastAsia="仿宋" w:cs="仿宋"/>
          <w:sz w:val="21"/>
          <w:szCs w:val="21"/>
        </w:rPr>
        <w:t>转移净收入=转移性收入-转移性支出</w:t>
      </w:r>
    </w:p>
    <w:p>
      <w:pPr>
        <w:pStyle w:val="5"/>
        <w:spacing w:before="0" w:beforeAutospacing="0" w:after="0" w:afterAutospacing="0"/>
        <w:ind w:left="130" w:leftChars="62" w:right="45" w:firstLine="420" w:firstLineChars="200"/>
        <w:rPr>
          <w:rFonts w:ascii="仿宋" w:hAnsi="仿宋" w:eastAsia="仿宋" w:cs="仿宋"/>
          <w:sz w:val="21"/>
          <w:szCs w:val="21"/>
        </w:rPr>
      </w:pPr>
      <w:r>
        <w:rPr>
          <w:rFonts w:hint="eastAsia" w:ascii="仿宋" w:hAnsi="仿宋" w:eastAsia="仿宋" w:cs="仿宋"/>
          <w:sz w:val="21"/>
          <w:szCs w:val="21"/>
        </w:rPr>
        <w:t>8、经国务院批准,我国对城乡住户调查实施了一体化改革,在现行统计制度下的城乡居民收支指标,在口径和内涵上与原有制度相比均有一定差别,其增减变动幅度亦是根据现行统计制度按同口径计算所得, 对此,使用时须加以斟酌和区别。重庆市居民可支配收入数据于2014年按照新口径正式发布。荣昌区发布可支配收入数据执行新口径时间延后1年，于2015年正式执行。</w:t>
      </w:r>
    </w:p>
    <w:p>
      <w:pPr>
        <w:pStyle w:val="5"/>
        <w:spacing w:before="0" w:beforeAutospacing="0" w:after="0" w:afterAutospacing="0"/>
        <w:ind w:right="45"/>
        <w:rPr>
          <w:rFonts w:ascii="仿宋" w:hAnsi="仿宋" w:eastAsia="仿宋" w:cs="仿宋"/>
          <w:sz w:val="21"/>
          <w:szCs w:val="21"/>
        </w:rPr>
      </w:pPr>
      <w:r>
        <w:rPr>
          <w:rFonts w:hint="eastAsia" w:ascii="仿宋" w:hAnsi="仿宋" w:eastAsia="仿宋" w:cs="仿宋"/>
          <w:b/>
          <w:sz w:val="21"/>
          <w:szCs w:val="21"/>
        </w:rPr>
        <w:t xml:space="preserve">    9、恩格尔系数</w:t>
      </w:r>
      <w:r>
        <w:rPr>
          <w:rFonts w:hint="eastAsia" w:ascii="仿宋" w:hAnsi="仿宋" w:eastAsia="仿宋" w:cs="仿宋"/>
          <w:sz w:val="21"/>
          <w:szCs w:val="21"/>
        </w:rPr>
        <w:t xml:space="preserve"> 是指居民食品消费支出占全部消费支出的比重。</w:t>
      </w:r>
    </w:p>
    <w:p>
      <w:pPr>
        <w:pStyle w:val="5"/>
        <w:spacing w:before="0" w:beforeAutospacing="0" w:after="0" w:afterAutospacing="0"/>
        <w:ind w:right="45"/>
        <w:rPr>
          <w:rFonts w:ascii="仿宋" w:hAnsi="仿宋" w:eastAsia="仿宋" w:cs="仿宋"/>
          <w:sz w:val="21"/>
          <w:szCs w:val="21"/>
        </w:rPr>
      </w:pPr>
      <w:r>
        <w:rPr>
          <w:rFonts w:hint="eastAsia" w:ascii="仿宋" w:hAnsi="仿宋" w:eastAsia="仿宋" w:cs="仿宋"/>
          <w:sz w:val="21"/>
          <w:szCs w:val="21"/>
        </w:rPr>
        <w:t xml:space="preserve">    10、公报中水资源数据为初步数据。</w:t>
      </w:r>
    </w:p>
    <w:p>
      <w:pPr>
        <w:pStyle w:val="5"/>
        <w:spacing w:before="0" w:beforeAutospacing="0" w:after="0" w:afterAutospacing="0"/>
        <w:ind w:right="45"/>
        <w:rPr>
          <w:rFonts w:ascii="仿宋" w:hAnsi="仿宋" w:eastAsia="仿宋" w:cs="仿宋"/>
          <w:sz w:val="21"/>
          <w:szCs w:val="21"/>
        </w:rPr>
      </w:pPr>
      <w:r>
        <w:rPr>
          <w:rFonts w:hint="eastAsia" w:ascii="仿宋" w:hAnsi="仿宋" w:eastAsia="仿宋" w:cs="仿宋"/>
          <w:sz w:val="21"/>
          <w:szCs w:val="21"/>
        </w:rPr>
        <w:t xml:space="preserve">    11、教育数据中没有包括西南大学荣昌校区、益民技校、永荣技校。</w:t>
      </w:r>
    </w:p>
    <w:p>
      <w:pPr>
        <w:pStyle w:val="5"/>
        <w:spacing w:before="0" w:beforeAutospacing="0" w:after="0" w:afterAutospacing="0"/>
        <w:ind w:right="45"/>
        <w:rPr>
          <w:rFonts w:ascii="仿宋" w:hAnsi="仿宋" w:eastAsia="仿宋" w:cs="仿宋"/>
          <w:sz w:val="21"/>
          <w:szCs w:val="21"/>
        </w:rPr>
      </w:pPr>
      <w:r>
        <w:rPr>
          <w:rFonts w:hint="eastAsia" w:ascii="仿宋" w:hAnsi="仿宋" w:eastAsia="仿宋" w:cs="仿宋"/>
          <w:sz w:val="21"/>
          <w:szCs w:val="21"/>
        </w:rPr>
        <w:t xml:space="preserve">    12、部</w:t>
      </w:r>
      <w:r>
        <w:rPr>
          <w:rFonts w:hint="eastAsia" w:ascii="仿宋" w:hAnsi="仿宋" w:eastAsia="仿宋" w:cs="仿宋"/>
          <w:sz w:val="21"/>
          <w:szCs w:val="21"/>
          <w:lang w:eastAsia="zh-CN"/>
        </w:rPr>
        <w:t>分</w:t>
      </w:r>
      <w:r>
        <w:rPr>
          <w:rFonts w:hint="eastAsia" w:ascii="仿宋" w:hAnsi="仿宋" w:eastAsia="仿宋" w:cs="仿宋"/>
          <w:sz w:val="21"/>
          <w:szCs w:val="21"/>
        </w:rPr>
        <w:t>数据由于计量单位取舍不同而产生的计算误差未作机械调整。</w:t>
      </w:r>
    </w:p>
    <w:p>
      <w:pPr>
        <w:pStyle w:val="5"/>
        <w:tabs>
          <w:tab w:val="left" w:pos="316"/>
        </w:tabs>
        <w:spacing w:before="0" w:beforeAutospacing="0" w:after="0" w:afterAutospacing="0"/>
        <w:ind w:right="45"/>
        <w:rPr>
          <w:rFonts w:ascii="仿宋" w:hAnsi="仿宋" w:eastAsia="仿宋" w:cs="仿宋"/>
          <w:sz w:val="21"/>
          <w:szCs w:val="21"/>
        </w:rPr>
      </w:pPr>
      <w:r>
        <w:rPr>
          <w:rFonts w:hint="eastAsia" w:ascii="仿宋" w:hAnsi="仿宋" w:eastAsia="仿宋" w:cs="仿宋"/>
          <w:sz w:val="21"/>
          <w:szCs w:val="21"/>
        </w:rPr>
        <w:t xml:space="preserve">    13、资料来源：</w:t>
      </w:r>
    </w:p>
    <w:p>
      <w:pPr>
        <w:pStyle w:val="5"/>
        <w:spacing w:before="0" w:beforeAutospacing="0" w:after="0" w:afterAutospacing="0"/>
        <w:ind w:right="45" w:firstLine="420" w:firstLineChars="200"/>
        <w:rPr>
          <w:rFonts w:ascii="仿宋" w:hAnsi="仿宋" w:eastAsia="仿宋" w:cs="仿宋"/>
          <w:sz w:val="21"/>
          <w:szCs w:val="21"/>
        </w:rPr>
      </w:pPr>
      <w:r>
        <w:rPr>
          <w:rFonts w:hint="eastAsia" w:ascii="仿宋" w:hAnsi="仿宋" w:eastAsia="仿宋" w:cs="仿宋"/>
          <w:sz w:val="21"/>
          <w:szCs w:val="21"/>
        </w:rPr>
        <w:t>本公报中户籍人口、交通运输事故死亡数据来自区公安局；就业、失业、社会保障数据来自区人力社保局和区医疗保障局；各类市场主体、商标数据来自区工商分局；财政、金融、保险数据来自区财政局；教育数据来自区教委；农村危旧房改造、城市棚户区数据来自区住房和城乡建</w:t>
      </w:r>
      <w:bookmarkStart w:id="0" w:name="_GoBack"/>
      <w:bookmarkEnd w:id="0"/>
      <w:r>
        <w:rPr>
          <w:rFonts w:hint="eastAsia" w:ascii="仿宋" w:hAnsi="仿宋" w:eastAsia="仿宋" w:cs="仿宋"/>
          <w:sz w:val="21"/>
          <w:szCs w:val="21"/>
        </w:rPr>
        <w:t>委；进出口、利用外资数据来自区商委；交通运输数据来自区交通局；邮政数据来自区邮政管理局；用电量、通信数据来自区经信委；旅游数据来自区旅游景区管委会；科技、专利数据来自区科学技术局；文化数据来自区文化和</w:t>
      </w:r>
      <w:r>
        <w:rPr>
          <w:rFonts w:ascii="仿宋" w:hAnsi="仿宋" w:eastAsia="仿宋" w:cs="仿宋"/>
          <w:sz w:val="21"/>
          <w:szCs w:val="21"/>
        </w:rPr>
        <w:t>旅游发展</w:t>
      </w:r>
      <w:r>
        <w:rPr>
          <w:rFonts w:hint="eastAsia" w:ascii="仿宋" w:hAnsi="仿宋" w:eastAsia="仿宋" w:cs="仿宋"/>
          <w:sz w:val="21"/>
          <w:szCs w:val="21"/>
        </w:rPr>
        <w:t>委员</w:t>
      </w:r>
      <w:r>
        <w:rPr>
          <w:rFonts w:ascii="仿宋" w:hAnsi="仿宋" w:eastAsia="仿宋" w:cs="仿宋"/>
          <w:sz w:val="21"/>
          <w:szCs w:val="21"/>
        </w:rPr>
        <w:t>会</w:t>
      </w:r>
      <w:r>
        <w:rPr>
          <w:rFonts w:hint="eastAsia" w:ascii="仿宋" w:hAnsi="仿宋" w:eastAsia="仿宋" w:cs="仿宋"/>
          <w:sz w:val="21"/>
          <w:szCs w:val="21"/>
        </w:rPr>
        <w:t>；卫生数据来自区卫生</w:t>
      </w:r>
      <w:r>
        <w:rPr>
          <w:rFonts w:ascii="仿宋" w:hAnsi="仿宋" w:eastAsia="仿宋" w:cs="仿宋"/>
          <w:sz w:val="21"/>
          <w:szCs w:val="21"/>
        </w:rPr>
        <w:t>健康</w:t>
      </w:r>
      <w:r>
        <w:rPr>
          <w:rFonts w:hint="eastAsia" w:ascii="仿宋" w:hAnsi="仿宋" w:eastAsia="仿宋" w:cs="仿宋"/>
          <w:sz w:val="21"/>
          <w:szCs w:val="21"/>
        </w:rPr>
        <w:t>委员</w:t>
      </w:r>
      <w:r>
        <w:rPr>
          <w:rFonts w:ascii="仿宋" w:hAnsi="仿宋" w:eastAsia="仿宋" w:cs="仿宋"/>
          <w:sz w:val="21"/>
          <w:szCs w:val="21"/>
        </w:rPr>
        <w:t>会</w:t>
      </w:r>
      <w:r>
        <w:rPr>
          <w:rFonts w:hint="eastAsia" w:ascii="仿宋" w:hAnsi="仿宋" w:eastAsia="仿宋" w:cs="仿宋"/>
          <w:sz w:val="21"/>
          <w:szCs w:val="21"/>
        </w:rPr>
        <w:t>；最低生活保障标准数据来自区民政局；水资源数据来自区水利局；林业数据来自区林业局；部分</w:t>
      </w:r>
      <w:r>
        <w:rPr>
          <w:rFonts w:ascii="仿宋" w:hAnsi="仿宋" w:eastAsia="仿宋" w:cs="仿宋"/>
          <w:sz w:val="21"/>
          <w:szCs w:val="21"/>
        </w:rPr>
        <w:t>资源</w:t>
      </w:r>
      <w:r>
        <w:rPr>
          <w:rFonts w:hint="eastAsia" w:ascii="仿宋" w:hAnsi="仿宋" w:eastAsia="仿宋" w:cs="仿宋"/>
          <w:sz w:val="21"/>
          <w:szCs w:val="21"/>
        </w:rPr>
        <w:t>数据来自区城市管理局；安全生产事故数据来自区应急管理局；其他数据来自区统计局。</w:t>
      </w:r>
    </w:p>
    <w:p>
      <w:pPr>
        <w:pStyle w:val="5"/>
      </w:pPr>
    </w:p>
    <w:sectPr>
      <w:headerReference r:id="rId3" w:type="default"/>
      <w:footerReference r:id="rId4" w:type="default"/>
      <w:footerReference r:id="rId5"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script"/>
    <w:pitch w:val="default"/>
    <w:sig w:usb0="00000001" w:usb1="080E0000" w:usb2="00000000" w:usb3="00000000" w:csb0="00040000" w:csb1="00000000"/>
  </w:font>
  <w:font w:name="仿宋_GB2312">
    <w:altName w:val="仿宋"/>
    <w:panose1 w:val="00000000000000000000"/>
    <w:charset w:val="00"/>
    <w:family w:val="auto"/>
    <w:pitch w:val="default"/>
    <w:sig w:usb0="00000000" w:usb1="00000000" w:usb2="00000000" w:usb3="00000000" w:csb0="00040001"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rPr>
      <w:t>9</w:t>
    </w:r>
    <w:r>
      <w:rPr>
        <w:rStyle w:val="9"/>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9"/>
      </w:rPr>
    </w:pPr>
    <w:r>
      <w:rPr>
        <w:rStyle w:val="9"/>
      </w:rPr>
      <w:fldChar w:fldCharType="begin"/>
    </w:r>
    <w:r>
      <w:rPr>
        <w:rStyle w:val="9"/>
      </w:rPr>
      <w:instrText xml:space="preserve">PAGE  </w:instrText>
    </w:r>
    <w:r>
      <w:rPr>
        <w:rStyle w:val="9"/>
      </w:rP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228"/>
    <w:rsid w:val="00004A20"/>
    <w:rsid w:val="0002056F"/>
    <w:rsid w:val="00020DA6"/>
    <w:rsid w:val="00020EFD"/>
    <w:rsid w:val="000261AD"/>
    <w:rsid w:val="00030B05"/>
    <w:rsid w:val="0004040D"/>
    <w:rsid w:val="00074FB4"/>
    <w:rsid w:val="000757BB"/>
    <w:rsid w:val="0008299D"/>
    <w:rsid w:val="00086926"/>
    <w:rsid w:val="00092800"/>
    <w:rsid w:val="000941F2"/>
    <w:rsid w:val="000A1F33"/>
    <w:rsid w:val="000A24DB"/>
    <w:rsid w:val="000A36BD"/>
    <w:rsid w:val="000C420B"/>
    <w:rsid w:val="000E2CD8"/>
    <w:rsid w:val="000F549A"/>
    <w:rsid w:val="0010048F"/>
    <w:rsid w:val="0010119F"/>
    <w:rsid w:val="001031FB"/>
    <w:rsid w:val="0010753A"/>
    <w:rsid w:val="001170CC"/>
    <w:rsid w:val="00117764"/>
    <w:rsid w:val="001214DE"/>
    <w:rsid w:val="001248B7"/>
    <w:rsid w:val="00145C36"/>
    <w:rsid w:val="00165F6C"/>
    <w:rsid w:val="001767F4"/>
    <w:rsid w:val="00176A74"/>
    <w:rsid w:val="001A09EE"/>
    <w:rsid w:val="001A4758"/>
    <w:rsid w:val="001B1460"/>
    <w:rsid w:val="001B1B7C"/>
    <w:rsid w:val="001B7716"/>
    <w:rsid w:val="001C5D40"/>
    <w:rsid w:val="001D0C5A"/>
    <w:rsid w:val="001D3762"/>
    <w:rsid w:val="001D7941"/>
    <w:rsid w:val="001F6A7D"/>
    <w:rsid w:val="001F776B"/>
    <w:rsid w:val="00200B70"/>
    <w:rsid w:val="00232855"/>
    <w:rsid w:val="002341C1"/>
    <w:rsid w:val="00234F7E"/>
    <w:rsid w:val="0023727C"/>
    <w:rsid w:val="00240BB9"/>
    <w:rsid w:val="00242260"/>
    <w:rsid w:val="00243241"/>
    <w:rsid w:val="00243CA8"/>
    <w:rsid w:val="0025024F"/>
    <w:rsid w:val="002553C1"/>
    <w:rsid w:val="00257CCF"/>
    <w:rsid w:val="00263991"/>
    <w:rsid w:val="002741AD"/>
    <w:rsid w:val="002761FB"/>
    <w:rsid w:val="00276304"/>
    <w:rsid w:val="002918A8"/>
    <w:rsid w:val="002943D8"/>
    <w:rsid w:val="00295526"/>
    <w:rsid w:val="002B360A"/>
    <w:rsid w:val="002B62F5"/>
    <w:rsid w:val="002C1117"/>
    <w:rsid w:val="002C76FA"/>
    <w:rsid w:val="002C79CC"/>
    <w:rsid w:val="002D2AE4"/>
    <w:rsid w:val="002D590F"/>
    <w:rsid w:val="002E097E"/>
    <w:rsid w:val="002E5A45"/>
    <w:rsid w:val="00304EDE"/>
    <w:rsid w:val="003069FE"/>
    <w:rsid w:val="0031231B"/>
    <w:rsid w:val="00312CE1"/>
    <w:rsid w:val="00312EE1"/>
    <w:rsid w:val="00315DBC"/>
    <w:rsid w:val="00316FA6"/>
    <w:rsid w:val="003319FD"/>
    <w:rsid w:val="00334542"/>
    <w:rsid w:val="00346C01"/>
    <w:rsid w:val="00347084"/>
    <w:rsid w:val="00347929"/>
    <w:rsid w:val="00347D92"/>
    <w:rsid w:val="00352BF0"/>
    <w:rsid w:val="003578F2"/>
    <w:rsid w:val="00366E6A"/>
    <w:rsid w:val="003742BF"/>
    <w:rsid w:val="00377065"/>
    <w:rsid w:val="0038365F"/>
    <w:rsid w:val="00383BE7"/>
    <w:rsid w:val="003D3394"/>
    <w:rsid w:val="003D701D"/>
    <w:rsid w:val="003E5984"/>
    <w:rsid w:val="003F1305"/>
    <w:rsid w:val="003F3552"/>
    <w:rsid w:val="00400E97"/>
    <w:rsid w:val="0040197A"/>
    <w:rsid w:val="00402243"/>
    <w:rsid w:val="0040673A"/>
    <w:rsid w:val="00411604"/>
    <w:rsid w:val="0041240D"/>
    <w:rsid w:val="004138EA"/>
    <w:rsid w:val="00425527"/>
    <w:rsid w:val="00433C84"/>
    <w:rsid w:val="00433F50"/>
    <w:rsid w:val="00441337"/>
    <w:rsid w:val="004555D9"/>
    <w:rsid w:val="00455F73"/>
    <w:rsid w:val="0045672D"/>
    <w:rsid w:val="004625ED"/>
    <w:rsid w:val="0048756E"/>
    <w:rsid w:val="00496407"/>
    <w:rsid w:val="004A4D5D"/>
    <w:rsid w:val="004A4EB1"/>
    <w:rsid w:val="004A58CD"/>
    <w:rsid w:val="004B3DEB"/>
    <w:rsid w:val="004B5519"/>
    <w:rsid w:val="004C710F"/>
    <w:rsid w:val="004E238C"/>
    <w:rsid w:val="00501229"/>
    <w:rsid w:val="00550066"/>
    <w:rsid w:val="0055059F"/>
    <w:rsid w:val="00551733"/>
    <w:rsid w:val="00555170"/>
    <w:rsid w:val="0057192A"/>
    <w:rsid w:val="00575EF0"/>
    <w:rsid w:val="005A282E"/>
    <w:rsid w:val="005A7228"/>
    <w:rsid w:val="005C5CBC"/>
    <w:rsid w:val="005F0CA4"/>
    <w:rsid w:val="005F2B27"/>
    <w:rsid w:val="00611992"/>
    <w:rsid w:val="00631529"/>
    <w:rsid w:val="00634B2D"/>
    <w:rsid w:val="00656B48"/>
    <w:rsid w:val="00662EB0"/>
    <w:rsid w:val="006634CF"/>
    <w:rsid w:val="00666122"/>
    <w:rsid w:val="00672368"/>
    <w:rsid w:val="0068676F"/>
    <w:rsid w:val="006941A5"/>
    <w:rsid w:val="006948F0"/>
    <w:rsid w:val="006A4C8E"/>
    <w:rsid w:val="006A64F7"/>
    <w:rsid w:val="006B1335"/>
    <w:rsid w:val="006C1D93"/>
    <w:rsid w:val="006C248E"/>
    <w:rsid w:val="006C3AD5"/>
    <w:rsid w:val="006D080D"/>
    <w:rsid w:val="006D4B81"/>
    <w:rsid w:val="006D76CF"/>
    <w:rsid w:val="006F74F5"/>
    <w:rsid w:val="00706C4C"/>
    <w:rsid w:val="0072214F"/>
    <w:rsid w:val="007276BA"/>
    <w:rsid w:val="00730D1B"/>
    <w:rsid w:val="00736690"/>
    <w:rsid w:val="007429E3"/>
    <w:rsid w:val="007512D2"/>
    <w:rsid w:val="00763D50"/>
    <w:rsid w:val="00766AC1"/>
    <w:rsid w:val="00774531"/>
    <w:rsid w:val="00774629"/>
    <w:rsid w:val="007763C0"/>
    <w:rsid w:val="0078016C"/>
    <w:rsid w:val="007A2760"/>
    <w:rsid w:val="007C1E1D"/>
    <w:rsid w:val="007C719C"/>
    <w:rsid w:val="007D470E"/>
    <w:rsid w:val="007E21B7"/>
    <w:rsid w:val="007E3239"/>
    <w:rsid w:val="007F3161"/>
    <w:rsid w:val="007F6A3A"/>
    <w:rsid w:val="007F7834"/>
    <w:rsid w:val="0080307B"/>
    <w:rsid w:val="00804B12"/>
    <w:rsid w:val="00810047"/>
    <w:rsid w:val="00810424"/>
    <w:rsid w:val="008108DF"/>
    <w:rsid w:val="00815C2D"/>
    <w:rsid w:val="00816157"/>
    <w:rsid w:val="00816D2A"/>
    <w:rsid w:val="008269B4"/>
    <w:rsid w:val="00833A6A"/>
    <w:rsid w:val="00837726"/>
    <w:rsid w:val="008435FF"/>
    <w:rsid w:val="00845628"/>
    <w:rsid w:val="00845F08"/>
    <w:rsid w:val="00847F4B"/>
    <w:rsid w:val="0086038F"/>
    <w:rsid w:val="008613E4"/>
    <w:rsid w:val="008642EA"/>
    <w:rsid w:val="00871593"/>
    <w:rsid w:val="008716A8"/>
    <w:rsid w:val="00893CAF"/>
    <w:rsid w:val="008A0EBF"/>
    <w:rsid w:val="008A2BB2"/>
    <w:rsid w:val="008A2C2F"/>
    <w:rsid w:val="008A550D"/>
    <w:rsid w:val="008D25B6"/>
    <w:rsid w:val="008D3227"/>
    <w:rsid w:val="008D4132"/>
    <w:rsid w:val="008D4613"/>
    <w:rsid w:val="009036E2"/>
    <w:rsid w:val="00917360"/>
    <w:rsid w:val="0092693C"/>
    <w:rsid w:val="00930145"/>
    <w:rsid w:val="00931CFB"/>
    <w:rsid w:val="009320ED"/>
    <w:rsid w:val="00941E31"/>
    <w:rsid w:val="0095034B"/>
    <w:rsid w:val="00956823"/>
    <w:rsid w:val="00961AEF"/>
    <w:rsid w:val="00964416"/>
    <w:rsid w:val="0097095F"/>
    <w:rsid w:val="00971FB6"/>
    <w:rsid w:val="00982424"/>
    <w:rsid w:val="009A34DD"/>
    <w:rsid w:val="009A5ADD"/>
    <w:rsid w:val="009A7644"/>
    <w:rsid w:val="009C0A0D"/>
    <w:rsid w:val="009C3CB0"/>
    <w:rsid w:val="009C5848"/>
    <w:rsid w:val="009C5C6A"/>
    <w:rsid w:val="009D3B74"/>
    <w:rsid w:val="009D6452"/>
    <w:rsid w:val="009E07E8"/>
    <w:rsid w:val="009F7246"/>
    <w:rsid w:val="00A01FF1"/>
    <w:rsid w:val="00A072C4"/>
    <w:rsid w:val="00A07786"/>
    <w:rsid w:val="00A110DA"/>
    <w:rsid w:val="00A15F7A"/>
    <w:rsid w:val="00A24110"/>
    <w:rsid w:val="00A26C13"/>
    <w:rsid w:val="00A33527"/>
    <w:rsid w:val="00A36C0A"/>
    <w:rsid w:val="00A3738D"/>
    <w:rsid w:val="00A55226"/>
    <w:rsid w:val="00A5737E"/>
    <w:rsid w:val="00A60178"/>
    <w:rsid w:val="00A76F69"/>
    <w:rsid w:val="00A91CC0"/>
    <w:rsid w:val="00A97F59"/>
    <w:rsid w:val="00AA1F1C"/>
    <w:rsid w:val="00AA51A2"/>
    <w:rsid w:val="00AA67D2"/>
    <w:rsid w:val="00AC05C8"/>
    <w:rsid w:val="00AC08EC"/>
    <w:rsid w:val="00AC3794"/>
    <w:rsid w:val="00AD00A6"/>
    <w:rsid w:val="00AD0197"/>
    <w:rsid w:val="00AD6037"/>
    <w:rsid w:val="00AF7D85"/>
    <w:rsid w:val="00B02BB5"/>
    <w:rsid w:val="00B12E68"/>
    <w:rsid w:val="00B12EC0"/>
    <w:rsid w:val="00B17BEE"/>
    <w:rsid w:val="00B251DC"/>
    <w:rsid w:val="00B25F2D"/>
    <w:rsid w:val="00B33C67"/>
    <w:rsid w:val="00B4383A"/>
    <w:rsid w:val="00B6365E"/>
    <w:rsid w:val="00B72CC7"/>
    <w:rsid w:val="00B72D36"/>
    <w:rsid w:val="00B86A1C"/>
    <w:rsid w:val="00B9514E"/>
    <w:rsid w:val="00BC11F2"/>
    <w:rsid w:val="00BC4357"/>
    <w:rsid w:val="00BD0082"/>
    <w:rsid w:val="00BD1169"/>
    <w:rsid w:val="00BD2FEF"/>
    <w:rsid w:val="00BD5E2E"/>
    <w:rsid w:val="00BE054A"/>
    <w:rsid w:val="00BF130E"/>
    <w:rsid w:val="00BF205B"/>
    <w:rsid w:val="00BF681C"/>
    <w:rsid w:val="00C00668"/>
    <w:rsid w:val="00C03F9E"/>
    <w:rsid w:val="00C060FD"/>
    <w:rsid w:val="00C168EA"/>
    <w:rsid w:val="00C2218B"/>
    <w:rsid w:val="00C463DE"/>
    <w:rsid w:val="00C66C26"/>
    <w:rsid w:val="00C70379"/>
    <w:rsid w:val="00C70619"/>
    <w:rsid w:val="00C70A62"/>
    <w:rsid w:val="00C86F9A"/>
    <w:rsid w:val="00C94E31"/>
    <w:rsid w:val="00CB5C4C"/>
    <w:rsid w:val="00CC4D11"/>
    <w:rsid w:val="00CC68D6"/>
    <w:rsid w:val="00CD7A99"/>
    <w:rsid w:val="00CE5D1A"/>
    <w:rsid w:val="00CF6DDE"/>
    <w:rsid w:val="00D06A42"/>
    <w:rsid w:val="00D07F92"/>
    <w:rsid w:val="00D10983"/>
    <w:rsid w:val="00D148B4"/>
    <w:rsid w:val="00D251E8"/>
    <w:rsid w:val="00D33DE7"/>
    <w:rsid w:val="00D36135"/>
    <w:rsid w:val="00D44271"/>
    <w:rsid w:val="00D4527E"/>
    <w:rsid w:val="00D63A09"/>
    <w:rsid w:val="00D721C8"/>
    <w:rsid w:val="00D83325"/>
    <w:rsid w:val="00D873F7"/>
    <w:rsid w:val="00D94814"/>
    <w:rsid w:val="00DB4070"/>
    <w:rsid w:val="00DD2BD8"/>
    <w:rsid w:val="00DD4242"/>
    <w:rsid w:val="00DE263F"/>
    <w:rsid w:val="00DE2A86"/>
    <w:rsid w:val="00DE40C2"/>
    <w:rsid w:val="00DF5067"/>
    <w:rsid w:val="00E046BD"/>
    <w:rsid w:val="00E17596"/>
    <w:rsid w:val="00E200E0"/>
    <w:rsid w:val="00E264E8"/>
    <w:rsid w:val="00E44BB3"/>
    <w:rsid w:val="00E478CB"/>
    <w:rsid w:val="00E563B8"/>
    <w:rsid w:val="00E63F9A"/>
    <w:rsid w:val="00E6713D"/>
    <w:rsid w:val="00E754FD"/>
    <w:rsid w:val="00E8160A"/>
    <w:rsid w:val="00E8797D"/>
    <w:rsid w:val="00E93EFA"/>
    <w:rsid w:val="00E95EE1"/>
    <w:rsid w:val="00EA1D51"/>
    <w:rsid w:val="00EB6E9D"/>
    <w:rsid w:val="00EB7904"/>
    <w:rsid w:val="00ED0F61"/>
    <w:rsid w:val="00EE2C7D"/>
    <w:rsid w:val="00EF11FD"/>
    <w:rsid w:val="00F05587"/>
    <w:rsid w:val="00F1400C"/>
    <w:rsid w:val="00F333E7"/>
    <w:rsid w:val="00F37265"/>
    <w:rsid w:val="00F45A3F"/>
    <w:rsid w:val="00F6117F"/>
    <w:rsid w:val="00F612D2"/>
    <w:rsid w:val="00F65F2D"/>
    <w:rsid w:val="00F67C14"/>
    <w:rsid w:val="00F67C19"/>
    <w:rsid w:val="00F73FB0"/>
    <w:rsid w:val="00F75D86"/>
    <w:rsid w:val="00F76DE1"/>
    <w:rsid w:val="00F843B6"/>
    <w:rsid w:val="00FA3F14"/>
    <w:rsid w:val="00FB042B"/>
    <w:rsid w:val="00FB7180"/>
    <w:rsid w:val="00FC7A00"/>
    <w:rsid w:val="00FD7028"/>
    <w:rsid w:val="00FD7CF9"/>
    <w:rsid w:val="00FE04E3"/>
    <w:rsid w:val="00FF62DF"/>
    <w:rsid w:val="01C9417B"/>
    <w:rsid w:val="033433CD"/>
    <w:rsid w:val="04C50528"/>
    <w:rsid w:val="06E728E4"/>
    <w:rsid w:val="092F14AC"/>
    <w:rsid w:val="0A2552B4"/>
    <w:rsid w:val="0BE61692"/>
    <w:rsid w:val="0C0444C5"/>
    <w:rsid w:val="0E5258B9"/>
    <w:rsid w:val="0F5848BD"/>
    <w:rsid w:val="0FB278A4"/>
    <w:rsid w:val="10FC16EA"/>
    <w:rsid w:val="13021E3F"/>
    <w:rsid w:val="13465DAC"/>
    <w:rsid w:val="139513AE"/>
    <w:rsid w:val="14962256"/>
    <w:rsid w:val="14C804A6"/>
    <w:rsid w:val="162E3271"/>
    <w:rsid w:val="16F83DC9"/>
    <w:rsid w:val="198C19F9"/>
    <w:rsid w:val="1B0F4F57"/>
    <w:rsid w:val="1F1220B1"/>
    <w:rsid w:val="1F375EA0"/>
    <w:rsid w:val="1FD707C9"/>
    <w:rsid w:val="200545EF"/>
    <w:rsid w:val="20664BB5"/>
    <w:rsid w:val="208A18F1"/>
    <w:rsid w:val="2222290C"/>
    <w:rsid w:val="23700030"/>
    <w:rsid w:val="259E0645"/>
    <w:rsid w:val="25F200CF"/>
    <w:rsid w:val="26537D14"/>
    <w:rsid w:val="285F54CF"/>
    <w:rsid w:val="2B2851E2"/>
    <w:rsid w:val="2BA94BE7"/>
    <w:rsid w:val="2CE618B6"/>
    <w:rsid w:val="2DC76CFD"/>
    <w:rsid w:val="2E2F2B52"/>
    <w:rsid w:val="308F4C3A"/>
    <w:rsid w:val="31F61B87"/>
    <w:rsid w:val="323E2ACC"/>
    <w:rsid w:val="33251AE9"/>
    <w:rsid w:val="363C4E06"/>
    <w:rsid w:val="36C21BE7"/>
    <w:rsid w:val="37820D4F"/>
    <w:rsid w:val="389B1F46"/>
    <w:rsid w:val="38E70267"/>
    <w:rsid w:val="39CE7FA1"/>
    <w:rsid w:val="3B732625"/>
    <w:rsid w:val="3BC14218"/>
    <w:rsid w:val="3CD134FA"/>
    <w:rsid w:val="41A6493B"/>
    <w:rsid w:val="450042C0"/>
    <w:rsid w:val="460E2D77"/>
    <w:rsid w:val="47CF49F6"/>
    <w:rsid w:val="48A40ED8"/>
    <w:rsid w:val="496F6108"/>
    <w:rsid w:val="4A5C030F"/>
    <w:rsid w:val="4A8F03B7"/>
    <w:rsid w:val="4AAA260D"/>
    <w:rsid w:val="4AF22A01"/>
    <w:rsid w:val="4D41354B"/>
    <w:rsid w:val="50795316"/>
    <w:rsid w:val="50887BD7"/>
    <w:rsid w:val="52935D52"/>
    <w:rsid w:val="52CA5AE0"/>
    <w:rsid w:val="5329368F"/>
    <w:rsid w:val="5340173E"/>
    <w:rsid w:val="53932FAA"/>
    <w:rsid w:val="53C16078"/>
    <w:rsid w:val="54680BE2"/>
    <w:rsid w:val="54CC782F"/>
    <w:rsid w:val="55B77B04"/>
    <w:rsid w:val="58A911FA"/>
    <w:rsid w:val="59243E89"/>
    <w:rsid w:val="59CB7C73"/>
    <w:rsid w:val="5B9B465A"/>
    <w:rsid w:val="5E2A018B"/>
    <w:rsid w:val="5F172392"/>
    <w:rsid w:val="62444AC8"/>
    <w:rsid w:val="641254F8"/>
    <w:rsid w:val="65790D87"/>
    <w:rsid w:val="66966A37"/>
    <w:rsid w:val="68A60B90"/>
    <w:rsid w:val="705F10F1"/>
    <w:rsid w:val="72A662C9"/>
    <w:rsid w:val="73730B78"/>
    <w:rsid w:val="7490224A"/>
    <w:rsid w:val="77904DB5"/>
    <w:rsid w:val="77C2468B"/>
    <w:rsid w:val="7BFA372D"/>
    <w:rsid w:val="7CF02C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0"/>
    <w:pPr>
      <w:tabs>
        <w:tab w:val="center" w:pos="4153"/>
        <w:tab w:val="right" w:pos="8306"/>
      </w:tabs>
      <w:snapToGrid w:val="0"/>
      <w:jc w:val="left"/>
    </w:pPr>
    <w:rPr>
      <w:rFonts w:ascii="Calibri" w:hAnsi="Calibri" w:cs="黑体"/>
      <w:sz w:val="18"/>
      <w:szCs w:val="18"/>
    </w:rPr>
  </w:style>
  <w:style w:type="paragraph" w:styleId="4">
    <w:name w:val="header"/>
    <w:basedOn w:val="1"/>
    <w:link w:val="10"/>
    <w:unhideWhenUsed/>
    <w:qFormat/>
    <w:uiPriority w:val="0"/>
    <w:pPr>
      <w:pBdr>
        <w:bottom w:val="single" w:color="auto" w:sz="6" w:space="1"/>
      </w:pBdr>
      <w:tabs>
        <w:tab w:val="center" w:pos="4153"/>
        <w:tab w:val="right" w:pos="8306"/>
      </w:tabs>
      <w:snapToGrid w:val="0"/>
      <w:jc w:val="center"/>
    </w:pPr>
    <w:rPr>
      <w:rFonts w:ascii="Calibri" w:hAnsi="Calibri" w:cs="黑体"/>
      <w:sz w:val="18"/>
      <w:szCs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8">
    <w:name w:val="Strong"/>
    <w:qFormat/>
    <w:uiPriority w:val="0"/>
    <w:rPr>
      <w:b/>
    </w:rPr>
  </w:style>
  <w:style w:type="character" w:styleId="9">
    <w:name w:val="page number"/>
    <w:basedOn w:val="7"/>
    <w:qFormat/>
    <w:uiPriority w:val="0"/>
  </w:style>
  <w:style w:type="character" w:customStyle="1" w:styleId="10">
    <w:name w:val="页眉 Char"/>
    <w:link w:val="4"/>
    <w:qFormat/>
    <w:uiPriority w:val="0"/>
    <w:rPr>
      <w:sz w:val="18"/>
      <w:szCs w:val="18"/>
    </w:rPr>
  </w:style>
  <w:style w:type="character" w:customStyle="1" w:styleId="11">
    <w:name w:val="页脚 Char"/>
    <w:link w:val="3"/>
    <w:qFormat/>
    <w:uiPriority w:val="0"/>
    <w:rPr>
      <w:sz w:val="18"/>
      <w:szCs w:val="18"/>
    </w:rPr>
  </w:style>
  <w:style w:type="character" w:customStyle="1" w:styleId="12">
    <w:name w:val="批注框文本 Char"/>
    <w:link w:val="2"/>
    <w:semiHidden/>
    <w:qFormat/>
    <w:uiPriority w:val="99"/>
    <w:rPr>
      <w:rFonts w:ascii="Times New Roman" w:hAnsi="Times New Roman" w:eastAsia="宋体" w:cs="Times New Roman"/>
      <w:sz w:val="18"/>
      <w:szCs w:val="18"/>
    </w:rPr>
  </w:style>
  <w:style w:type="character" w:customStyle="1" w:styleId="13">
    <w:name w:val="font01"/>
    <w:qFormat/>
    <w:uiPriority w:val="0"/>
    <w:rPr>
      <w:rFonts w:hint="default" w:ascii="Times New Roman" w:hAnsi="Times New Roman" w:cs="Times New Roman"/>
      <w:b/>
      <w:color w:val="000000"/>
      <w:sz w:val="18"/>
      <w:szCs w:val="18"/>
      <w:u w:val="none"/>
    </w:rPr>
  </w:style>
  <w:style w:type="character" w:customStyle="1" w:styleId="14">
    <w:name w:val="font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chart" Target="charts/chart8.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H:\&#32508;&#21512;\&#37096;&#38376;&#25968;&#25454;\2018\2018&#24180;GDP.xls"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H:\&#32508;&#21512;\&#37096;&#38376;&#25968;&#25454;\2018\2018&#24180;GDP.xls"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8.xml"/><Relationship Id="rId2" Type="http://schemas.microsoft.com/office/2011/relationships/chartStyle" Target="style8.xml"/><Relationship Id="rId1" Type="http://schemas.openxmlformats.org/officeDocument/2006/relationships/oleObject" Target="file:///H:\&#32508;&#21512;\&#20844;&#25253;\2018&#24180;&#20844;&#25253;&#25968;&#25454;\&#21508;&#19987;&#19994;&#25968;&#25454;\&#20844;&#25253;&#38656;&#35201;&#24314;&#31569;&#21644;&#25151;&#22320;&#20135;&#26041;&#38754;&#30340;&#25968;&#25454;.xls"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H:\&#32508;&#21512;\&#37096;&#38376;&#25968;&#25454;\2018\12&#26376;&#25237;&#36164;&#25151;&#22320;&#20135;.xls"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H:\&#32508;&#21512;\&#37096;&#38376;&#25968;&#25454;\2018\12&#26376;&#36152;&#26131;.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H:\&#32508;&#21512;\&#37096;&#38376;&#25968;&#25454;\2018\2018.12&#38134;&#34892;&#19994;&#36816;&#34892;&#24773;&#20917;&#26376;&#25253;&#27719;&#24635;&#34920;(&#25253;&#32479;&#35745;&#23616;).xls"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24037;&#20316;&#31807;1" TargetMode="External"/></Relationships>
</file>

<file path=word/charts/_rels/chart8.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H:\&#32508;&#21512;\&#20844;&#25253;\2018&#24180;&#20844;&#25253;&#25968;&#25454;\&#37096;&#38376;&#25968;&#25454;\&#25945;&#22996;\&#25945;&#32946;&#25968;&#25454;&#35745;&#31639;2012-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320" b="0" i="0" u="none" strike="noStrike" kern="1200" spc="0" baseline="0">
                <a:solidFill>
                  <a:schemeClr val="tx1">
                    <a:lumMod val="65000"/>
                    <a:lumOff val="35000"/>
                  </a:schemeClr>
                </a:solidFill>
                <a:latin typeface="+mn-lt"/>
                <a:ea typeface="+mn-ea"/>
                <a:cs typeface="+mn-cs"/>
              </a:defRPr>
            </a:pPr>
            <a:r>
              <a:rPr lang="zh-CN"/>
              <a:t>图</a:t>
            </a:r>
            <a:r>
              <a:rPr lang="en-US"/>
              <a:t>1    2014-2018</a:t>
            </a:r>
            <a:r>
              <a:rPr lang="zh-CN"/>
              <a:t>年地区生产总值及其增长速度</a:t>
            </a:r>
            <a:endParaRPr lang="zh-CN"/>
          </a:p>
        </c:rich>
      </c:tx>
      <c:layout/>
      <c:overlay val="0"/>
      <c:spPr>
        <a:noFill/>
        <a:ln>
          <a:noFill/>
        </a:ln>
        <a:effectLst/>
      </c:spPr>
    </c:title>
    <c:autoTitleDeleted val="0"/>
    <c:plotArea>
      <c:layout/>
      <c:barChart>
        <c:barDir val="col"/>
        <c:grouping val="clustered"/>
        <c:varyColors val="0"/>
        <c:ser>
          <c:idx val="0"/>
          <c:order val="0"/>
          <c:tx>
            <c:strRef>
              <c:f>Sheet2!$B$2</c:f>
              <c:strCache>
                <c:ptCount val="1"/>
                <c:pt idx="0">
                  <c:v>地区生产总值（万元）</c:v>
                </c:pt>
              </c:strCache>
            </c:strRef>
          </c:tx>
          <c:spPr>
            <a:solidFill>
              <a:schemeClr val="accent1"/>
            </a:solidFill>
            <a:ln>
              <a:noFill/>
            </a:ln>
            <a:effectLst/>
          </c:spPr>
          <c:invertIfNegative val="0"/>
          <c:dLbls>
            <c:delete val="1"/>
          </c:dLbls>
          <c:cat>
            <c:numRef>
              <c:f>Sheet2!$A$3:$A$7</c:f>
              <c:numCache>
                <c:formatCode>General</c:formatCode>
                <c:ptCount val="5"/>
                <c:pt idx="0">
                  <c:v>2014</c:v>
                </c:pt>
                <c:pt idx="1">
                  <c:v>2015</c:v>
                </c:pt>
                <c:pt idx="2">
                  <c:v>2016</c:v>
                </c:pt>
                <c:pt idx="3">
                  <c:v>2017</c:v>
                </c:pt>
                <c:pt idx="4">
                  <c:v>2018</c:v>
                </c:pt>
              </c:numCache>
            </c:numRef>
          </c:cat>
          <c:val>
            <c:numRef>
              <c:f>Sheet2!$B$3:$B$7</c:f>
              <c:numCache>
                <c:formatCode>General</c:formatCode>
                <c:ptCount val="5"/>
                <c:pt idx="0">
                  <c:v>3004235</c:v>
                </c:pt>
                <c:pt idx="1">
                  <c:v>3298733</c:v>
                </c:pt>
                <c:pt idx="2">
                  <c:v>3681237</c:v>
                </c:pt>
                <c:pt idx="3">
                  <c:v>4147947</c:v>
                </c:pt>
                <c:pt idx="4">
                  <c:v>5048801</c:v>
                </c:pt>
              </c:numCache>
            </c:numRef>
          </c:val>
        </c:ser>
        <c:dLbls>
          <c:showLegendKey val="0"/>
          <c:showVal val="0"/>
          <c:showCatName val="0"/>
          <c:showSerName val="0"/>
          <c:showPercent val="0"/>
          <c:showBubbleSize val="0"/>
        </c:dLbls>
        <c:gapWidth val="219"/>
        <c:axId val="373993104"/>
        <c:axId val="373993496"/>
      </c:barChart>
      <c:lineChart>
        <c:grouping val="standard"/>
        <c:varyColors val="0"/>
        <c:ser>
          <c:idx val="1"/>
          <c:order val="1"/>
          <c:tx>
            <c:strRef>
              <c:f>Sheet2!$C$2</c:f>
              <c:strCache>
                <c:ptCount val="1"/>
                <c:pt idx="0">
                  <c:v>比上年增长（%）</c:v>
                </c:pt>
              </c:strCache>
            </c:strRef>
          </c:tx>
          <c:spPr>
            <a:ln w="28575" cap="rnd">
              <a:solidFill>
                <a:schemeClr val="accent2"/>
              </a:solidFill>
              <a:round/>
            </a:ln>
            <a:effectLst/>
          </c:spPr>
          <c:marker>
            <c:symbol val="none"/>
          </c:marker>
          <c:dLbls>
            <c:delete val="1"/>
          </c:dLbls>
          <c:cat>
            <c:numRef>
              <c:f>Sheet2!$A$3:$A$7</c:f>
              <c:numCache>
                <c:formatCode>General</c:formatCode>
                <c:ptCount val="5"/>
                <c:pt idx="0">
                  <c:v>2014</c:v>
                </c:pt>
                <c:pt idx="1">
                  <c:v>2015</c:v>
                </c:pt>
                <c:pt idx="2">
                  <c:v>2016</c:v>
                </c:pt>
                <c:pt idx="3">
                  <c:v>2017</c:v>
                </c:pt>
                <c:pt idx="4">
                  <c:v>2018</c:v>
                </c:pt>
              </c:numCache>
            </c:numRef>
          </c:cat>
          <c:val>
            <c:numRef>
              <c:f>Sheet2!$C$3:$C$7</c:f>
              <c:numCache>
                <c:formatCode>General</c:formatCode>
                <c:ptCount val="5"/>
                <c:pt idx="0">
                  <c:v>12</c:v>
                </c:pt>
                <c:pt idx="1">
                  <c:v>11.7</c:v>
                </c:pt>
                <c:pt idx="2">
                  <c:v>10.8</c:v>
                </c:pt>
                <c:pt idx="3">
                  <c:v>9.2</c:v>
                </c:pt>
                <c:pt idx="4">
                  <c:v>9.5</c:v>
                </c:pt>
              </c:numCache>
            </c:numRef>
          </c:val>
          <c:smooth val="0"/>
        </c:ser>
        <c:dLbls>
          <c:showLegendKey val="0"/>
          <c:showVal val="0"/>
          <c:showCatName val="0"/>
          <c:showSerName val="0"/>
          <c:showPercent val="0"/>
          <c:showBubbleSize val="0"/>
        </c:dLbls>
        <c:marker val="0"/>
        <c:smooth val="0"/>
        <c:axId val="542812200"/>
        <c:axId val="542811808"/>
      </c:lineChart>
      <c:catAx>
        <c:axId val="373993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1100" b="0" i="0" u="none" strike="noStrike" kern="1200" baseline="0">
                <a:solidFill>
                  <a:schemeClr val="tx1">
                    <a:lumMod val="65000"/>
                    <a:lumOff val="35000"/>
                  </a:schemeClr>
                </a:solidFill>
                <a:latin typeface="+mn-lt"/>
                <a:ea typeface="+mn-ea"/>
                <a:cs typeface="+mn-cs"/>
              </a:defRPr>
            </a:pPr>
          </a:p>
        </c:txPr>
        <c:crossAx val="373993496"/>
        <c:crosses val="autoZero"/>
        <c:auto val="1"/>
        <c:lblAlgn val="ctr"/>
        <c:lblOffset val="100"/>
        <c:noMultiLvlLbl val="0"/>
      </c:catAx>
      <c:valAx>
        <c:axId val="373993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1100" b="0" i="0" u="none" strike="noStrike" kern="1200" baseline="0">
                <a:solidFill>
                  <a:schemeClr val="tx1">
                    <a:lumMod val="65000"/>
                    <a:lumOff val="35000"/>
                  </a:schemeClr>
                </a:solidFill>
                <a:latin typeface="+mn-lt"/>
                <a:ea typeface="+mn-ea"/>
                <a:cs typeface="+mn-cs"/>
              </a:defRPr>
            </a:pPr>
          </a:p>
        </c:txPr>
        <c:crossAx val="373993104"/>
        <c:crosses val="autoZero"/>
        <c:crossBetween val="between"/>
      </c:valAx>
      <c:catAx>
        <c:axId val="542812200"/>
        <c:scaling>
          <c:orientation val="minMax"/>
        </c:scaling>
        <c:delete val="1"/>
        <c:axPos val="b"/>
        <c:numFmt formatCode="General" sourceLinked="1"/>
        <c:majorTickMark val="out"/>
        <c:minorTickMark val="none"/>
        <c:tickLblPos val="nextTo"/>
        <c:txPr>
          <a:bodyPr rot="-60000000" spcFirstLastPara="0" vertOverflow="ellipsis" vert="horz" wrap="square" anchor="ctr" anchorCtr="1"/>
          <a:lstStyle/>
          <a:p>
            <a:pPr>
              <a:defRPr lang="zh-CN" sz="1100" b="0" i="0" u="none" strike="noStrike" kern="1200" baseline="0">
                <a:solidFill>
                  <a:schemeClr val="tx1">
                    <a:lumMod val="65000"/>
                    <a:lumOff val="35000"/>
                  </a:schemeClr>
                </a:solidFill>
                <a:latin typeface="+mn-lt"/>
                <a:ea typeface="+mn-ea"/>
                <a:cs typeface="+mn-cs"/>
              </a:defRPr>
            </a:pPr>
          </a:p>
        </c:txPr>
        <c:crossAx val="542811808"/>
        <c:crosses val="autoZero"/>
        <c:auto val="1"/>
        <c:lblAlgn val="ctr"/>
        <c:lblOffset val="100"/>
        <c:noMultiLvlLbl val="0"/>
      </c:catAx>
      <c:valAx>
        <c:axId val="542811808"/>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lang="zh-CN" sz="1100" b="0" i="0" u="none" strike="noStrike" kern="1200" baseline="0">
                <a:solidFill>
                  <a:schemeClr val="tx1">
                    <a:lumMod val="65000"/>
                    <a:lumOff val="35000"/>
                  </a:schemeClr>
                </a:solidFill>
                <a:latin typeface="+mn-lt"/>
                <a:ea typeface="+mn-ea"/>
                <a:cs typeface="+mn-cs"/>
              </a:defRPr>
            </a:pPr>
          </a:p>
        </c:txPr>
        <c:crossAx val="542812200"/>
        <c:crosses val="max"/>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lang="zh-CN" sz="1100" b="0" i="0" u="none" strike="noStrike" kern="1200" baseline="0">
                <a:solidFill>
                  <a:schemeClr val="tx1">
                    <a:lumMod val="65000"/>
                    <a:lumOff val="35000"/>
                  </a:schemeClr>
                </a:solidFill>
                <a:latin typeface="+mn-lt"/>
                <a:ea typeface="+mn-ea"/>
                <a:cs typeface="+mn-cs"/>
              </a:defRPr>
            </a:pPr>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11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sz="1100" baseline="0"/>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40" b="0" i="0" u="none" strike="noStrike" kern="1200" spc="0" baseline="0">
                <a:solidFill>
                  <a:schemeClr val="tx1">
                    <a:lumMod val="65000"/>
                    <a:lumOff val="35000"/>
                  </a:schemeClr>
                </a:solidFill>
                <a:latin typeface="+mn-lt"/>
                <a:ea typeface="+mn-ea"/>
                <a:cs typeface="+mn-cs"/>
              </a:defRPr>
            </a:pPr>
            <a:r>
              <a:rPr lang="zh-CN"/>
              <a:t>图</a:t>
            </a:r>
            <a:r>
              <a:rPr lang="en-US"/>
              <a:t>2   2014-2018</a:t>
            </a:r>
            <a:r>
              <a:rPr lang="zh-CN"/>
              <a:t>年工业增加值及其增长速度</a:t>
            </a:r>
            <a:endParaRPr lang="zh-CN"/>
          </a:p>
        </c:rich>
      </c:tx>
      <c:layout/>
      <c:overlay val="0"/>
      <c:spPr>
        <a:noFill/>
        <a:ln>
          <a:noFill/>
        </a:ln>
        <a:effectLst/>
      </c:spPr>
    </c:title>
    <c:autoTitleDeleted val="0"/>
    <c:plotArea>
      <c:layout/>
      <c:barChart>
        <c:barDir val="col"/>
        <c:grouping val="clustered"/>
        <c:varyColors val="0"/>
        <c:ser>
          <c:idx val="0"/>
          <c:order val="0"/>
          <c:tx>
            <c:strRef>
              <c:f>Sheet2!$B$25</c:f>
              <c:strCache>
                <c:ptCount val="1"/>
                <c:pt idx="0">
                  <c:v>工业增加值（万元）</c:v>
                </c:pt>
              </c:strCache>
            </c:strRef>
          </c:tx>
          <c:spPr>
            <a:solidFill>
              <a:schemeClr val="accent1"/>
            </a:solidFill>
            <a:ln>
              <a:noFill/>
            </a:ln>
            <a:effectLst/>
          </c:spPr>
          <c:invertIfNegative val="0"/>
          <c:dLbls>
            <c:delete val="1"/>
          </c:dLbls>
          <c:cat>
            <c:numRef>
              <c:f>Sheet2!$A$26:$A$30</c:f>
              <c:numCache>
                <c:formatCode>General</c:formatCode>
                <c:ptCount val="5"/>
                <c:pt idx="0">
                  <c:v>2014</c:v>
                </c:pt>
                <c:pt idx="1">
                  <c:v>2015</c:v>
                </c:pt>
                <c:pt idx="2">
                  <c:v>2016</c:v>
                </c:pt>
                <c:pt idx="3">
                  <c:v>2017</c:v>
                </c:pt>
                <c:pt idx="4">
                  <c:v>2018</c:v>
                </c:pt>
              </c:numCache>
            </c:numRef>
          </c:cat>
          <c:val>
            <c:numRef>
              <c:f>Sheet2!$B$26:$B$30</c:f>
              <c:numCache>
                <c:formatCode>General</c:formatCode>
                <c:ptCount val="5"/>
                <c:pt idx="0">
                  <c:v>1552581</c:v>
                </c:pt>
                <c:pt idx="1">
                  <c:v>1670351</c:v>
                </c:pt>
                <c:pt idx="2">
                  <c:v>1823533</c:v>
                </c:pt>
                <c:pt idx="3">
                  <c:v>2087645</c:v>
                </c:pt>
                <c:pt idx="4">
                  <c:v>2320914</c:v>
                </c:pt>
              </c:numCache>
            </c:numRef>
          </c:val>
        </c:ser>
        <c:dLbls>
          <c:showLegendKey val="0"/>
          <c:showVal val="0"/>
          <c:showCatName val="0"/>
          <c:showSerName val="0"/>
          <c:showPercent val="0"/>
          <c:showBubbleSize val="0"/>
        </c:dLbls>
        <c:gapWidth val="219"/>
        <c:axId val="542813376"/>
        <c:axId val="456193912"/>
      </c:barChart>
      <c:lineChart>
        <c:grouping val="standard"/>
        <c:varyColors val="0"/>
        <c:ser>
          <c:idx val="1"/>
          <c:order val="1"/>
          <c:tx>
            <c:strRef>
              <c:f>Sheet2!$C$25</c:f>
              <c:strCache>
                <c:ptCount val="1"/>
                <c:pt idx="0">
                  <c:v>比上年增长（%）</c:v>
                </c:pt>
              </c:strCache>
            </c:strRef>
          </c:tx>
          <c:spPr>
            <a:ln w="28575" cap="rnd">
              <a:solidFill>
                <a:schemeClr val="accent2"/>
              </a:solidFill>
              <a:round/>
            </a:ln>
            <a:effectLst/>
          </c:spPr>
          <c:marker>
            <c:symbol val="none"/>
          </c:marker>
          <c:dLbls>
            <c:delete val="1"/>
          </c:dLbls>
          <c:cat>
            <c:numRef>
              <c:f>Sheet2!$A$26:$A$30</c:f>
              <c:numCache>
                <c:formatCode>General</c:formatCode>
                <c:ptCount val="5"/>
                <c:pt idx="0">
                  <c:v>2014</c:v>
                </c:pt>
                <c:pt idx="1">
                  <c:v>2015</c:v>
                </c:pt>
                <c:pt idx="2">
                  <c:v>2016</c:v>
                </c:pt>
                <c:pt idx="3">
                  <c:v>2017</c:v>
                </c:pt>
                <c:pt idx="4">
                  <c:v>2018</c:v>
                </c:pt>
              </c:numCache>
            </c:numRef>
          </c:cat>
          <c:val>
            <c:numRef>
              <c:f>Sheet2!$C$26:$C$30</c:f>
              <c:numCache>
                <c:formatCode>General</c:formatCode>
                <c:ptCount val="5"/>
                <c:pt idx="0">
                  <c:v>13.1</c:v>
                </c:pt>
                <c:pt idx="1">
                  <c:v>11.6</c:v>
                </c:pt>
                <c:pt idx="2">
                  <c:v>10.8</c:v>
                </c:pt>
                <c:pt idx="3">
                  <c:v>10.5</c:v>
                </c:pt>
                <c:pt idx="4">
                  <c:v>9.1</c:v>
                </c:pt>
              </c:numCache>
            </c:numRef>
          </c:val>
          <c:smooth val="0"/>
        </c:ser>
        <c:dLbls>
          <c:showLegendKey val="0"/>
          <c:showVal val="0"/>
          <c:showCatName val="0"/>
          <c:showSerName val="0"/>
          <c:showPercent val="0"/>
          <c:showBubbleSize val="0"/>
        </c:dLbls>
        <c:marker val="0"/>
        <c:smooth val="0"/>
        <c:axId val="456194696"/>
        <c:axId val="456194304"/>
      </c:lineChart>
      <c:catAx>
        <c:axId val="542813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1200" b="0" i="0" u="none" strike="noStrike" kern="1200" baseline="0">
                <a:solidFill>
                  <a:schemeClr val="tx1">
                    <a:lumMod val="65000"/>
                    <a:lumOff val="35000"/>
                  </a:schemeClr>
                </a:solidFill>
                <a:latin typeface="+mn-lt"/>
                <a:ea typeface="+mn-ea"/>
                <a:cs typeface="+mn-cs"/>
              </a:defRPr>
            </a:pPr>
          </a:p>
        </c:txPr>
        <c:crossAx val="456193912"/>
        <c:crosses val="autoZero"/>
        <c:auto val="1"/>
        <c:lblAlgn val="ctr"/>
        <c:lblOffset val="100"/>
        <c:noMultiLvlLbl val="0"/>
      </c:catAx>
      <c:valAx>
        <c:axId val="456193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1200" b="0" i="0" u="none" strike="noStrike" kern="1200" baseline="0">
                <a:solidFill>
                  <a:schemeClr val="tx1">
                    <a:lumMod val="65000"/>
                    <a:lumOff val="35000"/>
                  </a:schemeClr>
                </a:solidFill>
                <a:latin typeface="+mn-lt"/>
                <a:ea typeface="+mn-ea"/>
                <a:cs typeface="+mn-cs"/>
              </a:defRPr>
            </a:pPr>
          </a:p>
        </c:txPr>
        <c:crossAx val="542813376"/>
        <c:crosses val="autoZero"/>
        <c:crossBetween val="between"/>
      </c:valAx>
      <c:catAx>
        <c:axId val="456194696"/>
        <c:scaling>
          <c:orientation val="minMax"/>
        </c:scaling>
        <c:delete val="1"/>
        <c:axPos val="b"/>
        <c:numFmt formatCode="General" sourceLinked="1"/>
        <c:majorTickMark val="out"/>
        <c:minorTickMark val="none"/>
        <c:tickLblPos val="nextTo"/>
        <c:txPr>
          <a:bodyPr rot="-60000000" spcFirstLastPara="0" vertOverflow="ellipsis" vert="horz" wrap="square" anchor="ctr" anchorCtr="1"/>
          <a:lstStyle/>
          <a:p>
            <a:pPr>
              <a:defRPr lang="zh-CN" sz="1200" b="0" i="0" u="none" strike="noStrike" kern="1200" baseline="0">
                <a:solidFill>
                  <a:schemeClr val="tx1">
                    <a:lumMod val="65000"/>
                    <a:lumOff val="35000"/>
                  </a:schemeClr>
                </a:solidFill>
                <a:latin typeface="+mn-lt"/>
                <a:ea typeface="+mn-ea"/>
                <a:cs typeface="+mn-cs"/>
              </a:defRPr>
            </a:pPr>
          </a:p>
        </c:txPr>
        <c:crossAx val="456194304"/>
        <c:crosses val="autoZero"/>
        <c:auto val="1"/>
        <c:lblAlgn val="ctr"/>
        <c:lblOffset val="100"/>
        <c:noMultiLvlLbl val="0"/>
      </c:catAx>
      <c:valAx>
        <c:axId val="456194304"/>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lang="zh-CN" sz="1200" b="0" i="0" u="none" strike="noStrike" kern="1200" baseline="0">
                <a:solidFill>
                  <a:schemeClr val="tx1">
                    <a:lumMod val="65000"/>
                    <a:lumOff val="35000"/>
                  </a:schemeClr>
                </a:solidFill>
                <a:latin typeface="+mn-lt"/>
                <a:ea typeface="+mn-ea"/>
                <a:cs typeface="+mn-cs"/>
              </a:defRPr>
            </a:pPr>
          </a:p>
        </c:txPr>
        <c:crossAx val="456194696"/>
        <c:crosses val="max"/>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lang="zh-CN" sz="1200" b="0" i="0" u="none" strike="noStrike" kern="1200" baseline="0">
                <a:solidFill>
                  <a:schemeClr val="tx1">
                    <a:lumMod val="65000"/>
                    <a:lumOff val="35000"/>
                  </a:schemeClr>
                </a:solidFill>
                <a:latin typeface="+mn-lt"/>
                <a:ea typeface="+mn-ea"/>
                <a:cs typeface="+mn-cs"/>
              </a:defRPr>
            </a:pPr>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12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sz="1200" baseline="0"/>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320" b="0" i="0" u="none" strike="noStrike" kern="1200" spc="0" baseline="0">
                <a:ln>
                  <a:noFill/>
                </a:ln>
                <a:solidFill>
                  <a:sysClr val="windowText" lastClr="000000"/>
                </a:solidFill>
                <a:latin typeface="+mn-lt"/>
                <a:ea typeface="+mn-ea"/>
                <a:cs typeface="+mn-cs"/>
              </a:defRPr>
            </a:pPr>
            <a:r>
              <a:rPr lang="zh-CN"/>
              <a:t>图</a:t>
            </a:r>
            <a:r>
              <a:rPr lang="en-US"/>
              <a:t>3  2014-2018</a:t>
            </a:r>
            <a:r>
              <a:rPr lang="zh-CN"/>
              <a:t>年建筑业增加值及其增长速度</a:t>
            </a:r>
            <a:endParaRPr lang="zh-CN"/>
          </a:p>
        </c:rich>
      </c:tx>
      <c:layout/>
      <c:overlay val="0"/>
      <c:spPr>
        <a:noFill/>
        <a:ln>
          <a:noFill/>
        </a:ln>
        <a:effectLst/>
      </c:spPr>
    </c:title>
    <c:autoTitleDeleted val="0"/>
    <c:plotArea>
      <c:layout/>
      <c:barChart>
        <c:barDir val="col"/>
        <c:grouping val="clustered"/>
        <c:varyColors val="0"/>
        <c:ser>
          <c:idx val="0"/>
          <c:order val="0"/>
          <c:tx>
            <c:strRef>
              <c:f>Sheet2!$B$2</c:f>
              <c:strCache>
                <c:ptCount val="1"/>
                <c:pt idx="0">
                  <c:v>建筑业增加值（万元）</c:v>
                </c:pt>
              </c:strCache>
            </c:strRef>
          </c:tx>
          <c:spPr>
            <a:solidFill>
              <a:schemeClr val="accent1"/>
            </a:solidFill>
            <a:ln>
              <a:noFill/>
            </a:ln>
            <a:effectLst/>
          </c:spPr>
          <c:invertIfNegative val="0"/>
          <c:dLbls>
            <c:delete val="1"/>
          </c:dLbls>
          <c:val>
            <c:numRef>
              <c:f>Sheet2!$B$3:$B$7</c:f>
              <c:numCache>
                <c:formatCode>General</c:formatCode>
                <c:ptCount val="5"/>
                <c:pt idx="0">
                  <c:v>351397</c:v>
                </c:pt>
                <c:pt idx="1">
                  <c:v>407383</c:v>
                </c:pt>
                <c:pt idx="2">
                  <c:v>468612</c:v>
                </c:pt>
                <c:pt idx="3">
                  <c:v>550701</c:v>
                </c:pt>
                <c:pt idx="4">
                  <c:v>620012</c:v>
                </c:pt>
              </c:numCache>
            </c:numRef>
          </c:val>
        </c:ser>
        <c:dLbls>
          <c:showLegendKey val="0"/>
          <c:showVal val="0"/>
          <c:showCatName val="0"/>
          <c:showSerName val="0"/>
          <c:showPercent val="0"/>
          <c:showBubbleSize val="0"/>
        </c:dLbls>
        <c:gapWidth val="219"/>
        <c:overlap val="-27"/>
        <c:axId val="375535680"/>
        <c:axId val="375536072"/>
      </c:barChart>
      <c:lineChart>
        <c:grouping val="standard"/>
        <c:varyColors val="0"/>
        <c:ser>
          <c:idx val="1"/>
          <c:order val="1"/>
          <c:tx>
            <c:strRef>
              <c:f>Sheet2!$C$2</c:f>
              <c:strCache>
                <c:ptCount val="1"/>
                <c:pt idx="0">
                  <c:v>比上年增长（%）</c:v>
                </c:pt>
              </c:strCache>
            </c:strRef>
          </c:tx>
          <c:spPr>
            <a:ln w="28575" cap="rnd">
              <a:solidFill>
                <a:schemeClr val="accent2"/>
              </a:solidFill>
              <a:round/>
            </a:ln>
            <a:effectLst/>
          </c:spPr>
          <c:marker>
            <c:symbol val="none"/>
          </c:marker>
          <c:dLbls>
            <c:delete val="1"/>
          </c:dLbls>
          <c:val>
            <c:numRef>
              <c:f>Sheet2!$C$3:$C$7</c:f>
              <c:numCache>
                <c:formatCode>General</c:formatCode>
                <c:ptCount val="5"/>
                <c:pt idx="0">
                  <c:v>21.3</c:v>
                </c:pt>
                <c:pt idx="1">
                  <c:v>19.2</c:v>
                </c:pt>
                <c:pt idx="2" c:formatCode="0.0_ ">
                  <c:v>17</c:v>
                </c:pt>
                <c:pt idx="3">
                  <c:v>9.9</c:v>
                </c:pt>
                <c:pt idx="4">
                  <c:v>6.6</c:v>
                </c:pt>
              </c:numCache>
            </c:numRef>
          </c:val>
          <c:smooth val="0"/>
        </c:ser>
        <c:dLbls>
          <c:showLegendKey val="0"/>
          <c:showVal val="0"/>
          <c:showCatName val="0"/>
          <c:showSerName val="0"/>
          <c:showPercent val="0"/>
          <c:showBubbleSize val="0"/>
        </c:dLbls>
        <c:marker val="0"/>
        <c:smooth val="0"/>
        <c:axId val="375536856"/>
        <c:axId val="375536464"/>
      </c:lineChart>
      <c:catAx>
        <c:axId val="37553568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1100" b="0" i="0" u="none" strike="noStrike" kern="1200" baseline="0">
                <a:ln>
                  <a:noFill/>
                </a:ln>
                <a:solidFill>
                  <a:sysClr val="windowText" lastClr="000000"/>
                </a:solidFill>
                <a:latin typeface="+mn-lt"/>
                <a:ea typeface="+mn-ea"/>
                <a:cs typeface="+mn-cs"/>
              </a:defRPr>
            </a:pPr>
          </a:p>
        </c:txPr>
        <c:crossAx val="375536072"/>
        <c:crosses val="autoZero"/>
        <c:auto val="1"/>
        <c:lblAlgn val="ctr"/>
        <c:lblOffset val="100"/>
        <c:noMultiLvlLbl val="0"/>
      </c:catAx>
      <c:valAx>
        <c:axId val="375536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1100" b="0" i="0" u="none" strike="noStrike" kern="1200" baseline="0">
                <a:ln>
                  <a:noFill/>
                </a:ln>
                <a:solidFill>
                  <a:sysClr val="windowText" lastClr="000000"/>
                </a:solidFill>
                <a:latin typeface="+mn-lt"/>
                <a:ea typeface="+mn-ea"/>
                <a:cs typeface="+mn-cs"/>
              </a:defRPr>
            </a:pPr>
          </a:p>
        </c:txPr>
        <c:crossAx val="375535680"/>
        <c:crosses val="autoZero"/>
        <c:crossBetween val="between"/>
      </c:valAx>
      <c:catAx>
        <c:axId val="375536856"/>
        <c:scaling>
          <c:orientation val="minMax"/>
        </c:scaling>
        <c:delete val="1"/>
        <c:axPos val="b"/>
        <c:majorTickMark val="out"/>
        <c:minorTickMark val="none"/>
        <c:tickLblPos val="nextTo"/>
        <c:txPr>
          <a:bodyPr rot="-60000000" spcFirstLastPara="0" vertOverflow="ellipsis" vert="horz" wrap="square" anchor="ctr" anchorCtr="1"/>
          <a:lstStyle/>
          <a:p>
            <a:pPr>
              <a:defRPr lang="zh-CN" sz="1100" b="0" i="0" u="none" strike="noStrike" kern="1200" baseline="0">
                <a:ln>
                  <a:noFill/>
                </a:ln>
                <a:solidFill>
                  <a:sysClr val="windowText" lastClr="000000"/>
                </a:solidFill>
                <a:latin typeface="+mn-lt"/>
                <a:ea typeface="+mn-ea"/>
                <a:cs typeface="+mn-cs"/>
              </a:defRPr>
            </a:pPr>
          </a:p>
        </c:txPr>
        <c:crossAx val="375536464"/>
        <c:crosses val="autoZero"/>
        <c:auto val="1"/>
        <c:lblAlgn val="ctr"/>
        <c:lblOffset val="100"/>
        <c:noMultiLvlLbl val="0"/>
      </c:catAx>
      <c:valAx>
        <c:axId val="375536464"/>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lang="zh-CN" sz="1100" b="0" i="0" u="none" strike="noStrike" kern="1200" baseline="0">
                <a:ln>
                  <a:noFill/>
                </a:ln>
                <a:solidFill>
                  <a:sysClr val="windowText" lastClr="000000"/>
                </a:solidFill>
                <a:latin typeface="+mn-lt"/>
                <a:ea typeface="+mn-ea"/>
                <a:cs typeface="+mn-cs"/>
              </a:defRPr>
            </a:pPr>
          </a:p>
        </c:txPr>
        <c:crossAx val="375536856"/>
        <c:crosses val="max"/>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lang="zh-CN" sz="1100" b="0" i="0" u="none" strike="noStrike" kern="1200" baseline="0">
                <a:ln>
                  <a:noFill/>
                </a:ln>
                <a:solidFill>
                  <a:sysClr val="windowText" lastClr="000000"/>
                </a:solidFill>
                <a:latin typeface="+mn-lt"/>
                <a:ea typeface="+mn-ea"/>
                <a:cs typeface="+mn-cs"/>
              </a:defRPr>
            </a:pPr>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1100" b="0" i="0" u="none" strike="noStrike" kern="1200" baseline="0">
              <a:ln>
                <a:noFill/>
              </a:ln>
              <a:solidFill>
                <a:sysClr val="windowText" lastClr="000000"/>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a:scene3d>
      <a:camera prst="orthographicFront"/>
      <a:lightRig rig="threePt" dir="t"/>
    </a:scene3d>
    <a:sp3d/>
  </c:spPr>
  <c:txPr>
    <a:bodyPr/>
    <a:lstStyle/>
    <a:p>
      <a:pPr>
        <a:defRPr lang="zh-CN" sz="1100" baseline="0">
          <a:ln>
            <a:noFill/>
          </a:ln>
          <a:solidFill>
            <a:sysClr val="windowText" lastClr="000000"/>
          </a:solidFill>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图</a:t>
            </a:r>
            <a:r>
              <a:rPr lang="en-US" altLang="zh-CN"/>
              <a:t>4  2014-2018</a:t>
            </a:r>
            <a:r>
              <a:rPr lang="zh-CN" altLang="en-US"/>
              <a:t>年固定资产投资增长速度</a:t>
            </a:r>
            <a:endParaRPr lang="zh-CN" altLang="en-US"/>
          </a:p>
        </c:rich>
      </c:tx>
      <c:layout/>
      <c:overlay val="0"/>
      <c:spPr>
        <a:noFill/>
        <a:ln>
          <a:noFill/>
        </a:ln>
        <a:effectLst/>
      </c:spPr>
    </c:title>
    <c:autoTitleDeleted val="0"/>
    <c:plotArea>
      <c:layout/>
      <c:lineChart>
        <c:grouping val="standard"/>
        <c:varyColors val="0"/>
        <c:ser>
          <c:idx val="0"/>
          <c:order val="0"/>
          <c:tx>
            <c:strRef>
              <c:f>Sheet1!$B$1</c:f>
              <c:strCache>
                <c:ptCount val="1"/>
                <c:pt idx="0">
                  <c:v>比上年增长%</c:v>
                </c:pt>
              </c:strCache>
            </c:strRef>
          </c:tx>
          <c:spPr>
            <a:ln w="28575" cap="rnd">
              <a:solidFill>
                <a:schemeClr val="accent1"/>
              </a:solidFill>
              <a:round/>
            </a:ln>
            <a:effectLst/>
          </c:spPr>
          <c:marker>
            <c:symbol val="none"/>
          </c:marker>
          <c:dLbls>
            <c:delete val="1"/>
          </c:dLbls>
          <c:cat>
            <c:numRef>
              <c:f>Sheet1!$A$2:$A$6</c:f>
              <c:numCache>
                <c:formatCode>General</c:formatCode>
                <c:ptCount val="5"/>
                <c:pt idx="0">
                  <c:v>2014</c:v>
                </c:pt>
                <c:pt idx="1">
                  <c:v>2015</c:v>
                </c:pt>
                <c:pt idx="2">
                  <c:v>2016</c:v>
                </c:pt>
                <c:pt idx="3">
                  <c:v>2017</c:v>
                </c:pt>
                <c:pt idx="4">
                  <c:v>2018</c:v>
                </c:pt>
              </c:numCache>
            </c:numRef>
          </c:cat>
          <c:val>
            <c:numRef>
              <c:f>Sheet1!$B$2:$B$6</c:f>
              <c:numCache>
                <c:formatCode>0.0_);[Red]\(0.0\)</c:formatCode>
                <c:ptCount val="5"/>
                <c:pt idx="0">
                  <c:v>22.1</c:v>
                </c:pt>
                <c:pt idx="1">
                  <c:v>20.2</c:v>
                </c:pt>
                <c:pt idx="2">
                  <c:v>16</c:v>
                </c:pt>
                <c:pt idx="3">
                  <c:v>13.5</c:v>
                </c:pt>
                <c:pt idx="4">
                  <c:v>10.7</c:v>
                </c:pt>
              </c:numCache>
            </c:numRef>
          </c:val>
          <c:smooth val="0"/>
        </c:ser>
        <c:dLbls>
          <c:showLegendKey val="0"/>
          <c:showVal val="0"/>
          <c:showCatName val="0"/>
          <c:showSerName val="0"/>
          <c:showPercent val="0"/>
          <c:showBubbleSize val="0"/>
        </c:dLbls>
        <c:marker val="0"/>
        <c:smooth val="0"/>
        <c:axId val="701803000"/>
        <c:axId val="701803392"/>
      </c:lineChart>
      <c:catAx>
        <c:axId val="701803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01803392"/>
        <c:crosses val="autoZero"/>
        <c:auto val="1"/>
        <c:lblAlgn val="ctr"/>
        <c:lblOffset val="100"/>
        <c:noMultiLvlLbl val="0"/>
      </c:catAx>
      <c:valAx>
        <c:axId val="701803392"/>
        <c:scaling>
          <c:orientation val="minMax"/>
        </c:scaling>
        <c:delete val="0"/>
        <c:axPos val="l"/>
        <c:majorGridlines>
          <c:spPr>
            <a:ln w="9525" cap="flat" cmpd="sng" algn="ctr">
              <a:solidFill>
                <a:schemeClr val="tx1">
                  <a:lumMod val="15000"/>
                  <a:lumOff val="85000"/>
                </a:schemeClr>
              </a:solidFill>
              <a:round/>
            </a:ln>
            <a:effectLst/>
          </c:spPr>
        </c:majorGridlines>
        <c:numFmt formatCode="0.0_);[Red]\(0.0\)" sourceLinked="1"/>
        <c:majorTickMark val="none"/>
        <c:minorTickMark val="none"/>
        <c:tickLblPos val="nextTo"/>
        <c:spPr>
          <a:noFill/>
          <a:ln>
            <a:noFill/>
          </a:ln>
          <a:effectLst/>
        </c:spPr>
        <c:txPr>
          <a:bodyPr rot="-60000000" spcFirstLastPara="1"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crossAx val="70180300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图</a:t>
            </a:r>
            <a:r>
              <a:rPr lang="en-US" altLang="zh-CN"/>
              <a:t>5</a:t>
            </a:r>
            <a:r>
              <a:rPr lang="en-US" altLang="zh-CN" baseline="0"/>
              <a:t>   2014-2018</a:t>
            </a:r>
            <a:r>
              <a:rPr lang="zh-CN" altLang="en-US" baseline="0"/>
              <a:t>年社会消费品零售总额增长速度</a:t>
            </a:r>
            <a:endParaRPr lang="en-US" altLang="zh-CN"/>
          </a:p>
        </c:rich>
      </c:tx>
      <c:layout/>
      <c:overlay val="0"/>
      <c:spPr>
        <a:noFill/>
        <a:ln>
          <a:noFill/>
        </a:ln>
        <a:effectLst/>
      </c:spPr>
    </c:title>
    <c:autoTitleDeleted val="0"/>
    <c:plotArea>
      <c:layout/>
      <c:lineChart>
        <c:grouping val="standard"/>
        <c:varyColors val="0"/>
        <c:ser>
          <c:idx val="0"/>
          <c:order val="0"/>
          <c:tx>
            <c:strRef>
              <c:f>Sheet3!$B$1</c:f>
              <c:strCache>
                <c:ptCount val="1"/>
                <c:pt idx="0">
                  <c:v>比上年增长%</c:v>
                </c:pt>
              </c:strCache>
            </c:strRef>
          </c:tx>
          <c:spPr>
            <a:ln w="28575" cap="rnd">
              <a:solidFill>
                <a:schemeClr val="accent1"/>
              </a:solidFill>
              <a:round/>
            </a:ln>
            <a:effectLst/>
          </c:spPr>
          <c:marker>
            <c:symbol val="none"/>
          </c:marker>
          <c:dLbls>
            <c:delete val="1"/>
          </c:dLbls>
          <c:cat>
            <c:numRef>
              <c:f>Sheet3!$A$2:$A$6</c:f>
              <c:numCache>
                <c:formatCode>General</c:formatCode>
                <c:ptCount val="5"/>
                <c:pt idx="0">
                  <c:v>2014</c:v>
                </c:pt>
                <c:pt idx="1">
                  <c:v>2015</c:v>
                </c:pt>
                <c:pt idx="2">
                  <c:v>2016</c:v>
                </c:pt>
                <c:pt idx="3">
                  <c:v>2017</c:v>
                </c:pt>
                <c:pt idx="4">
                  <c:v>2018</c:v>
                </c:pt>
              </c:numCache>
            </c:numRef>
          </c:cat>
          <c:val>
            <c:numRef>
              <c:f>Sheet3!$B$2:$B$6</c:f>
              <c:numCache>
                <c:formatCode>General</c:formatCode>
                <c:ptCount val="5"/>
                <c:pt idx="0">
                  <c:v>14.8</c:v>
                </c:pt>
                <c:pt idx="1">
                  <c:v>13.9</c:v>
                </c:pt>
                <c:pt idx="2">
                  <c:v>13.6</c:v>
                </c:pt>
                <c:pt idx="3">
                  <c:v>13.3</c:v>
                </c:pt>
                <c:pt idx="4">
                  <c:v>13.1</c:v>
                </c:pt>
              </c:numCache>
            </c:numRef>
          </c:val>
          <c:smooth val="0"/>
        </c:ser>
        <c:dLbls>
          <c:showLegendKey val="0"/>
          <c:showVal val="0"/>
          <c:showCatName val="0"/>
          <c:showSerName val="0"/>
          <c:showPercent val="0"/>
          <c:showBubbleSize val="0"/>
        </c:dLbls>
        <c:marker val="0"/>
        <c:smooth val="0"/>
        <c:axId val="701804568"/>
        <c:axId val="701804960"/>
      </c:lineChart>
      <c:catAx>
        <c:axId val="701804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01804960"/>
        <c:crosses val="autoZero"/>
        <c:auto val="1"/>
        <c:lblAlgn val="ctr"/>
        <c:lblOffset val="100"/>
        <c:noMultiLvlLbl val="0"/>
      </c:catAx>
      <c:valAx>
        <c:axId val="701804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crossAx val="70180456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图</a:t>
            </a:r>
            <a:r>
              <a:rPr lang="en-US" altLang="zh-CN"/>
              <a:t>6</a:t>
            </a:r>
            <a:r>
              <a:rPr lang="en-US" altLang="zh-CN" baseline="0"/>
              <a:t>    2014-2018</a:t>
            </a:r>
            <a:r>
              <a:rPr lang="zh-CN" altLang="en-US" baseline="0"/>
              <a:t>年金融机构存贷款余额</a:t>
            </a:r>
            <a:endParaRPr lang="zh-CN" altLang="en-US"/>
          </a:p>
        </c:rich>
      </c:tx>
      <c:layout/>
      <c:overlay val="0"/>
      <c:spPr>
        <a:noFill/>
        <a:ln>
          <a:noFill/>
        </a:ln>
        <a:effectLst/>
      </c:spPr>
    </c:title>
    <c:autoTitleDeleted val="0"/>
    <c:plotArea>
      <c:layout/>
      <c:barChart>
        <c:barDir val="col"/>
        <c:grouping val="clustered"/>
        <c:varyColors val="0"/>
        <c:ser>
          <c:idx val="0"/>
          <c:order val="0"/>
          <c:tx>
            <c:strRef>
              <c:f>'2018年12月汇总表(报统计局)'!$AJ$24</c:f>
              <c:strCache>
                <c:ptCount val="1"/>
                <c:pt idx="0">
                  <c:v>金融机构存款余额（万元）</c:v>
                </c:pt>
              </c:strCache>
            </c:strRef>
          </c:tx>
          <c:spPr>
            <a:solidFill>
              <a:schemeClr val="accent1"/>
            </a:solidFill>
            <a:ln>
              <a:noFill/>
            </a:ln>
            <a:effectLst/>
          </c:spPr>
          <c:invertIfNegative val="0"/>
          <c:dLbls>
            <c:delete val="1"/>
          </c:dLbls>
          <c:cat>
            <c:numRef>
              <c:f>'2018年12月汇总表(报统计局)'!$AI$25:$AI$29</c:f>
              <c:numCache>
                <c:formatCode>0_);[Red]\(0\)</c:formatCode>
                <c:ptCount val="5"/>
                <c:pt idx="0" c:formatCode="0_);[Red]\(0\)">
                  <c:v>2014</c:v>
                </c:pt>
                <c:pt idx="1" c:formatCode="0_);[Red]\(0\)">
                  <c:v>2015</c:v>
                </c:pt>
                <c:pt idx="2" c:formatCode="0_);[Red]\(0\)">
                  <c:v>2016</c:v>
                </c:pt>
                <c:pt idx="3" c:formatCode="0_);[Red]\(0\)">
                  <c:v>2017</c:v>
                </c:pt>
                <c:pt idx="4" c:formatCode="0_);[Red]\(0\)">
                  <c:v>2018</c:v>
                </c:pt>
              </c:numCache>
            </c:numRef>
          </c:cat>
          <c:val>
            <c:numRef>
              <c:f>'2018年12月汇总表(报统计局)'!$AJ$25:$AJ$29</c:f>
              <c:numCache>
                <c:formatCode>0_);[Red]\(0\)</c:formatCode>
                <c:ptCount val="5"/>
                <c:pt idx="0">
                  <c:v>2329160</c:v>
                </c:pt>
                <c:pt idx="1">
                  <c:v>2717047</c:v>
                </c:pt>
                <c:pt idx="2">
                  <c:v>2948059</c:v>
                </c:pt>
                <c:pt idx="3">
                  <c:v>3361010</c:v>
                </c:pt>
                <c:pt idx="4">
                  <c:v>3499354</c:v>
                </c:pt>
              </c:numCache>
            </c:numRef>
          </c:val>
        </c:ser>
        <c:ser>
          <c:idx val="1"/>
          <c:order val="1"/>
          <c:tx>
            <c:strRef>
              <c:f>'2018年12月汇总表(报统计局)'!$AK$24</c:f>
              <c:strCache>
                <c:ptCount val="1"/>
                <c:pt idx="0">
                  <c:v>金融机构贷款余额（万元）</c:v>
                </c:pt>
              </c:strCache>
            </c:strRef>
          </c:tx>
          <c:spPr>
            <a:solidFill>
              <a:schemeClr val="accent2"/>
            </a:solidFill>
            <a:ln>
              <a:noFill/>
            </a:ln>
            <a:effectLst/>
          </c:spPr>
          <c:invertIfNegative val="0"/>
          <c:dLbls>
            <c:delete val="1"/>
          </c:dLbls>
          <c:cat>
            <c:numRef>
              <c:f>'2018年12月汇总表(报统计局)'!$AI$25:$AI$29</c:f>
              <c:numCache>
                <c:formatCode>0_);[Red]\(0\)</c:formatCode>
                <c:ptCount val="5"/>
                <c:pt idx="0" c:formatCode="0_);[Red]\(0\)">
                  <c:v>2014</c:v>
                </c:pt>
                <c:pt idx="1" c:formatCode="0_);[Red]\(0\)">
                  <c:v>2015</c:v>
                </c:pt>
                <c:pt idx="2" c:formatCode="0_);[Red]\(0\)">
                  <c:v>2016</c:v>
                </c:pt>
                <c:pt idx="3" c:formatCode="0_);[Red]\(0\)">
                  <c:v>2017</c:v>
                </c:pt>
                <c:pt idx="4" c:formatCode="0_);[Red]\(0\)">
                  <c:v>2018</c:v>
                </c:pt>
              </c:numCache>
            </c:numRef>
          </c:cat>
          <c:val>
            <c:numRef>
              <c:f>'2018年12月汇总表(报统计局)'!$AK$25:$AK$29</c:f>
              <c:numCache>
                <c:formatCode>0_);[Red]\(0\)</c:formatCode>
                <c:ptCount val="5"/>
                <c:pt idx="0">
                  <c:v>1519660</c:v>
                </c:pt>
                <c:pt idx="1">
                  <c:v>1723638</c:v>
                </c:pt>
                <c:pt idx="2">
                  <c:v>1874296</c:v>
                </c:pt>
                <c:pt idx="3">
                  <c:v>2268840</c:v>
                </c:pt>
                <c:pt idx="4">
                  <c:v>2715329</c:v>
                </c:pt>
              </c:numCache>
            </c:numRef>
          </c:val>
        </c:ser>
        <c:dLbls>
          <c:showLegendKey val="0"/>
          <c:showVal val="0"/>
          <c:showCatName val="0"/>
          <c:showSerName val="0"/>
          <c:showPercent val="0"/>
          <c:showBubbleSize val="0"/>
        </c:dLbls>
        <c:gapWidth val="219"/>
        <c:overlap val="-27"/>
        <c:axId val="701806136"/>
        <c:axId val="451081624"/>
      </c:barChart>
      <c:catAx>
        <c:axId val="701806136"/>
        <c:scaling>
          <c:orientation val="minMax"/>
        </c:scaling>
        <c:delete val="0"/>
        <c:axPos val="b"/>
        <c:numFmt formatCode="0_);[Red]\(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51081624"/>
        <c:crosses val="autoZero"/>
        <c:auto val="1"/>
        <c:lblAlgn val="ctr"/>
        <c:lblOffset val="100"/>
        <c:noMultiLvlLbl val="0"/>
      </c:catAx>
      <c:valAx>
        <c:axId val="451081624"/>
        <c:scaling>
          <c:orientation val="minMax"/>
        </c:scaling>
        <c:delete val="0"/>
        <c:axPos val="l"/>
        <c:majorGridlines>
          <c:spPr>
            <a:ln w="9525" cap="flat" cmpd="sng" algn="ctr">
              <a:solidFill>
                <a:schemeClr val="tx1">
                  <a:lumMod val="15000"/>
                  <a:lumOff val="85000"/>
                </a:schemeClr>
              </a:solidFill>
              <a:round/>
            </a:ln>
            <a:effectLst/>
          </c:spPr>
        </c:majorGridlines>
        <c:numFmt formatCode="0_);[Red]\(0\)" sourceLinked="1"/>
        <c:majorTickMark val="none"/>
        <c:minorTickMark val="none"/>
        <c:tickLblPos val="nextTo"/>
        <c:spPr>
          <a:noFill/>
          <a:ln>
            <a:noFill/>
          </a:ln>
          <a:effectLst/>
        </c:spPr>
        <c:txPr>
          <a:bodyPr rot="-60000000" spcFirstLastPara="1"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crossAx val="7018061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200" b="0" i="0" u="none" strike="noStrike" kern="1200" spc="0" baseline="0">
                <a:solidFill>
                  <a:schemeClr val="tx1">
                    <a:lumMod val="65000"/>
                    <a:lumOff val="35000"/>
                  </a:schemeClr>
                </a:solidFill>
                <a:latin typeface="+mn-lt"/>
                <a:ea typeface="+mn-ea"/>
                <a:cs typeface="+mn-cs"/>
              </a:defRPr>
            </a:pPr>
            <a:r>
              <a:rPr lang="zh-CN" altLang="en-US" sz="1200" baseline="0"/>
              <a:t>图</a:t>
            </a:r>
            <a:r>
              <a:rPr lang="en-US" altLang="zh-CN" sz="1200" baseline="0"/>
              <a:t>7   </a:t>
            </a:r>
            <a:r>
              <a:rPr lang="zh-CN" altLang="en-US" sz="1200" baseline="0"/>
              <a:t>按收入来源分的全区常住居民人均可支配收入及占比</a:t>
            </a:r>
            <a:endParaRPr lang="zh-CN" altLang="en-US" sz="1200" baseline="0"/>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lang="zh-CN" sz="12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Sheet1!$A$8:$A$11</c:f>
              <c:strCache>
                <c:ptCount val="4"/>
                <c:pt idx="0">
                  <c:v>人均工资性收入14039元占比52.1%</c:v>
                </c:pt>
                <c:pt idx="1">
                  <c:v>人均经营净收入4770元占比17.7%</c:v>
                </c:pt>
                <c:pt idx="2">
                  <c:v>人均财产净收入1444元占比5.4%</c:v>
                </c:pt>
                <c:pt idx="3">
                  <c:v>人均转移净收入6673元占比24.8%</c:v>
                </c:pt>
              </c:strCache>
            </c:strRef>
          </c:cat>
          <c:val>
            <c:numRef>
              <c:f>Sheet1!$B$8:$B$11</c:f>
              <c:numCache>
                <c:formatCode>0.0%</c:formatCode>
                <c:ptCount val="4"/>
                <c:pt idx="0">
                  <c:v>0.521</c:v>
                </c:pt>
                <c:pt idx="1">
                  <c:v>0.177</c:v>
                </c:pt>
                <c:pt idx="2">
                  <c:v>0.054</c:v>
                </c:pt>
                <c:pt idx="3">
                  <c:v>0.248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图</a:t>
            </a:r>
            <a:r>
              <a:rPr lang="en-US" altLang="zh-CN"/>
              <a:t>8</a:t>
            </a:r>
            <a:r>
              <a:rPr lang="en-US" altLang="zh-CN" baseline="0"/>
              <a:t>   2014-2018</a:t>
            </a:r>
            <a:r>
              <a:rPr lang="zh-CN" altLang="en-US" baseline="0"/>
              <a:t>年中小学 教育招生人数</a:t>
            </a:r>
            <a:endParaRPr lang="zh-CN" altLang="en-US"/>
          </a:p>
        </c:rich>
      </c:tx>
      <c:layout/>
      <c:overlay val="0"/>
      <c:spPr>
        <a:noFill/>
        <a:ln>
          <a:noFill/>
        </a:ln>
        <a:effectLst/>
      </c:spPr>
    </c:title>
    <c:autoTitleDeleted val="0"/>
    <c:plotArea>
      <c:layout/>
      <c:barChart>
        <c:barDir val="col"/>
        <c:grouping val="clustered"/>
        <c:varyColors val="0"/>
        <c:ser>
          <c:idx val="0"/>
          <c:order val="0"/>
          <c:tx>
            <c:strRef>
              <c:f>'2017'!$J$32</c:f>
              <c:strCache>
                <c:ptCount val="1"/>
                <c:pt idx="0">
                  <c:v>小学招生人数（人）</c:v>
                </c:pt>
              </c:strCache>
            </c:strRef>
          </c:tx>
          <c:spPr>
            <a:solidFill>
              <a:schemeClr val="accent1"/>
            </a:solidFill>
            <a:ln>
              <a:noFill/>
            </a:ln>
            <a:effectLst/>
          </c:spPr>
          <c:invertIfNegative val="0"/>
          <c:dLbls>
            <c:delete val="1"/>
          </c:dLbls>
          <c:cat>
            <c:numRef>
              <c:f>'2017'!$I$33:$I$37</c:f>
              <c:numCache>
                <c:formatCode>General</c:formatCode>
                <c:ptCount val="5"/>
                <c:pt idx="0">
                  <c:v>2014</c:v>
                </c:pt>
                <c:pt idx="1">
                  <c:v>2015</c:v>
                </c:pt>
                <c:pt idx="2">
                  <c:v>2016</c:v>
                </c:pt>
                <c:pt idx="3">
                  <c:v>2017</c:v>
                </c:pt>
                <c:pt idx="4">
                  <c:v>2018</c:v>
                </c:pt>
              </c:numCache>
            </c:numRef>
          </c:cat>
          <c:val>
            <c:numRef>
              <c:f>'2017'!$J$33:$J$37</c:f>
              <c:numCache>
                <c:formatCode>General</c:formatCode>
                <c:ptCount val="5"/>
                <c:pt idx="0">
                  <c:v>8752</c:v>
                </c:pt>
                <c:pt idx="1">
                  <c:v>8084</c:v>
                </c:pt>
                <c:pt idx="2">
                  <c:v>7531</c:v>
                </c:pt>
                <c:pt idx="3">
                  <c:v>6934</c:v>
                </c:pt>
                <c:pt idx="4">
                  <c:v>6862</c:v>
                </c:pt>
              </c:numCache>
            </c:numRef>
          </c:val>
        </c:ser>
        <c:ser>
          <c:idx val="1"/>
          <c:order val="1"/>
          <c:tx>
            <c:strRef>
              <c:f>'2017'!$K$32</c:f>
              <c:strCache>
                <c:ptCount val="1"/>
                <c:pt idx="0">
                  <c:v>普通中学招生人数（人）</c:v>
                </c:pt>
              </c:strCache>
            </c:strRef>
          </c:tx>
          <c:spPr>
            <a:solidFill>
              <a:schemeClr val="accent2"/>
            </a:solidFill>
            <a:ln>
              <a:noFill/>
            </a:ln>
            <a:effectLst/>
          </c:spPr>
          <c:invertIfNegative val="0"/>
          <c:dLbls>
            <c:delete val="1"/>
          </c:dLbls>
          <c:cat>
            <c:numRef>
              <c:f>'2017'!$I$33:$I$37</c:f>
              <c:numCache>
                <c:formatCode>General</c:formatCode>
                <c:ptCount val="5"/>
                <c:pt idx="0">
                  <c:v>2014</c:v>
                </c:pt>
                <c:pt idx="1">
                  <c:v>2015</c:v>
                </c:pt>
                <c:pt idx="2">
                  <c:v>2016</c:v>
                </c:pt>
                <c:pt idx="3">
                  <c:v>2017</c:v>
                </c:pt>
                <c:pt idx="4">
                  <c:v>2018</c:v>
                </c:pt>
              </c:numCache>
            </c:numRef>
          </c:cat>
          <c:val>
            <c:numRef>
              <c:f>'2017'!$K$33:$K$37</c:f>
              <c:numCache>
                <c:formatCode>General</c:formatCode>
                <c:ptCount val="5"/>
                <c:pt idx="0">
                  <c:v>12228</c:v>
                </c:pt>
                <c:pt idx="1">
                  <c:v>11615</c:v>
                </c:pt>
                <c:pt idx="2">
                  <c:v>12445</c:v>
                </c:pt>
                <c:pt idx="3">
                  <c:v>13492</c:v>
                </c:pt>
                <c:pt idx="4">
                  <c:v>13069</c:v>
                </c:pt>
              </c:numCache>
            </c:numRef>
          </c:val>
        </c:ser>
        <c:dLbls>
          <c:showLegendKey val="0"/>
          <c:showVal val="0"/>
          <c:showCatName val="0"/>
          <c:showSerName val="0"/>
          <c:showPercent val="0"/>
          <c:showBubbleSize val="0"/>
        </c:dLbls>
        <c:gapWidth val="219"/>
        <c:overlap val="-27"/>
        <c:axId val="451083192"/>
        <c:axId val="452197896"/>
      </c:barChart>
      <c:catAx>
        <c:axId val="451083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52197896"/>
        <c:crosses val="autoZero"/>
        <c:auto val="1"/>
        <c:lblAlgn val="ctr"/>
        <c:lblOffset val="100"/>
        <c:noMultiLvlLbl val="0"/>
      </c:catAx>
      <c:valAx>
        <c:axId val="452197896"/>
        <c:scaling>
          <c:orientation val="minMax"/>
        </c:scaling>
        <c:delete val="0"/>
        <c:axPos val="l"/>
        <c:majorGridlines>
          <c:spPr>
            <a:ln w="9525" cap="flat" cmpd="sng" algn="ctr">
              <a:solidFill>
                <a:schemeClr val="tx1">
                  <a:lumMod val="15000"/>
                  <a:lumOff val="85000"/>
                </a:schemeClr>
              </a:solidFill>
              <a:round/>
              <a:headEnd type="none"/>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510831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国家统计局</Company>
  <Pages>1</Pages>
  <Words>1316</Words>
  <Characters>7504</Characters>
  <Lines>62</Lines>
  <Paragraphs>17</Paragraphs>
  <TotalTime>4206</TotalTime>
  <ScaleCrop>false</ScaleCrop>
  <LinksUpToDate>false</LinksUpToDate>
  <CharactersWithSpaces>8803</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2019-01-21T07:15:00Z</dcterms:created>
  <dc:creator>msw</dc:creator>
  <cp:lastModifiedBy>Administrator</cp:lastModifiedBy>
  <cp:lastPrinted>2019-03-14T01:28:00Z</cp:lastPrinted>
  <dcterms:modified xsi:type="dcterms:W3CDTF">2026-06-22T08:31:51Z</dcterms:modified>
  <dc:title>2016年荣昌区国民经济和社会发展统计公报</dc:title>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