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重庆市荣昌区清升镇人民政府本级</w:t>
      </w:r>
      <w:r>
        <w:rPr>
          <w:rFonts w:ascii="方正小标宋_GBK" w:hAnsi="方正小标宋_GBK" w:eastAsia="方正小标宋_GBK" w:cs="方正小标宋_GBK"/>
          <w:sz w:val="36"/>
          <w:szCs w:val="36"/>
          <w:shd w:val="clear" w:color="auto" w:fill="FFFFFF"/>
        </w:rPr>
        <w:t>2023年度决算公开说明</w:t>
      </w:r>
    </w:p>
    <w:p>
      <w:pPr>
        <w:pStyle w:val="6"/>
        <w:shd w:val="clear" w:color="auto" w:fill="FFFFFF"/>
        <w:rPr>
          <w:rFonts w:hint="default" w:ascii="黑体" w:hAnsi="黑体" w:eastAsia="黑体" w:cs="黑体"/>
          <w:sz w:val="32"/>
          <w:szCs w:val="32"/>
        </w:rPr>
      </w:pPr>
      <w:r>
        <w:rPr>
          <w:rStyle w:val="10"/>
          <w:rFonts w:ascii="黑体" w:hAnsi="黑体" w:eastAsia="黑体" w:cs="黑体"/>
          <w:sz w:val="32"/>
          <w:szCs w:val="32"/>
          <w:shd w:val="clear" w:color="auto" w:fill="FFFFFF"/>
        </w:rPr>
        <w:t>一、单位基本情况</w:t>
      </w:r>
    </w:p>
    <w:p>
      <w:pPr>
        <w:pStyle w:val="11"/>
        <w:autoSpaceDE w:val="0"/>
        <w:ind w:firstLine="643"/>
        <w:rPr>
          <w:rFonts w:hint="default"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（一）职能职责</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（1）制定和组织实施经济、科技和社会发展计划，组织指导各行生产，协调本镇与外地区经济交流与合作，抓好招商引资，不断培育市场体系，组织经济运行，促进经济发展。</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（2）制定并组织村镇建设规划，部署重点工程建设、地方道路及公共设施，水利设施的管理，负责土地、林木、水等自然资源和生态资源的保护，做好护林防火工作。</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（3）负责本区域类民政、计划生育、文化教育、卫生体育等社会公益事业的综合性工作，维护一切经济单位和个人的正当经济权益，调解和处理民事纠纷，打击刑事犯罪，维护社会稳定。</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（4）按计划组织本级财政收入和地方税的征收，完成国家财政计划，不断培植税源，管好财政资金，增强财政实力。</w:t>
      </w:r>
    </w:p>
    <w:p>
      <w:pPr>
        <w:pStyle w:val="11"/>
        <w:autoSpaceDE w:val="0"/>
        <w:ind w:firstLine="643"/>
        <w:rPr>
          <w:rFonts w:hint="default"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（二）机构设置</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2023</w:t>
      </w:r>
      <w:r>
        <w:rPr>
          <w:rFonts w:hint="default" w:ascii="方正仿宋_GBK" w:hAnsi="方正仿宋_GBK" w:eastAsia="方正仿宋_GBK" w:cs="方正仿宋_GBK"/>
          <w:sz w:val="32"/>
          <w:szCs w:val="32"/>
          <w:shd w:val="clear" w:color="auto" w:fill="FFFFFF"/>
          <w:lang w:val="en-US" w:eastAsia="zh-CN"/>
        </w:rPr>
        <w:t>年末下设机构分别为：党政办公室、党群工作办公室、经济发展办公室（挂统计办公室、农村经营管理办公室牌子）、民政和社会事务办公室（挂卫生健康办公室牌子）、平安建设办公室、规划建设管理环保办公室、财政办公室、应急管理办公室。人大</w:t>
      </w:r>
      <w:r>
        <w:rPr>
          <w:rFonts w:hint="eastAsia" w:ascii="方正仿宋_GBK" w:hAnsi="方正仿宋_GBK" w:eastAsia="方正仿宋_GBK" w:cs="方正仿宋_GBK"/>
          <w:sz w:val="32"/>
          <w:szCs w:val="32"/>
          <w:shd w:val="clear" w:color="auto" w:fill="FFFFFF"/>
          <w:lang w:val="en-US" w:eastAsia="zh-CN"/>
        </w:rPr>
        <w:t>常委会</w:t>
      </w:r>
      <w:bookmarkStart w:id="0" w:name="_GoBack"/>
      <w:bookmarkEnd w:id="0"/>
      <w:r>
        <w:rPr>
          <w:rFonts w:hint="default" w:ascii="方正仿宋_GBK" w:hAnsi="方正仿宋_GBK" w:eastAsia="方正仿宋_GBK" w:cs="方正仿宋_GBK"/>
          <w:sz w:val="32"/>
          <w:szCs w:val="32"/>
          <w:shd w:val="clear" w:color="auto" w:fill="FFFFFF"/>
          <w:lang w:val="en-US" w:eastAsia="zh-CN"/>
        </w:rPr>
        <w:t>办公室单独设置，组建综合行政执法办公室。</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（1）</w:t>
      </w:r>
      <w:r>
        <w:rPr>
          <w:rFonts w:hint="default" w:ascii="方正仿宋_GBK" w:hAnsi="方正仿宋_GBK" w:eastAsia="方正仿宋_GBK" w:cs="方正仿宋_GBK"/>
          <w:sz w:val="32"/>
          <w:szCs w:val="32"/>
          <w:shd w:val="clear" w:color="auto" w:fill="FFFFFF"/>
          <w:lang w:val="en-US" w:eastAsia="zh-CN"/>
        </w:rPr>
        <w:t>党政办公室：主要负责纪检、宣传、精神文明、统战、法制、武装、编制、人事、民宗侨台以及综合协调、文秘、目标管理等职责，负责承办政协工作方面的具体事务。</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（2）</w:t>
      </w:r>
      <w:r>
        <w:rPr>
          <w:rFonts w:hint="default" w:ascii="方正仿宋_GBK" w:hAnsi="方正仿宋_GBK" w:eastAsia="方正仿宋_GBK" w:cs="方正仿宋_GBK"/>
          <w:sz w:val="32"/>
          <w:szCs w:val="32"/>
          <w:shd w:val="clear" w:color="auto" w:fill="FFFFFF"/>
          <w:lang w:val="en-US" w:eastAsia="zh-CN"/>
        </w:rPr>
        <w:t>党群工作办公室：主要负责基层党建、群团等工作。</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（3）</w:t>
      </w:r>
      <w:r>
        <w:rPr>
          <w:rFonts w:hint="default" w:ascii="方正仿宋_GBK" w:hAnsi="方正仿宋_GBK" w:eastAsia="方正仿宋_GBK" w:cs="方正仿宋_GBK"/>
          <w:sz w:val="32"/>
          <w:szCs w:val="32"/>
          <w:shd w:val="clear" w:color="auto" w:fill="FFFFFF"/>
          <w:lang w:val="en-US" w:eastAsia="zh-CN"/>
        </w:rPr>
        <w:t>经济发展办公室（挂统计办公室、农村经营管理办公室牌子）：主要负责经济发展规划、农村经营管理、经济社会统计、扶贫开发、产业发展及产业扶贫等职责。</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val="en-US" w:eastAsia="zh-CN"/>
        </w:rPr>
        <w:t>民政和社会事务办公室（挂卫生健康办公室牌子）：主要负责民政、教育、卫生、计生、老龄事业发展、文化、体育、社会救助、残疾人事业、劳动就业、社会保障、物业管理等职责，承担其他民政和社会事务管理职责。</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（5）</w:t>
      </w:r>
      <w:r>
        <w:rPr>
          <w:rFonts w:hint="default" w:ascii="方正仿宋_GBK" w:hAnsi="方正仿宋_GBK" w:eastAsia="方正仿宋_GBK" w:cs="方正仿宋_GBK"/>
          <w:sz w:val="32"/>
          <w:szCs w:val="32"/>
          <w:shd w:val="clear" w:color="auto" w:fill="FFFFFF"/>
          <w:lang w:val="en-US" w:eastAsia="zh-CN"/>
        </w:rPr>
        <w:t>平安建设办公室：主要负责信访、人民调解、社会治安综合治理、维护社会稳定、防范和处理等职责。</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（6）</w:t>
      </w:r>
      <w:r>
        <w:rPr>
          <w:rFonts w:hint="default" w:ascii="方正仿宋_GBK" w:hAnsi="方正仿宋_GBK" w:eastAsia="方正仿宋_GBK" w:cs="方正仿宋_GBK"/>
          <w:sz w:val="32"/>
          <w:szCs w:val="32"/>
          <w:shd w:val="clear" w:color="auto" w:fill="FFFFFF"/>
          <w:lang w:val="en-US" w:eastAsia="zh-CN"/>
        </w:rPr>
        <w:t>规划建设管理环保办公室：主要负责村镇规划、村镇建设、市政公用、市容环卫、环境保护、农村公路建设养护管理等职责。</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（7）</w:t>
      </w:r>
      <w:r>
        <w:rPr>
          <w:rFonts w:hint="default" w:ascii="方正仿宋_GBK" w:hAnsi="方正仿宋_GBK" w:eastAsia="方正仿宋_GBK" w:cs="方正仿宋_GBK"/>
          <w:sz w:val="32"/>
          <w:szCs w:val="32"/>
          <w:shd w:val="clear" w:color="auto" w:fill="FFFFFF"/>
          <w:lang w:val="en-US" w:eastAsia="zh-CN"/>
        </w:rPr>
        <w:t>财政办公室：主要负责财政收支、预决算、总会计、惠农资金兑付、财政资金监督检查、绩效评价、村级财务管理等职责。</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（8）</w:t>
      </w:r>
      <w:r>
        <w:rPr>
          <w:rFonts w:hint="default" w:ascii="方正仿宋_GBK" w:hAnsi="方正仿宋_GBK" w:eastAsia="方正仿宋_GBK" w:cs="方正仿宋_GBK"/>
          <w:sz w:val="32"/>
          <w:szCs w:val="32"/>
          <w:shd w:val="clear" w:color="auto" w:fill="FFFFFF"/>
          <w:lang w:val="en-US" w:eastAsia="zh-CN"/>
        </w:rPr>
        <w:t>应急管理办公室：主要负责安全生产综合监管、应急管理等工作，协助开展煤矿、非煤矿山、危险化学品、烟花爆竹等安全生产日常监管工作。</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（9）</w:t>
      </w:r>
      <w:r>
        <w:rPr>
          <w:rFonts w:hint="default" w:ascii="方正仿宋_GBK" w:hAnsi="方正仿宋_GBK" w:eastAsia="方正仿宋_GBK" w:cs="方正仿宋_GBK"/>
          <w:sz w:val="32"/>
          <w:szCs w:val="32"/>
          <w:shd w:val="clear" w:color="auto" w:fill="FFFFFF"/>
          <w:lang w:val="en-US" w:eastAsia="zh-CN"/>
        </w:rPr>
        <w:t>人大</w:t>
      </w:r>
      <w:r>
        <w:rPr>
          <w:rFonts w:hint="eastAsia" w:ascii="方正仿宋_GBK" w:hAnsi="方正仿宋_GBK" w:eastAsia="方正仿宋_GBK" w:cs="方正仿宋_GBK"/>
          <w:sz w:val="32"/>
          <w:szCs w:val="32"/>
          <w:shd w:val="clear" w:color="auto" w:fill="FFFFFF"/>
          <w:lang w:val="en-US" w:eastAsia="zh-CN"/>
        </w:rPr>
        <w:t>常委会</w:t>
      </w:r>
      <w:r>
        <w:rPr>
          <w:rFonts w:hint="default" w:ascii="方正仿宋_GBK" w:hAnsi="方正仿宋_GBK" w:eastAsia="方正仿宋_GBK" w:cs="方正仿宋_GBK"/>
          <w:sz w:val="32"/>
          <w:szCs w:val="32"/>
          <w:shd w:val="clear" w:color="auto" w:fill="FFFFFF"/>
          <w:lang w:val="en-US" w:eastAsia="zh-CN"/>
        </w:rPr>
        <w:t>办公室：主要负责人大工作方面的具体事务。</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（10）</w:t>
      </w:r>
      <w:r>
        <w:rPr>
          <w:rFonts w:hint="default" w:ascii="方正仿宋_GBK" w:hAnsi="方正仿宋_GBK" w:eastAsia="方正仿宋_GBK" w:cs="方正仿宋_GBK"/>
          <w:sz w:val="32"/>
          <w:szCs w:val="32"/>
          <w:shd w:val="clear" w:color="auto" w:fill="FFFFFF"/>
          <w:lang w:val="en-US" w:eastAsia="zh-CN"/>
        </w:rPr>
        <w:t>综合行政执法办公室：集中行使依法授权或委托的农林水利、规划建设、环境保护、卫生计生、文化旅游、民政管理等领域的行政执法权；协调、配合区级有关部门及派驻机构开展其他领域的联合执法。</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从预算单位构成看，纳入本部门2023年度决算编制的二级预算单位主要包括重庆市荣昌区清升镇人民政府本级。</w:t>
      </w:r>
    </w:p>
    <w:p>
      <w:pPr>
        <w:pStyle w:val="6"/>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二、单位决算情况说明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2023年度收入总计3601.53万元，支出总计3601.53万元。收支较上年决算数减少515.73万元，下降12.53%，主要原因是</w:t>
      </w:r>
      <w:r>
        <w:rPr>
          <w:rFonts w:hint="eastAsia" w:ascii="方正仿宋_GBK" w:hAnsi="方正仿宋_GBK" w:eastAsia="方正仿宋_GBK" w:cs="方正仿宋_GBK"/>
          <w:sz w:val="32"/>
          <w:szCs w:val="32"/>
          <w:shd w:val="clear" w:color="auto" w:fill="FFFFFF"/>
          <w:lang w:val="en-US" w:eastAsia="zh-CN"/>
        </w:rPr>
        <w:t>财政拨付本单位的专项资金中，一般公共预算财政拨款收入减少598.87万元，政府性基金预算财政拨款收入增加186.16万元，其他收入减少8.13万元，年初结转结余减少94.88万元。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2023年度收入合计3596.53万元，较上年决算数减少420.85万元，下降10.48%，主要原因是</w:t>
      </w:r>
      <w:r>
        <w:rPr>
          <w:rFonts w:hint="eastAsia" w:ascii="方正仿宋_GBK" w:hAnsi="方正仿宋_GBK" w:eastAsia="方正仿宋_GBK" w:cs="方正仿宋_GBK"/>
          <w:sz w:val="32"/>
          <w:szCs w:val="32"/>
          <w:shd w:val="clear" w:color="auto" w:fill="FFFFFF"/>
          <w:lang w:val="en-US" w:eastAsia="zh-CN"/>
        </w:rPr>
        <w:t>财政拨付本单位的专项资金中，一般公共预算财政拨款收入减少598.87万元，政府性基金预算财政拨款收入增加186.16万元，其他收入减少8.13万元。</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3596.53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5.00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2023年度支出合计</w:t>
      </w:r>
      <w:r>
        <w:rPr>
          <w:rFonts w:ascii="方正仿宋_GBK" w:hAnsi="方正仿宋_GBK" w:eastAsia="方正仿宋_GBK" w:cs="方正仿宋_GBK"/>
          <w:sz w:val="32"/>
          <w:szCs w:val="32"/>
        </w:rPr>
        <w:t>3601.53</w:t>
      </w:r>
      <w:r>
        <w:rPr>
          <w:rFonts w:ascii="方正仿宋_GBK" w:hAnsi="方正仿宋_GBK" w:eastAsia="方正仿宋_GBK" w:cs="方正仿宋_GBK"/>
          <w:sz w:val="32"/>
          <w:szCs w:val="32"/>
          <w:shd w:val="clear" w:color="auto" w:fill="FFFFFF"/>
        </w:rPr>
        <w:t>万元，较上年决算数减少515.73万元，下降12.53%，主要原因是</w:t>
      </w:r>
      <w:r>
        <w:rPr>
          <w:rFonts w:hint="eastAsia" w:ascii="方正仿宋_GBK" w:hAnsi="方正仿宋_GBK" w:eastAsia="方正仿宋_GBK" w:cs="方正仿宋_GBK"/>
          <w:sz w:val="32"/>
          <w:szCs w:val="32"/>
          <w:shd w:val="clear" w:color="auto" w:fill="FFFFFF"/>
          <w:lang w:val="en-US" w:eastAsia="zh-CN"/>
        </w:rPr>
        <w:t>财政拨付本单位的专项资金中，一般公共预算财政拨款收入减少598.87万元，政府性基金预算财政拨款收入增加186.16万元，其他收入减少8.13万元，年初结转结余减少94.88万元。</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1023.58</w:t>
      </w:r>
      <w:r>
        <w:rPr>
          <w:rFonts w:ascii="方正仿宋_GBK" w:hAnsi="方正仿宋_GBK" w:eastAsia="方正仿宋_GBK" w:cs="方正仿宋_GBK"/>
          <w:sz w:val="32"/>
          <w:szCs w:val="32"/>
          <w:shd w:val="clear" w:color="auto" w:fill="FFFFFF"/>
        </w:rPr>
        <w:t>万元，占28.42%；项目支出</w:t>
      </w:r>
      <w:r>
        <w:rPr>
          <w:rFonts w:ascii="方正仿宋_GBK" w:hAnsi="方正仿宋_GBK" w:eastAsia="方正仿宋_GBK" w:cs="方正仿宋_GBK"/>
          <w:sz w:val="32"/>
          <w:szCs w:val="32"/>
        </w:rPr>
        <w:t>2577.95</w:t>
      </w:r>
      <w:r>
        <w:rPr>
          <w:rFonts w:ascii="方正仿宋_GBK" w:hAnsi="方正仿宋_GBK" w:eastAsia="方正仿宋_GBK" w:cs="方正仿宋_GBK"/>
          <w:sz w:val="32"/>
          <w:szCs w:val="32"/>
          <w:shd w:val="clear" w:color="auto" w:fill="FFFFFF"/>
        </w:rPr>
        <w:t>万元，占71.58%；经营支出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11"/>
        <w:autoSpaceDE w:val="0"/>
        <w:ind w:firstLine="643"/>
        <w:rPr>
          <w:rFonts w:hint="eastAsia" w:ascii="方正仿宋_GBK" w:hAnsi="方正仿宋_GBK" w:eastAsia="方正仿宋_GBK" w:cs="方正仿宋_GBK"/>
          <w:sz w:val="32"/>
          <w:szCs w:val="32"/>
          <w:shd w:val="clear" w:color="auto" w:fill="FFFFFF"/>
          <w:lang w:val="en-US" w:eastAsia="zh-CN"/>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2023年度年末结转和结余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万元，较上年决算数无增减，主要原因是</w:t>
      </w:r>
      <w:r>
        <w:rPr>
          <w:rFonts w:hint="eastAsia" w:ascii="方正仿宋_GBK" w:hAnsi="方正仿宋_GBK" w:eastAsia="方正仿宋_GBK" w:cs="方正仿宋_GBK"/>
          <w:sz w:val="32"/>
          <w:szCs w:val="32"/>
          <w:shd w:val="clear" w:color="auto" w:fill="FFFFFF"/>
          <w:lang w:val="en-US" w:eastAsia="zh-CN"/>
        </w:rPr>
        <w:t>年末时财政收回了上年存量资金。</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2023年度财政拨款收、支总计3601.53万元。与2022年相比，财政拨款收、支总计各减少507.60万元，下降12.35%。主要原因是</w:t>
      </w:r>
      <w:r>
        <w:rPr>
          <w:rFonts w:hint="eastAsia" w:ascii="方正仿宋_GBK" w:hAnsi="方正仿宋_GBK" w:eastAsia="方正仿宋_GBK" w:cs="方正仿宋_GBK"/>
          <w:sz w:val="32"/>
          <w:szCs w:val="32"/>
          <w:shd w:val="clear" w:color="auto" w:fill="FFFFFF"/>
          <w:lang w:val="en-US" w:eastAsia="zh-CN"/>
        </w:rPr>
        <w:t>财政拨付本单位的专项资金中，一般公共预算财政拨款收入减少598.87万元，政府性基金预算财政拨款收入增加186.16万元，年初结转结余减少94.88万元。</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6"/>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shd w:val="clear" w:color="auto" w:fill="FFFFFF"/>
          <w:lang w:val="en-US" w:eastAsia="zh-CN"/>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2023年度一般公共预算财政拨款收入</w:t>
      </w:r>
      <w:r>
        <w:rPr>
          <w:rFonts w:ascii="方正仿宋_GBK" w:hAnsi="方正仿宋_GBK" w:eastAsia="方正仿宋_GBK" w:cs="方正仿宋_GBK"/>
          <w:sz w:val="32"/>
          <w:szCs w:val="32"/>
        </w:rPr>
        <w:t>3396.93</w:t>
      </w:r>
      <w:r>
        <w:rPr>
          <w:rFonts w:ascii="方正仿宋_GBK" w:hAnsi="方正仿宋_GBK" w:eastAsia="方正仿宋_GBK" w:cs="方正仿宋_GBK"/>
          <w:sz w:val="32"/>
          <w:szCs w:val="32"/>
          <w:shd w:val="clear" w:color="auto" w:fill="FFFFFF"/>
        </w:rPr>
        <w:t>万元，较上年决算数减少598.87万元，下降14.99%。主要原因是</w:t>
      </w:r>
      <w:r>
        <w:rPr>
          <w:rFonts w:hint="eastAsia" w:ascii="方正仿宋_GBK" w:hAnsi="方正仿宋_GBK" w:eastAsia="方正仿宋_GBK" w:cs="方正仿宋_GBK"/>
          <w:sz w:val="32"/>
          <w:szCs w:val="32"/>
          <w:shd w:val="clear" w:color="auto" w:fill="FFFFFF"/>
          <w:lang w:eastAsia="zh-CN"/>
        </w:rPr>
        <w:t>一般公共服务支出增加</w:t>
      </w:r>
      <w:r>
        <w:rPr>
          <w:rFonts w:hint="eastAsia" w:ascii="方正仿宋_GBK" w:hAnsi="方正仿宋_GBK" w:eastAsia="方正仿宋_GBK" w:cs="方正仿宋_GBK"/>
          <w:sz w:val="32"/>
          <w:szCs w:val="32"/>
          <w:shd w:val="clear" w:color="auto" w:fill="FFFFFF"/>
          <w:lang w:val="en-US" w:eastAsia="zh-CN"/>
        </w:rPr>
        <w:t>133.28万元，国防支出增加115.4万元，教育支出减少3.88万元，文化旅游体育与传媒支出减少4.16万元，社会保障和就业支出增加53.6万元，卫生健康支出增加7.03万元，节能环保支出减少37.8万元，城乡社区支出增加30.63万元，农林水支出减少876.18万元，交通运输支出减少258.3万元，资源勘探工业信息等支出增加1.12万元，自然资源海洋气象等支出增加13.03万元，住房保障支出增加234.42万元，灾害防治及应急管理支出减少7.06万元。</w:t>
      </w:r>
      <w:r>
        <w:rPr>
          <w:rFonts w:ascii="方正仿宋_GBK" w:hAnsi="方正仿宋_GBK" w:eastAsia="方正仿宋_GBK" w:cs="方正仿宋_GBK"/>
          <w:sz w:val="32"/>
          <w:szCs w:val="32"/>
          <w:shd w:val="clear" w:color="auto" w:fill="FFFFFF"/>
        </w:rPr>
        <w:t>较年初预算数增加1402.23万元，增长70.30%。主要原因是</w:t>
      </w:r>
      <w:r>
        <w:rPr>
          <w:rFonts w:hint="eastAsia" w:ascii="方正仿宋_GBK" w:hAnsi="方正仿宋_GBK" w:eastAsia="方正仿宋_GBK" w:cs="方正仿宋_GBK"/>
          <w:sz w:val="32"/>
          <w:szCs w:val="32"/>
          <w:shd w:val="clear" w:color="auto" w:fill="FFFFFF"/>
          <w:lang w:val="en-US" w:eastAsia="zh-CN"/>
        </w:rPr>
        <w:t>年中上级拨付了项目资金，未在年初预算范围内。</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5.00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2023年度一般公共预算财政拨款支出</w:t>
      </w:r>
      <w:r>
        <w:rPr>
          <w:rFonts w:ascii="方正仿宋_GBK" w:hAnsi="方正仿宋_GBK" w:eastAsia="方正仿宋_GBK" w:cs="方正仿宋_GBK"/>
          <w:sz w:val="32"/>
          <w:szCs w:val="32"/>
        </w:rPr>
        <w:t>3401.93</w:t>
      </w:r>
      <w:r>
        <w:rPr>
          <w:rFonts w:ascii="方正仿宋_GBK" w:hAnsi="方正仿宋_GBK" w:eastAsia="方正仿宋_GBK" w:cs="方正仿宋_GBK"/>
          <w:sz w:val="32"/>
          <w:szCs w:val="32"/>
          <w:shd w:val="clear" w:color="auto" w:fill="FFFFFF"/>
        </w:rPr>
        <w:t>万元，较上年决算数减少693.76万元，下降16.94%。主要原因是2023年度一般公共预算财政拨款收入</w:t>
      </w:r>
      <w:r>
        <w:rPr>
          <w:rFonts w:ascii="方正仿宋_GBK" w:hAnsi="方正仿宋_GBK" w:eastAsia="方正仿宋_GBK" w:cs="方正仿宋_GBK"/>
          <w:sz w:val="32"/>
          <w:szCs w:val="32"/>
        </w:rPr>
        <w:t>3396.93</w:t>
      </w:r>
      <w:r>
        <w:rPr>
          <w:rFonts w:ascii="方正仿宋_GBK" w:hAnsi="方正仿宋_GBK" w:eastAsia="方正仿宋_GBK" w:cs="方正仿宋_GBK"/>
          <w:sz w:val="32"/>
          <w:szCs w:val="32"/>
          <w:shd w:val="clear" w:color="auto" w:fill="FFFFFF"/>
        </w:rPr>
        <w:t>万元，较上年决算数减少598.87万元，下降14.99%。主要原因是</w:t>
      </w:r>
      <w:r>
        <w:rPr>
          <w:rFonts w:hint="eastAsia" w:ascii="方正仿宋_GBK" w:hAnsi="方正仿宋_GBK" w:eastAsia="方正仿宋_GBK" w:cs="方正仿宋_GBK"/>
          <w:sz w:val="32"/>
          <w:szCs w:val="32"/>
          <w:shd w:val="clear" w:color="auto" w:fill="FFFFFF"/>
          <w:lang w:eastAsia="zh-CN"/>
        </w:rPr>
        <w:t>一般公共服务支出增加</w:t>
      </w:r>
      <w:r>
        <w:rPr>
          <w:rFonts w:hint="eastAsia" w:ascii="方正仿宋_GBK" w:hAnsi="方正仿宋_GBK" w:eastAsia="方正仿宋_GBK" w:cs="方正仿宋_GBK"/>
          <w:sz w:val="32"/>
          <w:szCs w:val="32"/>
          <w:shd w:val="clear" w:color="auto" w:fill="FFFFFF"/>
          <w:lang w:val="en-US" w:eastAsia="zh-CN"/>
        </w:rPr>
        <w:t>133.28万元，国防支出增加115.4万元，公共安全支出减少0.3万元，教育支出减少3.88万元，文化旅游体育与传媒支出减少4.16万元，社会保障和就业支出增加53.6万元，卫生健康支出增加7.03万元，节能环保支出减少87.35万元，城乡社区支出增加30.63万元，农林水支出减少921.21万元，交通运输支出减少258.3万元，资源勘探工业信息等支出增加1.12万元，自然资源海洋气象等支出增加13.03万元，住房保障支出增加234.42万元，灾害防治及应急管理支出减少7.06万元。</w:t>
      </w:r>
      <w:r>
        <w:rPr>
          <w:rFonts w:ascii="方正仿宋_GBK" w:hAnsi="方正仿宋_GBK" w:eastAsia="方正仿宋_GBK" w:cs="方正仿宋_GBK"/>
          <w:sz w:val="32"/>
          <w:szCs w:val="32"/>
          <w:shd w:val="clear" w:color="auto" w:fill="FFFFFF"/>
        </w:rPr>
        <w:t>较年初预算数增加1407.23万元，增长70.55%。主要原因是</w:t>
      </w:r>
      <w:r>
        <w:rPr>
          <w:rFonts w:hint="eastAsia" w:ascii="方正仿宋_GBK" w:hAnsi="方正仿宋_GBK" w:eastAsia="方正仿宋_GBK" w:cs="方正仿宋_GBK"/>
          <w:sz w:val="32"/>
          <w:szCs w:val="32"/>
          <w:shd w:val="clear" w:color="auto" w:fill="FFFFFF"/>
          <w:lang w:val="en-US" w:eastAsia="zh-CN"/>
        </w:rPr>
        <w:t>年中上级拨付了项目资金，未在年初预算范围内。</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5.00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2023年度年末一般公共预算财政拨款结转和结余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万元，较上年决算数无增减，主要原因是</w:t>
      </w:r>
      <w:r>
        <w:rPr>
          <w:rFonts w:hint="eastAsia" w:ascii="方正仿宋_GBK" w:hAnsi="方正仿宋_GBK" w:eastAsia="方正仿宋_GBK" w:cs="方正仿宋_GBK"/>
          <w:sz w:val="32"/>
          <w:szCs w:val="32"/>
          <w:shd w:val="clear" w:color="auto" w:fill="FFFFFF"/>
          <w:lang w:val="en-US" w:eastAsia="zh-CN"/>
        </w:rPr>
        <w:t>年末时财政收回了上年存量资金。</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10"/>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本单位2023年度一般公共预算财政拨款支出主要用于以下几个方面：</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val="en-US" w:eastAsia="zh-CN"/>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1163.90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34.21</w:t>
      </w:r>
      <w:r>
        <w:rPr>
          <w:rFonts w:ascii="方正仿宋_GBK" w:hAnsi="方正仿宋_GBK" w:eastAsia="方正仿宋_GBK" w:cs="方正仿宋_GBK"/>
          <w:sz w:val="32"/>
          <w:szCs w:val="32"/>
          <w:shd w:val="clear" w:color="auto" w:fill="FFFFFF"/>
        </w:rPr>
        <w:t>%，较年初预算数减少235.23万元，下降16.81%，主要原因</w:t>
      </w:r>
      <w:r>
        <w:rPr>
          <w:rFonts w:hint="eastAsia" w:ascii="方正仿宋_GBK" w:hAnsi="方正仿宋_GBK" w:eastAsia="方正仿宋_GBK" w:cs="方正仿宋_GBK"/>
          <w:sz w:val="32"/>
          <w:szCs w:val="32"/>
          <w:shd w:val="clear" w:color="auto" w:fill="FFFFFF"/>
          <w:lang w:eastAsia="zh-CN"/>
        </w:rPr>
        <w:t>一</w:t>
      </w:r>
      <w:r>
        <w:rPr>
          <w:rFonts w:ascii="方正仿宋_GBK" w:hAnsi="方正仿宋_GBK" w:eastAsia="方正仿宋_GBK" w:cs="方正仿宋_GBK"/>
          <w:sz w:val="32"/>
          <w:szCs w:val="32"/>
          <w:shd w:val="clear" w:color="auto" w:fill="FFFFFF"/>
        </w:rPr>
        <w:t>是</w:t>
      </w:r>
      <w:r>
        <w:rPr>
          <w:rFonts w:hint="eastAsia" w:ascii="方正仿宋_GBK" w:hAnsi="方正仿宋_GBK" w:eastAsia="方正仿宋_GBK" w:cs="方正仿宋_GBK"/>
          <w:sz w:val="32"/>
          <w:szCs w:val="32"/>
          <w:shd w:val="clear" w:color="auto" w:fill="FFFFFF"/>
          <w:lang w:eastAsia="zh-CN"/>
        </w:rPr>
        <w:t>本单位</w:t>
      </w:r>
      <w:r>
        <w:rPr>
          <w:rFonts w:hint="eastAsia" w:ascii="方正仿宋_GBK" w:hAnsi="方正仿宋_GBK" w:eastAsia="方正仿宋_GBK" w:cs="方正仿宋_GBK"/>
          <w:sz w:val="32"/>
          <w:szCs w:val="32"/>
          <w:shd w:val="clear" w:color="auto" w:fill="FFFFFF"/>
          <w:lang w:val="en-US" w:eastAsia="zh-CN"/>
        </w:rPr>
        <w:t>1名人员调动，1名退休，人员经费减少；二是部分项目如选调生到村补助、市场主体经济专项扶持经费、农村基层党建“整镇推进、整区提升”先锋创建行动等项目未实施完，项目款未支付。</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）国防支出</w:t>
      </w:r>
      <w:r>
        <w:rPr>
          <w:rFonts w:ascii="方正仿宋_GBK" w:hAnsi="方正仿宋_GBK" w:eastAsia="方正仿宋_GBK" w:cs="方正仿宋_GBK"/>
          <w:sz w:val="32"/>
          <w:szCs w:val="32"/>
        </w:rPr>
        <w:t>115.40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3.39</w:t>
      </w:r>
      <w:r>
        <w:rPr>
          <w:rFonts w:ascii="方正仿宋_GBK" w:hAnsi="方正仿宋_GBK" w:eastAsia="方正仿宋_GBK" w:cs="方正仿宋_GBK"/>
          <w:sz w:val="32"/>
          <w:szCs w:val="32"/>
          <w:shd w:val="clear" w:color="auto" w:fill="FFFFFF"/>
        </w:rPr>
        <w:t>%，较年初预算数增加115.40万元，增长100.00%，主要原因是</w:t>
      </w:r>
      <w:r>
        <w:rPr>
          <w:rFonts w:hint="eastAsia" w:ascii="方正仿宋_GBK" w:hAnsi="方正仿宋_GBK" w:eastAsia="方正仿宋_GBK" w:cs="方正仿宋_GBK"/>
          <w:sz w:val="32"/>
          <w:szCs w:val="32"/>
          <w:shd w:val="clear" w:color="auto" w:fill="FFFFFF"/>
          <w:lang w:eastAsia="zh-CN"/>
        </w:rPr>
        <w:t>周边环境安全避让项目</w:t>
      </w:r>
      <w:r>
        <w:rPr>
          <w:rFonts w:ascii="方正仿宋_GBK" w:hAnsi="方正仿宋_GBK" w:eastAsia="方正仿宋_GBK" w:cs="方正仿宋_GBK"/>
          <w:sz w:val="32"/>
          <w:szCs w:val="32"/>
          <w:shd w:val="clear" w:color="auto" w:fill="FFFFFF"/>
        </w:rPr>
        <w:t>115.40万元</w:t>
      </w:r>
      <w:r>
        <w:rPr>
          <w:rFonts w:hint="eastAsia" w:ascii="方正仿宋_GBK" w:hAnsi="方正仿宋_GBK" w:eastAsia="方正仿宋_GBK" w:cs="方正仿宋_GBK"/>
          <w:sz w:val="32"/>
          <w:szCs w:val="32"/>
          <w:shd w:val="clear" w:color="auto" w:fill="FFFFFF"/>
          <w:lang w:eastAsia="zh-CN"/>
        </w:rPr>
        <w:t>为上年结转资金，未纳入年初预算。</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）教育支出</w:t>
      </w:r>
      <w:r>
        <w:rPr>
          <w:rFonts w:ascii="方正仿宋_GBK" w:hAnsi="方正仿宋_GBK" w:eastAsia="方正仿宋_GBK" w:cs="方正仿宋_GBK"/>
          <w:sz w:val="32"/>
          <w:szCs w:val="32"/>
        </w:rPr>
        <w:t>0.48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0.01</w:t>
      </w:r>
      <w:r>
        <w:rPr>
          <w:rFonts w:ascii="方正仿宋_GBK" w:hAnsi="方正仿宋_GBK" w:eastAsia="方正仿宋_GBK" w:cs="方正仿宋_GBK"/>
          <w:sz w:val="32"/>
          <w:szCs w:val="32"/>
          <w:shd w:val="clear" w:color="auto" w:fill="FFFFFF"/>
        </w:rPr>
        <w:t>%，较年初预算数增加0.48万元，增长100.00%，主要原因是</w:t>
      </w:r>
      <w:r>
        <w:rPr>
          <w:rFonts w:hint="eastAsia" w:ascii="方正仿宋_GBK" w:hAnsi="方正仿宋_GBK" w:eastAsia="方正仿宋_GBK" w:cs="方正仿宋_GBK"/>
          <w:sz w:val="32"/>
          <w:szCs w:val="32"/>
          <w:shd w:val="clear" w:color="auto" w:fill="FFFFFF"/>
          <w:lang w:eastAsia="zh-CN"/>
        </w:rPr>
        <w:t>年中下达社区教育经费</w:t>
      </w:r>
      <w:r>
        <w:rPr>
          <w:rFonts w:hint="eastAsia" w:ascii="方正仿宋_GBK" w:hAnsi="方正仿宋_GBK" w:eastAsia="方正仿宋_GBK" w:cs="方正仿宋_GBK"/>
          <w:sz w:val="32"/>
          <w:szCs w:val="32"/>
          <w:shd w:val="clear" w:color="auto" w:fill="FFFFFF"/>
          <w:lang w:val="en-US" w:eastAsia="zh-CN"/>
        </w:rPr>
        <w:t>0.48万元</w:t>
      </w:r>
      <w:r>
        <w:rPr>
          <w:rFonts w:hint="eastAsia" w:ascii="方正仿宋_GBK" w:hAnsi="方正仿宋_GBK" w:eastAsia="方正仿宋_GBK" w:cs="方正仿宋_GBK"/>
          <w:sz w:val="32"/>
          <w:szCs w:val="32"/>
          <w:shd w:val="clear" w:color="auto" w:fill="FFFFFF"/>
          <w:lang w:eastAsia="zh-CN"/>
        </w:rPr>
        <w:t>，未纳入年初预算。</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）文化旅游体育与传媒支出</w:t>
      </w:r>
      <w:r>
        <w:rPr>
          <w:rFonts w:ascii="方正仿宋_GBK" w:hAnsi="方正仿宋_GBK" w:eastAsia="方正仿宋_GBK" w:cs="方正仿宋_GBK"/>
          <w:sz w:val="32"/>
          <w:szCs w:val="32"/>
        </w:rPr>
        <w:t>1.62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0.05</w:t>
      </w:r>
      <w:r>
        <w:rPr>
          <w:rFonts w:ascii="方正仿宋_GBK" w:hAnsi="方正仿宋_GBK" w:eastAsia="方正仿宋_GBK" w:cs="方正仿宋_GBK"/>
          <w:sz w:val="32"/>
          <w:szCs w:val="32"/>
          <w:shd w:val="clear" w:color="auto" w:fill="FFFFFF"/>
        </w:rPr>
        <w:t>%，较年初预算数减少4.16万元，下降71.97%，主要原因是</w:t>
      </w:r>
      <w:r>
        <w:rPr>
          <w:rFonts w:hint="eastAsia" w:ascii="方正仿宋_GBK" w:hAnsi="方正仿宋_GBK" w:eastAsia="方正仿宋_GBK" w:cs="方正仿宋_GBK"/>
          <w:sz w:val="32"/>
          <w:szCs w:val="32"/>
          <w:shd w:val="clear" w:color="auto" w:fill="FFFFFF"/>
          <w:lang w:eastAsia="zh-CN"/>
        </w:rPr>
        <w:t>优先使用中央资金进行兑付，部分项目未实施完毕，故与年初预算数不一致。</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5</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246.06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7.23</w:t>
      </w:r>
      <w:r>
        <w:rPr>
          <w:rFonts w:ascii="方正仿宋_GBK" w:hAnsi="方正仿宋_GBK" w:eastAsia="方正仿宋_GBK" w:cs="方正仿宋_GBK"/>
          <w:sz w:val="32"/>
          <w:szCs w:val="32"/>
          <w:shd w:val="clear" w:color="auto" w:fill="FFFFFF"/>
        </w:rPr>
        <w:t>%，较年初预算数增加27.05万元，增长12.35%，主要原因</w:t>
      </w:r>
      <w:r>
        <w:rPr>
          <w:rFonts w:hint="eastAsia" w:ascii="方正仿宋_GBK" w:hAnsi="方正仿宋_GBK" w:eastAsia="方正仿宋_GBK" w:cs="方正仿宋_GBK"/>
          <w:sz w:val="32"/>
          <w:szCs w:val="32"/>
          <w:shd w:val="clear" w:color="auto" w:fill="FFFFFF"/>
          <w:lang w:eastAsia="zh-CN"/>
        </w:rPr>
        <w:t>部分项目如优抚对象“解三难”、重精以奖代补、养老服务中心建设、特困人员照料护理等为年中下达预算项目，未纳入年初预算。</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6</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38.96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1.15</w:t>
      </w:r>
      <w:r>
        <w:rPr>
          <w:rFonts w:ascii="方正仿宋_GBK" w:hAnsi="方正仿宋_GBK" w:eastAsia="方正仿宋_GBK" w:cs="方正仿宋_GBK"/>
          <w:sz w:val="32"/>
          <w:szCs w:val="32"/>
          <w:shd w:val="clear" w:color="auto" w:fill="FFFFFF"/>
        </w:rPr>
        <w:t>%，较年初预算数增加6.47万元，增长19.91%，主要原因</w:t>
      </w:r>
      <w:r>
        <w:rPr>
          <w:rFonts w:hint="eastAsia" w:ascii="方正仿宋_GBK" w:hAnsi="方正仿宋_GBK" w:eastAsia="方正仿宋_GBK" w:cs="方正仿宋_GBK"/>
          <w:sz w:val="32"/>
          <w:szCs w:val="32"/>
          <w:shd w:val="clear" w:color="auto" w:fill="FFFFFF"/>
          <w:lang w:eastAsia="zh-CN"/>
        </w:rPr>
        <w:t>一</w:t>
      </w:r>
      <w:r>
        <w:rPr>
          <w:rFonts w:ascii="方正仿宋_GBK" w:hAnsi="方正仿宋_GBK" w:eastAsia="方正仿宋_GBK" w:cs="方正仿宋_GBK"/>
          <w:sz w:val="32"/>
          <w:szCs w:val="32"/>
          <w:shd w:val="clear" w:color="auto" w:fill="FFFFFF"/>
        </w:rPr>
        <w:t>是</w:t>
      </w:r>
      <w:r>
        <w:rPr>
          <w:rFonts w:hint="eastAsia" w:ascii="方正仿宋_GBK" w:hAnsi="方正仿宋_GBK" w:eastAsia="方正仿宋_GBK" w:cs="方正仿宋_GBK"/>
          <w:sz w:val="32"/>
          <w:szCs w:val="32"/>
          <w:shd w:val="clear" w:color="auto" w:fill="FFFFFF"/>
          <w:lang w:eastAsia="zh-CN"/>
        </w:rPr>
        <w:t>根据相关政策文件对社保基数进行了调整，预算进行了追加；二是年中下达医保工作经费项目，未纳入年初预算。</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7</w:t>
      </w:r>
      <w:r>
        <w:rPr>
          <w:rFonts w:ascii="方正仿宋_GBK" w:hAnsi="方正仿宋_GBK" w:eastAsia="方正仿宋_GBK" w:cs="方正仿宋_GBK"/>
          <w:sz w:val="32"/>
          <w:szCs w:val="32"/>
          <w:shd w:val="clear" w:color="auto" w:fill="FFFFFF"/>
        </w:rPr>
        <w:t>）节能环保支出</w:t>
      </w:r>
      <w:r>
        <w:rPr>
          <w:rFonts w:ascii="方正仿宋_GBK" w:hAnsi="方正仿宋_GBK" w:eastAsia="方正仿宋_GBK" w:cs="方正仿宋_GBK"/>
          <w:sz w:val="32"/>
          <w:szCs w:val="32"/>
        </w:rPr>
        <w:t>1.60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0.05</w:t>
      </w:r>
      <w:r>
        <w:rPr>
          <w:rFonts w:ascii="方正仿宋_GBK" w:hAnsi="方正仿宋_GBK" w:eastAsia="方正仿宋_GBK" w:cs="方正仿宋_GBK"/>
          <w:sz w:val="32"/>
          <w:szCs w:val="32"/>
          <w:shd w:val="clear" w:color="auto" w:fill="FFFFFF"/>
        </w:rPr>
        <w:t>%，较年初预算数无增减，主要原因是</w:t>
      </w:r>
      <w:r>
        <w:rPr>
          <w:rFonts w:hint="eastAsia" w:ascii="方正仿宋_GBK" w:hAnsi="方正仿宋_GBK" w:eastAsia="方正仿宋_GBK" w:cs="方正仿宋_GBK"/>
          <w:sz w:val="32"/>
          <w:szCs w:val="32"/>
          <w:shd w:val="clear" w:color="auto" w:fill="FFFFFF"/>
          <w:lang w:eastAsia="zh-CN"/>
        </w:rPr>
        <w:t>对我镇污水处理及泵站运行经费精准预算，及时支付。</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8</w:t>
      </w:r>
      <w:r>
        <w:rPr>
          <w:rFonts w:ascii="方正仿宋_GBK" w:hAnsi="方正仿宋_GBK" w:eastAsia="方正仿宋_GBK" w:cs="方正仿宋_GBK"/>
          <w:sz w:val="32"/>
          <w:szCs w:val="32"/>
          <w:shd w:val="clear" w:color="auto" w:fill="FFFFFF"/>
        </w:rPr>
        <w:t>）城乡社区支出</w:t>
      </w:r>
      <w:r>
        <w:rPr>
          <w:rFonts w:ascii="方正仿宋_GBK" w:hAnsi="方正仿宋_GBK" w:eastAsia="方正仿宋_GBK" w:cs="方正仿宋_GBK"/>
          <w:sz w:val="32"/>
          <w:szCs w:val="32"/>
        </w:rPr>
        <w:t>103.50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3.04</w:t>
      </w:r>
      <w:r>
        <w:rPr>
          <w:rFonts w:ascii="方正仿宋_GBK" w:hAnsi="方正仿宋_GBK" w:eastAsia="方正仿宋_GBK" w:cs="方正仿宋_GBK"/>
          <w:sz w:val="32"/>
          <w:szCs w:val="32"/>
          <w:shd w:val="clear" w:color="auto" w:fill="FFFFFF"/>
        </w:rPr>
        <w:t>%，较年初预算数增加103.50万元，增长100.00%，主要原因是</w:t>
      </w:r>
      <w:r>
        <w:rPr>
          <w:rFonts w:hint="eastAsia" w:ascii="方正仿宋_GBK" w:hAnsi="方正仿宋_GBK" w:eastAsia="方正仿宋_GBK" w:cs="方正仿宋_GBK"/>
          <w:sz w:val="32"/>
          <w:szCs w:val="32"/>
          <w:shd w:val="clear" w:color="auto" w:fill="FFFFFF"/>
          <w:lang w:eastAsia="zh-CN"/>
        </w:rPr>
        <w:t>年中下达</w:t>
      </w:r>
      <w:r>
        <w:rPr>
          <w:rFonts w:hint="eastAsia" w:ascii="方正仿宋_GBK" w:hAnsi="方正仿宋_GBK" w:eastAsia="方正仿宋_GBK" w:cs="方正仿宋_GBK"/>
          <w:sz w:val="32"/>
          <w:szCs w:val="32"/>
          <w:shd w:val="clear" w:color="auto" w:fill="FFFFFF"/>
        </w:rPr>
        <w:t>基础设施建设</w:t>
      </w:r>
      <w:r>
        <w:rPr>
          <w:rFonts w:hint="eastAsia" w:ascii="方正仿宋_GBK" w:hAnsi="方正仿宋_GBK" w:eastAsia="方正仿宋_GBK" w:cs="方正仿宋_GBK"/>
          <w:sz w:val="32"/>
          <w:szCs w:val="32"/>
          <w:shd w:val="clear" w:color="auto" w:fill="FFFFFF"/>
          <w:lang w:eastAsia="zh-CN"/>
        </w:rPr>
        <w:t>项目</w:t>
      </w:r>
      <w:r>
        <w:rPr>
          <w:rFonts w:hint="eastAsia" w:ascii="方正仿宋_GBK" w:hAnsi="方正仿宋_GBK" w:eastAsia="方正仿宋_GBK" w:cs="方正仿宋_GBK"/>
          <w:sz w:val="32"/>
          <w:szCs w:val="32"/>
          <w:shd w:val="clear" w:color="auto" w:fill="FFFFFF"/>
          <w:lang w:val="en-US" w:eastAsia="zh-CN"/>
        </w:rPr>
        <w:t>103.50万元</w:t>
      </w:r>
      <w:r>
        <w:rPr>
          <w:rFonts w:hint="eastAsia" w:ascii="方正仿宋_GBK" w:hAnsi="方正仿宋_GBK" w:eastAsia="方正仿宋_GBK" w:cs="方正仿宋_GBK"/>
          <w:sz w:val="32"/>
          <w:szCs w:val="32"/>
          <w:shd w:val="clear" w:color="auto" w:fill="FFFFFF"/>
          <w:lang w:eastAsia="zh-CN"/>
        </w:rPr>
        <w:t>，未纳入年初预算。</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9</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color w:val="auto"/>
          <w:sz w:val="32"/>
          <w:szCs w:val="32"/>
          <w:shd w:val="clear" w:color="auto" w:fill="FFFFFF"/>
        </w:rPr>
        <w:t>农林水支出</w:t>
      </w:r>
      <w:r>
        <w:rPr>
          <w:rFonts w:ascii="方正仿宋_GBK" w:hAnsi="方正仿宋_GBK" w:eastAsia="方正仿宋_GBK" w:cs="方正仿宋_GBK"/>
          <w:color w:val="auto"/>
          <w:sz w:val="32"/>
          <w:szCs w:val="32"/>
        </w:rPr>
        <w:t>607.99</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17.87</w:t>
      </w:r>
      <w:r>
        <w:rPr>
          <w:rFonts w:ascii="方正仿宋_GBK" w:hAnsi="方正仿宋_GBK" w:eastAsia="方正仿宋_GBK" w:cs="方正仿宋_GBK"/>
          <w:color w:val="auto"/>
          <w:sz w:val="32"/>
          <w:szCs w:val="32"/>
          <w:shd w:val="clear" w:color="auto" w:fill="FFFFFF"/>
        </w:rPr>
        <w:t>%，较年初预算数增加386.18万元，增长174.10%，主要原因是</w:t>
      </w:r>
      <w:r>
        <w:rPr>
          <w:rFonts w:hint="eastAsia" w:ascii="方正仿宋_GBK" w:hAnsi="方正仿宋_GBK" w:eastAsia="方正仿宋_GBK" w:cs="方正仿宋_GBK"/>
          <w:color w:val="auto"/>
          <w:sz w:val="32"/>
          <w:szCs w:val="32"/>
          <w:shd w:val="clear" w:color="auto" w:fill="FFFFFF"/>
          <w:lang w:val="en-US" w:eastAsia="zh-CN"/>
        </w:rPr>
        <w:t>2023年有新增项目，如农业生产社会化服务2.00万元、河库清漂保洁5.00万元、农田水利基础设施维修管护12.00万元、非洲猪瘟防控2.80万元、美丽宜居村建设200.00万元、农业防灾减灾4.00万元、地表水质量生态补偿2.00万元、提高森林覆盖率8.13万元等项目未纳入年初预算。</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（1</w:t>
      </w:r>
      <w:r>
        <w:rPr>
          <w:rFonts w:hint="eastAsia" w:ascii="方正仿宋_GBK" w:hAnsi="方正仿宋_GBK" w:eastAsia="方正仿宋_GBK" w:cs="方正仿宋_GBK"/>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）交通运输支出</w:t>
      </w:r>
      <w:r>
        <w:rPr>
          <w:rFonts w:ascii="方正仿宋_GBK" w:hAnsi="方正仿宋_GBK" w:eastAsia="方正仿宋_GBK" w:cs="方正仿宋_GBK"/>
          <w:sz w:val="32"/>
          <w:szCs w:val="32"/>
        </w:rPr>
        <w:t>87.85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2.58</w:t>
      </w:r>
      <w:r>
        <w:rPr>
          <w:rFonts w:ascii="方正仿宋_GBK" w:hAnsi="方正仿宋_GBK" w:eastAsia="方正仿宋_GBK" w:cs="方正仿宋_GBK"/>
          <w:sz w:val="32"/>
          <w:szCs w:val="32"/>
          <w:shd w:val="clear" w:color="auto" w:fill="FFFFFF"/>
        </w:rPr>
        <w:t>%，较年初预算数增加16.10万元，增长22.44%，主要原因是</w:t>
      </w:r>
      <w:r>
        <w:rPr>
          <w:rFonts w:hint="eastAsia" w:ascii="方正仿宋_GBK" w:hAnsi="方正仿宋_GBK" w:eastAsia="方正仿宋_GBK" w:cs="方正仿宋_GBK"/>
          <w:sz w:val="32"/>
          <w:szCs w:val="32"/>
          <w:shd w:val="clear" w:color="auto" w:fill="FFFFFF"/>
          <w:lang w:eastAsia="zh-CN"/>
        </w:rPr>
        <w:t>农村公路安防工程补助资金</w:t>
      </w:r>
      <w:r>
        <w:rPr>
          <w:rFonts w:hint="eastAsia" w:ascii="方正仿宋_GBK" w:hAnsi="方正仿宋_GBK" w:eastAsia="方正仿宋_GBK" w:cs="方正仿宋_GBK"/>
          <w:sz w:val="32"/>
          <w:szCs w:val="32"/>
          <w:shd w:val="clear" w:color="auto" w:fill="FFFFFF"/>
          <w:lang w:val="en-US" w:eastAsia="zh-CN"/>
        </w:rPr>
        <w:t>8.40万元</w:t>
      </w:r>
      <w:r>
        <w:rPr>
          <w:rFonts w:hint="eastAsia" w:ascii="方正仿宋_GBK" w:hAnsi="方正仿宋_GBK" w:eastAsia="方正仿宋_GBK" w:cs="方正仿宋_GBK"/>
          <w:sz w:val="32"/>
          <w:szCs w:val="32"/>
          <w:shd w:val="clear" w:color="auto" w:fill="FFFFFF"/>
          <w:lang w:eastAsia="zh-CN"/>
        </w:rPr>
        <w:t>、农村公路建设补助资金</w:t>
      </w:r>
      <w:r>
        <w:rPr>
          <w:rFonts w:hint="eastAsia" w:ascii="方正仿宋_GBK" w:hAnsi="方正仿宋_GBK" w:eastAsia="方正仿宋_GBK" w:cs="方正仿宋_GBK"/>
          <w:sz w:val="32"/>
          <w:szCs w:val="32"/>
          <w:shd w:val="clear" w:color="auto" w:fill="FFFFFF"/>
          <w:lang w:val="en-US" w:eastAsia="zh-CN"/>
        </w:rPr>
        <w:t>7.70万元为上年结转资金和调剂资金，未纳入年初预算。</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（1</w:t>
      </w:r>
      <w:r>
        <w:rPr>
          <w:rFonts w:hint="eastAsia" w:ascii="方正仿宋_GBK" w:hAnsi="方正仿宋_GBK" w:eastAsia="方正仿宋_GBK" w:cs="方正仿宋_GBK"/>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）资源勘探信息等支出</w:t>
      </w:r>
      <w:r>
        <w:rPr>
          <w:rFonts w:ascii="方正仿宋_GBK" w:hAnsi="方正仿宋_GBK" w:eastAsia="方正仿宋_GBK" w:cs="方正仿宋_GBK"/>
          <w:sz w:val="32"/>
          <w:szCs w:val="32"/>
        </w:rPr>
        <w:t>2.14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0.06</w:t>
      </w:r>
      <w:r>
        <w:rPr>
          <w:rFonts w:ascii="方正仿宋_GBK" w:hAnsi="方正仿宋_GBK" w:eastAsia="方正仿宋_GBK" w:cs="方正仿宋_GBK"/>
          <w:sz w:val="32"/>
          <w:szCs w:val="32"/>
          <w:shd w:val="clear" w:color="auto" w:fill="FFFFFF"/>
        </w:rPr>
        <w:t>%，较年初预算数增加2.14万元，增长100.00%，主要原因是</w:t>
      </w:r>
      <w:r>
        <w:rPr>
          <w:rFonts w:hint="eastAsia" w:ascii="方正仿宋_GBK" w:hAnsi="方正仿宋_GBK" w:eastAsia="方正仿宋_GBK" w:cs="方正仿宋_GBK"/>
          <w:sz w:val="32"/>
          <w:szCs w:val="32"/>
          <w:shd w:val="clear" w:color="auto" w:fill="FFFFFF"/>
        </w:rPr>
        <w:t>周边环境安全避让搬迁项目</w:t>
      </w:r>
      <w:r>
        <w:rPr>
          <w:rFonts w:hint="eastAsia" w:ascii="方正仿宋_GBK" w:hAnsi="方正仿宋_GBK" w:eastAsia="方正仿宋_GBK" w:cs="方正仿宋_GBK"/>
          <w:sz w:val="32"/>
          <w:szCs w:val="32"/>
          <w:shd w:val="clear" w:color="auto" w:fill="FFFFFF"/>
          <w:lang w:eastAsia="zh-CN"/>
        </w:rPr>
        <w:t>为上年结转资金，未纳入年初预算</w:t>
      </w:r>
      <w:r>
        <w:rPr>
          <w:rFonts w:ascii="方正仿宋_GBK" w:hAnsi="方正仿宋_GBK" w:eastAsia="方正仿宋_GBK" w:cs="方正仿宋_GBK"/>
          <w:sz w:val="32"/>
          <w:szCs w:val="32"/>
          <w:shd w:val="clear" w:color="auto" w:fill="FFFFFF"/>
        </w:rPr>
        <w:t>。</w:t>
      </w:r>
    </w:p>
    <w:p>
      <w:pPr>
        <w:pStyle w:val="6"/>
        <w:shd w:val="clear" w:color="auto" w:fill="FFFFFF"/>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（1</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自然资源海洋气象等支出13.03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0.38</w:t>
      </w:r>
      <w:r>
        <w:rPr>
          <w:rFonts w:ascii="方正仿宋_GBK" w:hAnsi="方正仿宋_GBK" w:eastAsia="方正仿宋_GBK" w:cs="方正仿宋_GBK"/>
          <w:sz w:val="32"/>
          <w:szCs w:val="32"/>
          <w:shd w:val="clear" w:color="auto" w:fill="FFFFFF"/>
        </w:rPr>
        <w:t>%，较年初预算数增加13.03万元，增长100.00%，主要原因是</w:t>
      </w:r>
      <w:r>
        <w:rPr>
          <w:rFonts w:hint="eastAsia" w:ascii="方正仿宋_GBK" w:hAnsi="方正仿宋_GBK" w:eastAsia="方正仿宋_GBK" w:cs="方正仿宋_GBK"/>
          <w:sz w:val="32"/>
          <w:szCs w:val="32"/>
          <w:shd w:val="clear" w:color="auto" w:fill="FFFFFF"/>
        </w:rPr>
        <w:t>耕地缺口恢复补足项目</w:t>
      </w:r>
      <w:r>
        <w:rPr>
          <w:rFonts w:hint="eastAsia" w:ascii="方正仿宋_GBK" w:hAnsi="方正仿宋_GBK" w:eastAsia="方正仿宋_GBK" w:cs="方正仿宋_GBK"/>
          <w:sz w:val="32"/>
          <w:szCs w:val="32"/>
          <w:shd w:val="clear" w:color="auto" w:fill="FFFFFF"/>
          <w:lang w:val="en-US" w:eastAsia="zh-CN"/>
        </w:rPr>
        <w:t>13.03万元</w:t>
      </w:r>
      <w:r>
        <w:rPr>
          <w:rFonts w:hint="eastAsia" w:ascii="方正仿宋_GBK" w:hAnsi="方正仿宋_GBK" w:eastAsia="方正仿宋_GBK" w:cs="方正仿宋_GBK"/>
          <w:sz w:val="32"/>
          <w:szCs w:val="32"/>
          <w:shd w:val="clear" w:color="auto" w:fill="FFFFFF"/>
          <w:lang w:eastAsia="zh-CN"/>
        </w:rPr>
        <w:t>为年中下达项目，未纳入年初预算。</w:t>
      </w:r>
    </w:p>
    <w:p>
      <w:pPr>
        <w:ind w:firstLine="640" w:firstLineChars="200"/>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（1</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住房保障支出1018.41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29.94</w:t>
      </w:r>
      <w:r>
        <w:rPr>
          <w:rFonts w:ascii="方正仿宋_GBK" w:hAnsi="方正仿宋_GBK" w:eastAsia="方正仿宋_GBK" w:cs="方正仿宋_GBK"/>
          <w:sz w:val="32"/>
          <w:szCs w:val="32"/>
          <w:shd w:val="clear" w:color="auto" w:fill="FFFFFF"/>
        </w:rPr>
        <w:t>%，较年初预算数增加975.29万元，增长2261.80%，主要原因是</w:t>
      </w:r>
      <w:r>
        <w:rPr>
          <w:rFonts w:hint="eastAsia" w:ascii="方正仿宋_GBK" w:hAnsi="方正仿宋_GBK" w:eastAsia="方正仿宋_GBK" w:cs="方正仿宋_GBK"/>
          <w:sz w:val="32"/>
          <w:szCs w:val="32"/>
          <w:shd w:val="clear" w:color="auto" w:fill="FFFFFF"/>
        </w:rPr>
        <w:t>清升镇火烧店社区老旧小区一体化统筹建设（主体部分）改造工程</w:t>
      </w:r>
      <w:r>
        <w:rPr>
          <w:rFonts w:hint="eastAsia" w:ascii="方正仿宋_GBK" w:hAnsi="方正仿宋_GBK" w:eastAsia="方正仿宋_GBK" w:cs="方正仿宋_GBK"/>
          <w:sz w:val="32"/>
          <w:szCs w:val="32"/>
          <w:shd w:val="clear" w:color="auto" w:fill="FFFFFF"/>
          <w:lang w:val="en-US" w:eastAsia="zh-CN"/>
        </w:rPr>
        <w:t>103.16万元、清升镇火烧店社区配套基础设施改造工程（一期）872.13万元为上年结转资金，未纳入年初预算。</w:t>
      </w:r>
    </w:p>
    <w:p>
      <w:pPr>
        <w:ind w:firstLine="640" w:firstLineChars="200"/>
        <w:rPr>
          <w:rFonts w:hint="eastAsia" w:ascii="方正仿宋_GBK" w:hAnsi="方正仿宋_GBK" w:eastAsia="方正仿宋_GBK" w:cs="方正仿宋_GBK"/>
          <w:color w:val="FF0000"/>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14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灾害防治及应急管理支出1.00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0.03</w:t>
      </w:r>
      <w:r>
        <w:rPr>
          <w:rFonts w:ascii="方正仿宋_GBK" w:hAnsi="方正仿宋_GBK" w:eastAsia="方正仿宋_GBK" w:cs="方正仿宋_GBK"/>
          <w:sz w:val="32"/>
          <w:szCs w:val="32"/>
          <w:shd w:val="clear" w:color="auto" w:fill="FFFFFF"/>
        </w:rPr>
        <w:t>%，较年初预算数增加1.00万元，增长100.00%，主要原因是</w:t>
      </w:r>
      <w:r>
        <w:rPr>
          <w:rFonts w:hint="eastAsia" w:ascii="方正仿宋_GBK" w:hAnsi="方正仿宋_GBK" w:eastAsia="方正仿宋_GBK" w:cs="方正仿宋_GBK"/>
          <w:sz w:val="32"/>
          <w:szCs w:val="32"/>
          <w:shd w:val="clear" w:color="auto" w:fill="FFFFFF"/>
        </w:rPr>
        <w:t>自然灾害救灾资金</w:t>
      </w:r>
      <w:r>
        <w:rPr>
          <w:rFonts w:hint="eastAsia" w:ascii="方正仿宋_GBK" w:hAnsi="方正仿宋_GBK" w:eastAsia="方正仿宋_GBK" w:cs="方正仿宋_GBK"/>
          <w:sz w:val="32"/>
          <w:szCs w:val="32"/>
          <w:shd w:val="clear" w:color="auto" w:fill="FFFFFF"/>
          <w:lang w:val="en-US" w:eastAsia="zh-CN"/>
        </w:rPr>
        <w:t>1.00万元为上年结转资金，未纳入年初预算。</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11"/>
        <w:autoSpaceDE w:val="0"/>
        <w:ind w:firstLine="643"/>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 2023年度一般公共财政拨款基本支出</w:t>
      </w:r>
      <w:r>
        <w:rPr>
          <w:rFonts w:ascii="方正仿宋_GBK" w:hAnsi="方正仿宋_GBK" w:eastAsia="方正仿宋_GBK" w:cs="方正仿宋_GBK"/>
          <w:sz w:val="32"/>
          <w:szCs w:val="32"/>
        </w:rPr>
        <w:t>1023.58</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639.23</w:t>
      </w:r>
      <w:r>
        <w:rPr>
          <w:rFonts w:ascii="方正仿宋_GBK" w:hAnsi="方正仿宋_GBK" w:eastAsia="方正仿宋_GBK" w:cs="方正仿宋_GBK"/>
          <w:sz w:val="32"/>
          <w:szCs w:val="32"/>
          <w:shd w:val="clear" w:color="auto" w:fill="FFFFFF"/>
        </w:rPr>
        <w:t>万元，较上年决算数增加21.80万元，增长3.53%，主要原因是</w:t>
      </w:r>
      <w:r>
        <w:rPr>
          <w:rFonts w:hint="eastAsia" w:ascii="方正仿宋_GBK" w:hAnsi="方正仿宋_GBK" w:eastAsia="方正仿宋_GBK" w:cs="方正仿宋_GBK"/>
          <w:sz w:val="32"/>
          <w:szCs w:val="32"/>
          <w:shd w:val="clear" w:color="auto" w:fill="FFFFFF"/>
          <w:lang w:eastAsia="zh-CN"/>
        </w:rPr>
        <w:t>根据相关文件对社保基数进行了调整，各项社会保险费用增加，故人员经费有所增加。</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val="en-US" w:eastAsia="zh-CN"/>
        </w:rPr>
        <w:t>在编、在岗人员基本工资、绩效工资、津贴补贴各项奖金、社会保障缴费、单位其他长期聘用人员及部分离退休人员经费等。</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384.35</w:t>
      </w:r>
      <w:r>
        <w:rPr>
          <w:rFonts w:ascii="方正仿宋_GBK" w:hAnsi="方正仿宋_GBK" w:eastAsia="方正仿宋_GBK" w:cs="方正仿宋_GBK"/>
          <w:sz w:val="32"/>
          <w:szCs w:val="32"/>
          <w:shd w:val="clear" w:color="auto" w:fill="FFFFFF"/>
        </w:rPr>
        <w:t>万元，较上年决算数增加254.76万元，增长196.59%，主要原因是</w:t>
      </w:r>
      <w:r>
        <w:rPr>
          <w:rFonts w:hint="eastAsia" w:ascii="方正仿宋_GBK" w:hAnsi="方正仿宋_GBK" w:eastAsia="方正仿宋_GBK" w:cs="方正仿宋_GBK"/>
          <w:sz w:val="32"/>
          <w:szCs w:val="32"/>
          <w:shd w:val="clear" w:color="auto" w:fill="FFFFFF"/>
          <w:lang w:eastAsia="zh-CN"/>
        </w:rPr>
        <w:t>一</w:t>
      </w:r>
      <w:r>
        <w:rPr>
          <w:rFonts w:ascii="方正仿宋_GBK" w:hAnsi="方正仿宋_GBK" w:eastAsia="方正仿宋_GBK" w:cs="方正仿宋_GBK"/>
          <w:sz w:val="32"/>
          <w:szCs w:val="32"/>
          <w:shd w:val="clear" w:color="auto" w:fill="FFFFFF"/>
        </w:rPr>
        <w:t>是</w:t>
      </w:r>
      <w:r>
        <w:rPr>
          <w:rFonts w:hint="eastAsia" w:ascii="方正仿宋_GBK" w:hAnsi="方正仿宋_GBK" w:eastAsia="方正仿宋_GBK" w:cs="方正仿宋_GBK"/>
          <w:sz w:val="32"/>
          <w:szCs w:val="32"/>
          <w:shd w:val="clear" w:color="auto" w:fill="FFFFFF"/>
          <w:lang w:eastAsia="zh-CN"/>
        </w:rPr>
        <w:t>本单位更换了部分老化设备，设备、耗材等办公用品的价格上涨，运行成本增加；二是本年度机关办公楼进行了维修，维修费用增加；三是伙食补助在本单位中列支。</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lang w:val="en-US" w:eastAsia="zh-CN"/>
        </w:rPr>
        <w:t>办公费、印刷费、咨询费、水电费、邮电费、差旅费、会议费、公务接待费、劳务费、公务用车运行维护费、其他商品和服务支出等费用支出。</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2023年度政府性基金预算财政拨款年初结转结余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万元。本年收入</w:t>
      </w:r>
      <w:r>
        <w:rPr>
          <w:rFonts w:ascii="方正仿宋_GBK" w:hAnsi="方正仿宋_GBK" w:eastAsia="方正仿宋_GBK" w:cs="方正仿宋_GBK"/>
          <w:sz w:val="32"/>
          <w:szCs w:val="32"/>
        </w:rPr>
        <w:t>199.60</w:t>
      </w:r>
      <w:r>
        <w:rPr>
          <w:rFonts w:ascii="方正仿宋_GBK" w:hAnsi="方正仿宋_GBK" w:eastAsia="方正仿宋_GBK" w:cs="方正仿宋_GBK"/>
          <w:sz w:val="32"/>
          <w:szCs w:val="32"/>
          <w:shd w:val="clear" w:color="auto" w:fill="FFFFFF"/>
        </w:rPr>
        <w:t>万元，较上年决算数增加186.16万元，增长1385.12%，主要原因是</w:t>
      </w:r>
      <w:r>
        <w:rPr>
          <w:rFonts w:hint="eastAsia" w:ascii="方正仿宋_GBK" w:hAnsi="方正仿宋_GBK" w:eastAsia="方正仿宋_GBK" w:cs="方正仿宋_GBK"/>
          <w:sz w:val="32"/>
          <w:szCs w:val="32"/>
          <w:shd w:val="clear" w:color="auto" w:fill="FFFFFF"/>
          <w:lang w:val="en-US" w:eastAsia="zh-CN"/>
        </w:rPr>
        <w:t>政府性基金预算收入减少。</w:t>
      </w:r>
      <w:r>
        <w:rPr>
          <w:rFonts w:ascii="方正仿宋_GBK" w:hAnsi="方正仿宋_GBK" w:eastAsia="方正仿宋_GBK" w:cs="方正仿宋_GBK"/>
          <w:sz w:val="32"/>
          <w:szCs w:val="32"/>
          <w:shd w:val="clear" w:color="auto" w:fill="FFFFFF"/>
        </w:rPr>
        <w:t>本年支出</w:t>
      </w:r>
      <w:r>
        <w:rPr>
          <w:rFonts w:ascii="方正仿宋_GBK" w:hAnsi="方正仿宋_GBK" w:eastAsia="方正仿宋_GBK" w:cs="方正仿宋_GBK"/>
          <w:sz w:val="32"/>
          <w:szCs w:val="32"/>
        </w:rPr>
        <w:t>199.60</w:t>
      </w:r>
      <w:r>
        <w:rPr>
          <w:rFonts w:ascii="方正仿宋_GBK" w:hAnsi="方正仿宋_GBK" w:eastAsia="方正仿宋_GBK" w:cs="方正仿宋_GBK"/>
          <w:sz w:val="32"/>
          <w:szCs w:val="32"/>
          <w:shd w:val="clear" w:color="auto" w:fill="FFFFFF"/>
        </w:rPr>
        <w:t>万元，较上年决算数增加186.16万元，增长1385.12%，主要原因是</w:t>
      </w:r>
      <w:r>
        <w:rPr>
          <w:rFonts w:hint="eastAsia" w:ascii="方正仿宋_GBK" w:hAnsi="方正仿宋_GBK" w:eastAsia="方正仿宋_GBK" w:cs="方正仿宋_GBK"/>
          <w:sz w:val="32"/>
          <w:szCs w:val="32"/>
          <w:shd w:val="clear" w:color="auto" w:fill="FFFFFF"/>
          <w:lang w:eastAsia="zh-CN"/>
        </w:rPr>
        <w:t>本年新增清升镇渝馨家园建设项目</w:t>
      </w:r>
      <w:r>
        <w:rPr>
          <w:rFonts w:hint="eastAsia" w:ascii="方正仿宋_GBK" w:hAnsi="方正仿宋_GBK" w:eastAsia="方正仿宋_GBK" w:cs="方正仿宋_GBK"/>
          <w:sz w:val="32"/>
          <w:szCs w:val="32"/>
          <w:shd w:val="clear" w:color="auto" w:fill="FFFFFF"/>
          <w:lang w:val="en-US" w:eastAsia="zh-CN"/>
        </w:rPr>
        <w:t>4.78万元</w:t>
      </w:r>
      <w:r>
        <w:rPr>
          <w:rFonts w:hint="eastAsia" w:ascii="方正仿宋_GBK" w:hAnsi="方正仿宋_GBK" w:eastAsia="方正仿宋_GBK" w:cs="方正仿宋_GBK"/>
          <w:sz w:val="32"/>
          <w:szCs w:val="32"/>
          <w:shd w:val="clear" w:color="auto" w:fill="FFFFFF"/>
          <w:lang w:eastAsia="zh-CN"/>
        </w:rPr>
        <w:t>、清升镇彩票公益金区县分成项目</w:t>
      </w:r>
      <w:r>
        <w:rPr>
          <w:rFonts w:hint="eastAsia" w:ascii="方正仿宋_GBK" w:hAnsi="方正仿宋_GBK" w:eastAsia="方正仿宋_GBK" w:cs="方正仿宋_GBK"/>
          <w:sz w:val="32"/>
          <w:szCs w:val="32"/>
          <w:shd w:val="clear" w:color="auto" w:fill="FFFFFF"/>
          <w:lang w:val="en-US" w:eastAsia="zh-CN"/>
        </w:rPr>
        <w:t>18.78万元。</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lang w:val="en-US" w:eastAsia="zh-CN"/>
        </w:rPr>
        <w:t>本部门202</w:t>
      </w:r>
      <w:r>
        <w:rPr>
          <w:rFonts w:hint="eastAsia" w:ascii="方正仿宋_GBK" w:hAnsi="方正仿宋_GBK" w:eastAsia="方正仿宋_GBK" w:cs="方正仿宋_GBK"/>
          <w:b w:val="0"/>
          <w:bCs w:val="0"/>
          <w:sz w:val="32"/>
          <w:szCs w:val="32"/>
          <w:lang w:val="en-US" w:eastAsia="zh-CN"/>
        </w:rPr>
        <w:t>3</w:t>
      </w:r>
      <w:r>
        <w:rPr>
          <w:rFonts w:hint="default" w:ascii="方正仿宋_GBK" w:hAnsi="方正仿宋_GBK" w:eastAsia="方正仿宋_GBK" w:cs="方正仿宋_GBK"/>
          <w:b w:val="0"/>
          <w:bCs w:val="0"/>
          <w:sz w:val="32"/>
          <w:szCs w:val="32"/>
          <w:lang w:val="en-US" w:eastAsia="zh-CN"/>
        </w:rPr>
        <w:t>年度无国有资本经营预算财政拨款支出。</w:t>
      </w:r>
    </w:p>
    <w:p>
      <w:pPr>
        <w:pStyle w:val="6"/>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 xml:space="preserve"> （一）“三公”经费支出总体情况说明</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2023年度“三公”经费支出共计</w:t>
      </w:r>
      <w:r>
        <w:rPr>
          <w:rFonts w:ascii="方正仿宋_GBK" w:hAnsi="方正仿宋_GBK" w:eastAsia="方正仿宋_GBK" w:cs="方正仿宋_GBK"/>
          <w:sz w:val="32"/>
          <w:szCs w:val="32"/>
        </w:rPr>
        <w:t>11.34</w:t>
      </w:r>
      <w:r>
        <w:rPr>
          <w:rFonts w:ascii="方正仿宋_GBK" w:hAnsi="方正仿宋_GBK" w:eastAsia="方正仿宋_GBK" w:cs="方正仿宋_GBK"/>
          <w:sz w:val="32"/>
          <w:szCs w:val="32"/>
          <w:shd w:val="clear" w:color="auto" w:fill="FFFFFF"/>
        </w:rPr>
        <w:t>万元，较年初预算数减少26.86万元，下降70.31%，主要原因是</w:t>
      </w:r>
      <w:r>
        <w:rPr>
          <w:rFonts w:hint="eastAsia" w:ascii="方正仿宋_GBK" w:hAnsi="方正仿宋_GBK" w:eastAsia="方正仿宋_GBK" w:cs="方正仿宋_GBK"/>
          <w:sz w:val="32"/>
          <w:szCs w:val="32"/>
          <w:shd w:val="clear" w:color="auto" w:fill="FFFFFF"/>
          <w:lang w:eastAsia="zh-CN"/>
        </w:rPr>
        <w:t>厉行节约，</w:t>
      </w:r>
      <w:r>
        <w:rPr>
          <w:rFonts w:hint="eastAsia" w:ascii="方正仿宋_GBK" w:hAnsi="方正仿宋_GBK" w:eastAsia="方正仿宋_GBK" w:cs="方正仿宋_GBK"/>
          <w:sz w:val="32"/>
          <w:szCs w:val="32"/>
          <w:shd w:val="clear" w:color="auto" w:fill="FFFFFF"/>
          <w:lang w:val="en-US" w:eastAsia="zh-CN"/>
        </w:rPr>
        <w:t>单位内部加强预算管理，对三公经费进行严格的预算编制和控制。</w:t>
      </w:r>
      <w:r>
        <w:rPr>
          <w:rFonts w:ascii="方正仿宋_GBK" w:hAnsi="方正仿宋_GBK" w:eastAsia="方正仿宋_GBK" w:cs="方正仿宋_GBK"/>
          <w:sz w:val="32"/>
          <w:szCs w:val="32"/>
          <w:shd w:val="clear" w:color="auto" w:fill="FFFFFF"/>
        </w:rPr>
        <w:t>较上年支出数减少17.63万元，下降60.86%，主要原因是</w:t>
      </w:r>
      <w:r>
        <w:rPr>
          <w:rFonts w:hint="eastAsia" w:ascii="方正仿宋_GBK" w:hAnsi="方正仿宋_GBK" w:eastAsia="方正仿宋_GBK" w:cs="方正仿宋_GBK"/>
          <w:sz w:val="32"/>
          <w:szCs w:val="32"/>
          <w:shd w:val="clear" w:color="auto" w:fill="FFFFFF"/>
          <w:lang w:val="en-US" w:eastAsia="zh-CN"/>
        </w:rPr>
        <w:t>实时监控三公经费的支出情况，对超预算或不合理的支出及时进行调整和纠正。</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2023年度本单位因公出国（境）费用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费用支出较年初预算数无增减，较上年支出数无增减</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2023年度本单位无</w:t>
      </w:r>
      <w:r>
        <w:rPr>
          <w:rFonts w:ascii="方正仿宋_GBK" w:hAnsi="方正仿宋_GBK" w:eastAsia="方正仿宋_GBK" w:cs="方正仿宋_GBK"/>
          <w:sz w:val="32"/>
          <w:szCs w:val="32"/>
          <w:shd w:val="clear" w:color="auto" w:fill="FFFFFF"/>
        </w:rPr>
        <w:t>因公出国（境）费用</w:t>
      </w:r>
      <w:r>
        <w:rPr>
          <w:rFonts w:hint="eastAsia" w:ascii="方正仿宋_GBK" w:hAnsi="方正仿宋_GBK" w:eastAsia="方正仿宋_GBK" w:cs="方正仿宋_GBK"/>
          <w:sz w:val="32"/>
          <w:szCs w:val="32"/>
          <w:shd w:val="clear" w:color="auto" w:fill="FFFFFF"/>
          <w:lang w:eastAsia="zh-CN"/>
        </w:rPr>
        <w:t>支出。</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公务车购置费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万元，费用支出较年初预算数无增减，主要原因是</w:t>
      </w:r>
      <w:r>
        <w:rPr>
          <w:rFonts w:hint="eastAsia" w:ascii="方正仿宋_GBK" w:hAnsi="方正仿宋_GBK" w:eastAsia="方正仿宋_GBK" w:cs="方正仿宋_GBK"/>
          <w:sz w:val="32"/>
          <w:szCs w:val="32"/>
          <w:shd w:val="clear" w:color="auto" w:fill="FFFFFF"/>
          <w:lang w:val="en-US" w:eastAsia="zh-CN"/>
        </w:rPr>
        <w:t>2023年度本单位无</w:t>
      </w:r>
      <w:r>
        <w:rPr>
          <w:rFonts w:ascii="方正仿宋_GBK" w:hAnsi="方正仿宋_GBK" w:eastAsia="方正仿宋_GBK" w:cs="方正仿宋_GBK"/>
          <w:sz w:val="32"/>
          <w:szCs w:val="32"/>
          <w:shd w:val="clear" w:color="auto" w:fill="FFFFFF"/>
        </w:rPr>
        <w:t>公务车购置费</w:t>
      </w:r>
      <w:r>
        <w:rPr>
          <w:rFonts w:hint="eastAsia" w:ascii="方正仿宋_GBK" w:hAnsi="方正仿宋_GBK" w:eastAsia="方正仿宋_GBK" w:cs="方正仿宋_GBK"/>
          <w:sz w:val="32"/>
          <w:szCs w:val="32"/>
          <w:shd w:val="clear" w:color="auto" w:fill="FFFFFF"/>
          <w:lang w:eastAsia="zh-CN"/>
        </w:rPr>
        <w:t>支出</w:t>
      </w:r>
      <w:r>
        <w:rPr>
          <w:rFonts w:ascii="方正仿宋_GBK" w:hAnsi="方正仿宋_GBK" w:eastAsia="方正仿宋_GBK" w:cs="方正仿宋_GBK"/>
          <w:sz w:val="32"/>
          <w:szCs w:val="32"/>
          <w:shd w:val="clear" w:color="auto" w:fill="FFFFFF"/>
        </w:rPr>
        <w:t>。较上年支出数减少17.96万元，下降100.00%，主要原因是</w:t>
      </w:r>
      <w:r>
        <w:rPr>
          <w:rFonts w:hint="eastAsia" w:ascii="方正仿宋_GBK" w:hAnsi="方正仿宋_GBK" w:eastAsia="方正仿宋_GBK" w:cs="方正仿宋_GBK"/>
          <w:sz w:val="32"/>
          <w:szCs w:val="32"/>
          <w:shd w:val="clear" w:color="auto" w:fill="FFFFFF"/>
          <w:lang w:val="en-US" w:eastAsia="zh-CN"/>
        </w:rPr>
        <w:t>2023年度未购置公务车</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 公务车运行维护费</w:t>
      </w:r>
      <w:r>
        <w:rPr>
          <w:rFonts w:ascii="方正仿宋_GBK" w:hAnsi="方正仿宋_GBK" w:eastAsia="方正仿宋_GBK" w:cs="方正仿宋_GBK"/>
          <w:sz w:val="32"/>
          <w:szCs w:val="32"/>
        </w:rPr>
        <w:t>7.30</w:t>
      </w:r>
      <w:r>
        <w:rPr>
          <w:rFonts w:ascii="方正仿宋_GBK" w:hAnsi="方正仿宋_GBK" w:eastAsia="方正仿宋_GBK" w:cs="方正仿宋_GBK"/>
          <w:sz w:val="32"/>
          <w:szCs w:val="32"/>
          <w:shd w:val="clear" w:color="auto" w:fill="FFFFFF"/>
        </w:rPr>
        <w:t>万元，主要用于</w:t>
      </w:r>
      <w:r>
        <w:rPr>
          <w:rFonts w:hint="eastAsia" w:ascii="方正仿宋_GBK" w:hAnsi="方正仿宋_GBK" w:eastAsia="方正仿宋_GBK" w:cs="方正仿宋_GBK"/>
          <w:sz w:val="32"/>
          <w:szCs w:val="32"/>
          <w:shd w:val="clear" w:color="auto" w:fill="FFFFFF"/>
          <w:lang w:val="en-US" w:eastAsia="zh-CN"/>
        </w:rPr>
        <w:t>机要文件交换、因公出行、镇辖区管辖范围内各项业务检查等工作所需车辆的燃料费、维修费、过桥过路费、保险费等。</w:t>
      </w:r>
      <w:r>
        <w:rPr>
          <w:rFonts w:ascii="方正仿宋_GBK" w:hAnsi="方正仿宋_GBK" w:eastAsia="方正仿宋_GBK" w:cs="方正仿宋_GBK"/>
          <w:sz w:val="32"/>
          <w:szCs w:val="32"/>
          <w:shd w:val="clear" w:color="auto" w:fill="FFFFFF"/>
        </w:rPr>
        <w:t>费用支出较年初预算数减少20.90万元，下降74.11%，主要原因是</w:t>
      </w:r>
      <w:r>
        <w:rPr>
          <w:rFonts w:hint="eastAsia" w:ascii="方正仿宋_GBK" w:hAnsi="方正仿宋_GBK" w:eastAsia="方正仿宋_GBK" w:cs="方正仿宋_GBK"/>
          <w:sz w:val="32"/>
          <w:szCs w:val="32"/>
          <w:shd w:val="clear" w:color="auto" w:fill="FFFFFF"/>
          <w:lang w:eastAsia="zh-CN"/>
        </w:rPr>
        <w:t>年初预算不精准。</w:t>
      </w:r>
      <w:r>
        <w:rPr>
          <w:rFonts w:ascii="方正仿宋_GBK" w:hAnsi="方正仿宋_GBK" w:eastAsia="方正仿宋_GBK" w:cs="方正仿宋_GBK"/>
          <w:sz w:val="32"/>
          <w:szCs w:val="32"/>
          <w:shd w:val="clear" w:color="auto" w:fill="FFFFFF"/>
        </w:rPr>
        <w:t>较上年支出数增加0.88万元，增长13.71%，主要原因是</w:t>
      </w:r>
      <w:r>
        <w:rPr>
          <w:rFonts w:hint="eastAsia" w:ascii="方正仿宋_GBK" w:hAnsi="方正仿宋_GBK" w:eastAsia="方正仿宋_GBK" w:cs="方正仿宋_GBK"/>
          <w:sz w:val="32"/>
          <w:szCs w:val="32"/>
          <w:shd w:val="clear" w:color="auto" w:fill="FFFFFF"/>
          <w:lang w:val="en-US" w:eastAsia="zh-CN"/>
        </w:rPr>
        <w:t>2023年度</w:t>
      </w:r>
      <w:r>
        <w:rPr>
          <w:rFonts w:hint="eastAsia" w:ascii="方正仿宋_GBK" w:hAnsi="方正仿宋_GBK" w:eastAsia="方正仿宋_GBK" w:cs="方正仿宋_GBK"/>
          <w:sz w:val="32"/>
          <w:szCs w:val="32"/>
          <w:shd w:val="clear" w:color="auto" w:fill="FFFFFF"/>
          <w:lang w:eastAsia="zh-CN"/>
        </w:rPr>
        <w:t>洒水车更换硬件、森林防火、秸秆焚烧巡逻次数增加，油费上涨等因素，公车运行维护费增加。</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 公务接待费</w:t>
      </w:r>
      <w:r>
        <w:rPr>
          <w:rFonts w:ascii="方正仿宋_GBK" w:hAnsi="方正仿宋_GBK" w:eastAsia="方正仿宋_GBK" w:cs="方正仿宋_GBK"/>
          <w:sz w:val="32"/>
          <w:szCs w:val="32"/>
        </w:rPr>
        <w:t>4.04</w:t>
      </w:r>
      <w:r>
        <w:rPr>
          <w:rFonts w:ascii="方正仿宋_GBK" w:hAnsi="方正仿宋_GBK" w:eastAsia="方正仿宋_GBK" w:cs="方正仿宋_GBK"/>
          <w:sz w:val="32"/>
          <w:szCs w:val="32"/>
          <w:shd w:val="clear" w:color="auto" w:fill="FFFFFF"/>
        </w:rPr>
        <w:t>万元，主要用于接待</w:t>
      </w:r>
      <w:r>
        <w:rPr>
          <w:rFonts w:hint="eastAsia" w:ascii="方正仿宋_GBK" w:hAnsi="方正仿宋_GBK" w:eastAsia="方正仿宋_GBK" w:cs="方正仿宋_GBK"/>
          <w:sz w:val="32"/>
          <w:szCs w:val="32"/>
          <w:shd w:val="clear" w:color="auto" w:fill="FFFFFF"/>
          <w:lang w:val="en-US" w:eastAsia="zh-CN"/>
        </w:rPr>
        <w:t>各部门到本单位学习调研各项政府工作，接受相关部门检查指导工作，本单位为发展招商引资等总部经济业务所发生的接待支出。</w:t>
      </w:r>
      <w:r>
        <w:rPr>
          <w:rFonts w:ascii="方正仿宋_GBK" w:hAnsi="方正仿宋_GBK" w:eastAsia="方正仿宋_GBK" w:cs="方正仿宋_GBK"/>
          <w:sz w:val="32"/>
          <w:szCs w:val="32"/>
          <w:shd w:val="clear" w:color="auto" w:fill="FFFFFF"/>
        </w:rPr>
        <w:t>费用支出较年初预算数减少5.96万元，下降59.60%，主要原因是</w:t>
      </w:r>
      <w:r>
        <w:rPr>
          <w:rFonts w:hint="eastAsia" w:ascii="方正仿宋_GBK" w:hAnsi="方正仿宋_GBK" w:eastAsia="方正仿宋_GBK" w:cs="方正仿宋_GBK"/>
          <w:sz w:val="32"/>
          <w:szCs w:val="32"/>
          <w:shd w:val="clear" w:color="auto" w:fill="FFFFFF"/>
          <w:lang w:val="en-US" w:eastAsia="zh-CN"/>
        </w:rPr>
        <w:t>厉行节约，严格控制三公经费。</w:t>
      </w:r>
      <w:r>
        <w:rPr>
          <w:rFonts w:ascii="方正仿宋_GBK" w:hAnsi="方正仿宋_GBK" w:eastAsia="方正仿宋_GBK" w:cs="方正仿宋_GBK"/>
          <w:sz w:val="32"/>
          <w:szCs w:val="32"/>
          <w:shd w:val="clear" w:color="auto" w:fill="FFFFFF"/>
        </w:rPr>
        <w:t>较上年支出数减少0.55万元，下降11.98%，主要原因是</w:t>
      </w:r>
      <w:r>
        <w:rPr>
          <w:rFonts w:hint="eastAsia" w:ascii="方正仿宋_GBK" w:hAnsi="方正仿宋_GBK" w:eastAsia="方正仿宋_GBK" w:cs="方正仿宋_GBK"/>
          <w:sz w:val="32"/>
          <w:szCs w:val="32"/>
          <w:shd w:val="clear" w:color="auto" w:fill="FFFFFF"/>
          <w:lang w:eastAsia="zh-CN"/>
        </w:rPr>
        <w:t>线下检查指导工作及招商引资接待减少。</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2023年度本单位因公出国（境）共计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5</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63</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505</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人。2023年本单位人均接待费</w:t>
      </w:r>
      <w:r>
        <w:rPr>
          <w:rFonts w:ascii="方正仿宋_GBK" w:hAnsi="方正仿宋_GBK" w:eastAsia="方正仿宋_GBK" w:cs="方正仿宋_GBK"/>
          <w:sz w:val="32"/>
          <w:szCs w:val="32"/>
        </w:rPr>
        <w:t>80.07</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1.46</w:t>
      </w:r>
      <w:r>
        <w:rPr>
          <w:rFonts w:ascii="方正仿宋_GBK" w:hAnsi="方正仿宋_GBK" w:eastAsia="方正仿宋_GBK" w:cs="方正仿宋_GBK"/>
          <w:sz w:val="32"/>
          <w:szCs w:val="32"/>
          <w:shd w:val="clear" w:color="auto" w:fill="FFFFFF"/>
        </w:rPr>
        <w:t>万元。</w:t>
      </w:r>
    </w:p>
    <w:p>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  （一）财政拨款会议费和培训费情况说明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0.29</w:t>
      </w:r>
      <w:r>
        <w:rPr>
          <w:rFonts w:ascii="方正仿宋_GBK" w:hAnsi="方正仿宋_GBK" w:eastAsia="方正仿宋_GBK" w:cs="方正仿宋_GBK"/>
          <w:sz w:val="32"/>
          <w:szCs w:val="32"/>
          <w:shd w:val="clear" w:color="auto" w:fill="FFFFFF"/>
        </w:rPr>
        <w:t>万元，较上年决算数减少3.78万元，下降92.87%，主要原因是</w:t>
      </w:r>
      <w:r>
        <w:rPr>
          <w:rFonts w:hint="eastAsia" w:ascii="方正仿宋_GBK" w:hAnsi="方正仿宋_GBK" w:eastAsia="方正仿宋_GBK" w:cs="方正仿宋_GBK"/>
          <w:sz w:val="32"/>
          <w:szCs w:val="32"/>
          <w:shd w:val="clear" w:color="auto" w:fill="FFFFFF"/>
          <w:lang w:val="en-US" w:eastAsia="zh-CN"/>
        </w:rPr>
        <w:t>本年度会议大多为线上会议，线下会议减少</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1.09</w:t>
      </w:r>
      <w:r>
        <w:rPr>
          <w:rFonts w:ascii="方正仿宋_GBK" w:hAnsi="方正仿宋_GBK" w:eastAsia="方正仿宋_GBK" w:cs="方正仿宋_GBK"/>
          <w:sz w:val="32"/>
          <w:szCs w:val="32"/>
          <w:shd w:val="clear" w:color="auto" w:fill="FFFFFF"/>
        </w:rPr>
        <w:t>万元，较上年决算数减少5.01万元，下降82.13%，主要原因是</w:t>
      </w:r>
      <w:r>
        <w:rPr>
          <w:rFonts w:hint="eastAsia" w:ascii="方正仿宋_GBK" w:hAnsi="方正仿宋_GBK" w:eastAsia="方正仿宋_GBK" w:cs="方正仿宋_GBK"/>
          <w:sz w:val="32"/>
          <w:szCs w:val="32"/>
          <w:shd w:val="clear" w:color="auto" w:fill="FFFFFF"/>
          <w:lang w:eastAsia="zh-CN"/>
        </w:rPr>
        <w:t>合理安排培训，采用线上线下相结合的方式，节约开支</w:t>
      </w:r>
      <w:r>
        <w:rPr>
          <w:rFonts w:ascii="方正仿宋_GBK" w:hAnsi="方正仿宋_GBK" w:eastAsia="方正仿宋_GBK" w:cs="方正仿宋_GBK"/>
          <w:sz w:val="32"/>
          <w:szCs w:val="32"/>
          <w:shd w:val="clear" w:color="auto" w:fill="FFFFFF"/>
        </w:rPr>
        <w:t>。</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2023年度本单位机关运行经费支出</w:t>
      </w:r>
      <w:r>
        <w:rPr>
          <w:rFonts w:ascii="方正仿宋_GBK" w:hAnsi="方正仿宋_GBK" w:eastAsia="方正仿宋_GBK" w:cs="方正仿宋_GBK"/>
          <w:sz w:val="32"/>
          <w:szCs w:val="32"/>
        </w:rPr>
        <w:t>384.35</w:t>
      </w:r>
      <w:r>
        <w:rPr>
          <w:rFonts w:ascii="方正仿宋_GBK" w:hAnsi="方正仿宋_GBK" w:eastAsia="方正仿宋_GBK" w:cs="方正仿宋_GBK"/>
          <w:sz w:val="32"/>
          <w:szCs w:val="32"/>
          <w:shd w:val="clear" w:color="auto" w:fill="FFFFFF"/>
        </w:rPr>
        <w:t>万元，机关运行经费主要用于开支</w:t>
      </w:r>
      <w:r>
        <w:rPr>
          <w:rFonts w:hint="eastAsia" w:ascii="方正仿宋_GBK" w:hAnsi="方正仿宋_GBK" w:eastAsia="方正仿宋_GBK" w:cs="方正仿宋_GBK"/>
          <w:sz w:val="32"/>
          <w:szCs w:val="32"/>
          <w:shd w:val="clear" w:color="auto" w:fill="FFFFFF"/>
          <w:lang w:val="en-US" w:eastAsia="zh-CN"/>
        </w:rPr>
        <w:t>购买货物和服务等的各项公用经费，包括办公及印刷费、邮电费、差旅费、会议费、福利费、日常维护费、专用材料及一般设备购置费、办公用房水电费、办公用房取暖费、办公用房物业管理费、公务用车运行维护费以及其他费用等。</w:t>
      </w:r>
      <w:r>
        <w:rPr>
          <w:rFonts w:ascii="方正仿宋_GBK" w:hAnsi="方正仿宋_GBK" w:eastAsia="方正仿宋_GBK" w:cs="方正仿宋_GBK"/>
          <w:sz w:val="32"/>
          <w:szCs w:val="32"/>
          <w:shd w:val="clear" w:color="auto" w:fill="FFFFFF"/>
        </w:rPr>
        <w:t>机关运行经费较上年支出数增加254.76万元，增长196.59%，主要原因</w:t>
      </w:r>
      <w:r>
        <w:rPr>
          <w:rFonts w:hint="eastAsia" w:ascii="方正仿宋_GBK" w:hAnsi="方正仿宋_GBK" w:eastAsia="方正仿宋_GBK" w:cs="方正仿宋_GBK"/>
          <w:sz w:val="32"/>
          <w:szCs w:val="32"/>
          <w:shd w:val="clear" w:color="auto" w:fill="FFFFFF"/>
          <w:lang w:eastAsia="zh-CN"/>
        </w:rPr>
        <w:t>一</w:t>
      </w:r>
      <w:r>
        <w:rPr>
          <w:rFonts w:ascii="方正仿宋_GBK" w:hAnsi="方正仿宋_GBK" w:eastAsia="方正仿宋_GBK" w:cs="方正仿宋_GBK"/>
          <w:sz w:val="32"/>
          <w:szCs w:val="32"/>
          <w:shd w:val="clear" w:color="auto" w:fill="FFFFFF"/>
        </w:rPr>
        <w:t>是</w:t>
      </w:r>
      <w:r>
        <w:rPr>
          <w:rFonts w:hint="eastAsia" w:ascii="方正仿宋_GBK" w:hAnsi="方正仿宋_GBK" w:eastAsia="方正仿宋_GBK" w:cs="方正仿宋_GBK"/>
          <w:sz w:val="32"/>
          <w:szCs w:val="32"/>
          <w:shd w:val="clear" w:color="auto" w:fill="FFFFFF"/>
          <w:lang w:eastAsia="zh-CN"/>
        </w:rPr>
        <w:t>物价上涨，二是本年度对机关办公楼及老化设施设备的维修维护，导致机关运行成本增加。</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截至2023年12月31日，本单位共有车辆</w:t>
      </w:r>
      <w:r>
        <w:rPr>
          <w:rFonts w:ascii="方正仿宋_GBK" w:hAnsi="方正仿宋_GBK" w:eastAsia="方正仿宋_GBK" w:cs="方正仿宋_GBK"/>
          <w:sz w:val="32"/>
          <w:szCs w:val="32"/>
        </w:rPr>
        <w:t>5</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5</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  2023年度我单位未发生政府采购事项，无相关经费支出。</w:t>
      </w:r>
    </w:p>
    <w:p>
      <w:pPr>
        <w:pStyle w:val="6"/>
        <w:numPr>
          <w:ilvl w:val="0"/>
          <w:numId w:val="1"/>
        </w:numPr>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预算绩效管理情况说明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pPr>
        <w:pStyle w:val="12"/>
        <w:autoSpaceDE w:val="0"/>
        <w:spacing w:before="0" w:beforeAutospacing="0" w:line="600" w:lineRule="exact"/>
        <w:ind w:firstLine="960" w:firstLineChars="300"/>
        <w:rPr>
          <w:rFonts w:hint="eastAsia" w:ascii="方正仿宋_GBK" w:hAnsi="方正仿宋_GBK" w:eastAsia="方正仿宋_GBK" w:cs="方正仿宋_GBK"/>
          <w:sz w:val="32"/>
          <w:szCs w:val="32"/>
          <w:highlight w:val="yellow"/>
          <w:shd w:val="clear" w:color="auto" w:fill="FFFFFF"/>
          <w:lang w:val="en-US" w:eastAsia="zh-CN"/>
        </w:rPr>
      </w:pPr>
      <w:r>
        <w:rPr>
          <w:rFonts w:hint="eastAsia" w:ascii="方正仿宋_GBK" w:hAnsi="方正仿宋_GBK" w:eastAsia="方正仿宋_GBK" w:cs="方正仿宋_GBK"/>
          <w:sz w:val="32"/>
          <w:szCs w:val="32"/>
          <w:shd w:val="clear" w:color="auto" w:fill="FFFFFF"/>
        </w:rPr>
        <w:t>根据预算绩效管理要求，我单位对</w:t>
      </w:r>
      <w:r>
        <w:rPr>
          <w:rFonts w:hint="eastAsia" w:ascii="方正仿宋_GBK" w:hAnsi="方正仿宋_GBK" w:eastAsia="方正仿宋_GBK" w:cs="方正仿宋_GBK"/>
          <w:sz w:val="32"/>
          <w:szCs w:val="32"/>
          <w:shd w:val="clear" w:color="auto" w:fill="FFFFFF"/>
          <w:lang w:val="en-US" w:eastAsia="zh-CN"/>
        </w:rPr>
        <w:t>56</w:t>
      </w:r>
      <w:r>
        <w:rPr>
          <w:rFonts w:hint="eastAsia" w:ascii="方正仿宋_GBK" w:hAnsi="方正仿宋_GBK" w:eastAsia="方正仿宋_GBK" w:cs="方正仿宋_GBK"/>
          <w:sz w:val="32"/>
          <w:szCs w:val="32"/>
          <w:shd w:val="clear" w:color="auto" w:fill="FFFFFF"/>
        </w:rPr>
        <w:t>个二级项目开展了绩效自评，涉及项目支出资金</w:t>
      </w:r>
      <w:r>
        <w:rPr>
          <w:rFonts w:hint="eastAsia" w:ascii="方正仿宋_GBK" w:hAnsi="方正仿宋_GBK" w:eastAsia="方正仿宋_GBK" w:cs="方正仿宋_GBK"/>
          <w:sz w:val="32"/>
          <w:szCs w:val="32"/>
          <w:shd w:val="clear" w:color="auto" w:fill="FFFFFF"/>
          <w:lang w:val="en-US" w:eastAsia="zh-CN"/>
        </w:rPr>
        <w:t>4321.51</w:t>
      </w:r>
      <w:r>
        <w:rPr>
          <w:rFonts w:hint="eastAsia"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。（项目支出绩效自评表详见附件</w:t>
      </w:r>
      <w:r>
        <w:rPr>
          <w:rFonts w:hint="eastAsia" w:ascii="方正仿宋_GBK" w:hAnsi="方正仿宋_GBK" w:eastAsia="方正仿宋_GBK" w:cs="方正仿宋_GBK"/>
          <w:sz w:val="32"/>
          <w:szCs w:val="32"/>
          <w:shd w:val="clear" w:color="auto" w:fill="FFFFFF"/>
          <w:lang w:val="en-US" w:eastAsia="zh-CN"/>
        </w:rPr>
        <w:t>1）</w:t>
      </w:r>
    </w:p>
    <w:p>
      <w:pPr>
        <w:pStyle w:val="11"/>
        <w:numPr>
          <w:ilvl w:val="0"/>
          <w:numId w:val="2"/>
        </w:numPr>
        <w:autoSpaceDE w:val="0"/>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单位绩效评价情况</w:t>
      </w:r>
    </w:p>
    <w:p>
      <w:pPr>
        <w:pStyle w:val="11"/>
        <w:numPr>
          <w:ilvl w:val="0"/>
          <w:numId w:val="0"/>
        </w:numPr>
        <w:autoSpaceDE w:val="0"/>
        <w:ind w:firstLine="960" w:firstLineChars="300"/>
        <w:rPr>
          <w:rFonts w:hint="eastAsia" w:ascii="方正仿宋_GBK" w:hAnsi="方正仿宋_GBK" w:eastAsia="方正仿宋_GBK" w:cs="方正仿宋_GBK"/>
          <w:sz w:val="32"/>
          <w:szCs w:val="32"/>
          <w:shd w:val="clear" w:color="auto" w:fill="FFFFFF"/>
          <w:lang w:val="en-US" w:eastAsia="zh-CN" w:bidi="ar-SA"/>
        </w:rPr>
      </w:pPr>
      <w:r>
        <w:rPr>
          <w:rFonts w:hint="eastAsia" w:ascii="方正仿宋_GBK" w:hAnsi="方正仿宋_GBK" w:eastAsia="方正仿宋_GBK" w:cs="方正仿宋_GBK"/>
          <w:sz w:val="32"/>
          <w:szCs w:val="32"/>
          <w:shd w:val="clear" w:color="auto" w:fill="FFFFFF"/>
          <w:lang w:val="en-US" w:eastAsia="zh-CN" w:bidi="ar-SA"/>
        </w:rPr>
        <w:t>我单位未组织开展绩效评价。</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（三）财政绩效评价情况</w:t>
      </w:r>
    </w:p>
    <w:p>
      <w:pPr>
        <w:pStyle w:val="6"/>
        <w:shd w:val="clear" w:color="auto" w:fill="FFFFFF"/>
        <w:ind w:firstLine="960" w:firstLineChars="300"/>
        <w:rPr>
          <w:rFonts w:hint="eastAsia" w:ascii="方正仿宋_GBK" w:hAnsi="方正仿宋_GBK" w:eastAsia="方正仿宋_GBK" w:cs="方正仿宋_GBK"/>
          <w:sz w:val="32"/>
          <w:szCs w:val="32"/>
          <w:shd w:val="clear" w:color="auto" w:fill="FFFFFF"/>
          <w:lang w:val="en-US" w:eastAsia="zh-CN" w:bidi="ar-SA"/>
        </w:rPr>
      </w:pPr>
      <w:r>
        <w:rPr>
          <w:rFonts w:hint="eastAsia" w:ascii="方正仿宋_GBK" w:hAnsi="方正仿宋_GBK" w:eastAsia="方正仿宋_GBK" w:cs="方正仿宋_GBK"/>
          <w:sz w:val="32"/>
          <w:szCs w:val="32"/>
          <w:shd w:val="clear" w:color="auto" w:fill="FFFFFF"/>
          <w:lang w:val="en-US" w:eastAsia="zh-CN" w:bidi="ar-SA"/>
        </w:rPr>
        <w:t>市财政局未委托第三方对我单位开展绩效评价。</w:t>
      </w:r>
    </w:p>
    <w:p>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 xml:space="preserve">  </w:t>
      </w:r>
      <w:r>
        <w:rPr>
          <w:rStyle w:val="10"/>
          <w:rFonts w:ascii="黑体" w:hAnsi="黑体" w:eastAsia="黑体" w:cs="黑体"/>
          <w:sz w:val="32"/>
          <w:szCs w:val="32"/>
          <w:shd w:val="clear" w:color="auto" w:fill="FFFFFF"/>
        </w:rPr>
        <w:t>六、专业名词解释</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b/>
          <w:bCs/>
          <w:sz w:val="32"/>
          <w:szCs w:val="32"/>
          <w:shd w:val="clear" w:color="auto" w:fill="FFFFFF"/>
        </w:rPr>
        <w:t> </w:t>
      </w:r>
      <w:r>
        <w:rPr>
          <w:rFonts w:ascii="楷体" w:hAnsi="楷体" w:eastAsia="楷体"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（二）事业收入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（三）经营收入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（四）其他收入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（五）使用非财政拨款结余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（六）年初结转和结余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（七）结余分配</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（八）年末结转和结余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（九）基本支出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（十）项目支出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（十一）经营支出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（十二）“三公”经费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（十三）机关运行经费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（十四）工资福利支出（支出经济分类科目类级）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（十五）商品和服务支出（支出经济分类科目类级）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 （十六）对个人和家庭的补助（支出经济分类科目类级）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反映用于对个人和家庭的补助支出。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（十七）其他资本性支出（支出经济分类科目类级）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 xml:space="preserve">  </w:t>
      </w:r>
      <w:r>
        <w:rPr>
          <w:rStyle w:val="10"/>
          <w:rFonts w:ascii="黑体" w:hAnsi="黑体" w:eastAsia="黑体" w:cs="黑体"/>
          <w:sz w:val="32"/>
          <w:szCs w:val="32"/>
          <w:shd w:val="clear" w:color="auto" w:fill="FFFFFF"/>
        </w:rPr>
        <w:t>七、决算公开联系方式及信息反馈渠道</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本单位决算公开信息反馈和联系方式：</w:t>
      </w:r>
      <w:r>
        <w:rPr>
          <w:rFonts w:hint="eastAsia" w:ascii="方正仿宋_GBK" w:hAnsi="方正仿宋_GBK" w:eastAsia="方正仿宋_GBK" w:cs="方正仿宋_GBK"/>
          <w:sz w:val="32"/>
          <w:szCs w:val="32"/>
          <w:shd w:val="clear" w:color="auto" w:fill="FFFFFF"/>
          <w:lang w:eastAsia="zh-CN"/>
        </w:rPr>
        <w:t>罗橙</w:t>
      </w:r>
      <w:r>
        <w:rPr>
          <w:rFonts w:hint="eastAsia" w:ascii="方正仿宋_GBK" w:hAnsi="方正仿宋_GBK" w:eastAsia="方正仿宋_GBK" w:cs="方正仿宋_GBK"/>
          <w:sz w:val="32"/>
          <w:szCs w:val="32"/>
          <w:shd w:val="clear" w:color="auto" w:fill="FFFFFF"/>
          <w:lang w:val="en-US" w:eastAsia="zh-CN"/>
        </w:rPr>
        <w:t xml:space="preserve"> 023-81069618</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p>
    <w:p>
      <w:pPr>
        <w:pStyle w:val="6"/>
        <w:snapToGrid w:val="0"/>
        <w:spacing w:before="0" w:beforeAutospacing="0" w:after="0" w:afterAutospacing="0" w:line="600" w:lineRule="exact"/>
        <w:jc w:val="both"/>
        <w:rPr>
          <w:rFonts w:hint="eastAsia" w:ascii="方正仿宋_GBK" w:hAnsi="方正仿宋_GBK" w:eastAsia="方正仿宋_GBK" w:cs="方正仿宋_GBK"/>
          <w:sz w:val="32"/>
          <w:szCs w:val="32"/>
          <w:shd w:val="clear" w:color="auto" w:fill="FFFFFF"/>
          <w:lang w:val="en-US" w:eastAsia="zh-CN"/>
        </w:rPr>
      </w:pPr>
    </w:p>
    <w:p>
      <w:pPr>
        <w:rPr>
          <w:rFonts w:hint="default" w:cs="宋体"/>
          <w:sz w:val="21"/>
          <w:szCs w:val="21"/>
        </w:rPr>
      </w:pPr>
    </w:p>
    <w:tbl>
      <w:tblPr>
        <w:tblStyle w:val="7"/>
        <w:tblW w:w="15393" w:type="dxa"/>
        <w:tblInd w:w="0" w:type="dxa"/>
        <w:tblLayout w:type="fixed"/>
        <w:tblCellMar>
          <w:top w:w="0" w:type="dxa"/>
          <w:left w:w="0" w:type="dxa"/>
          <w:bottom w:w="0" w:type="dxa"/>
          <w:right w:w="0" w:type="dxa"/>
        </w:tblCellMar>
      </w:tblPr>
      <w:tblGrid>
        <w:gridCol w:w="5122"/>
        <w:gridCol w:w="2020"/>
        <w:gridCol w:w="4809"/>
        <w:gridCol w:w="3442"/>
      </w:tblGrid>
      <w:tr>
        <w:tblPrEx>
          <w:tblCellMar>
            <w:top w:w="0" w:type="dxa"/>
            <w:left w:w="0" w:type="dxa"/>
            <w:bottom w:w="0" w:type="dxa"/>
            <w:right w:w="0" w:type="dxa"/>
          </w:tblCellMar>
        </w:tblPrEx>
        <w:trPr>
          <w:trHeight w:val="232" w:hRule="atLeast"/>
        </w:trPr>
        <w:tc>
          <w:tcPr>
            <w:tcW w:w="15393" w:type="dxa"/>
            <w:gridSpan w:val="4"/>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512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ascii="Arial" w:hAnsi="Arial" w:cs="Arial"/>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ascii="Arial" w:hAnsi="Arial" w:cs="Arial"/>
                <w:color w:val="000000"/>
                <w:sz w:val="20"/>
                <w:szCs w:val="20"/>
              </w:rPr>
            </w:pP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公开01表</w:t>
            </w:r>
          </w:p>
        </w:tc>
      </w:tr>
      <w:tr>
        <w:tblPrEx>
          <w:tblCellMar>
            <w:top w:w="0" w:type="dxa"/>
            <w:left w:w="0" w:type="dxa"/>
            <w:bottom w:w="0" w:type="dxa"/>
            <w:right w:w="0" w:type="dxa"/>
          </w:tblCellMar>
        </w:tblPrEx>
        <w:trPr>
          <w:trHeight w:val="232" w:hRule="atLeast"/>
        </w:trPr>
        <w:tc>
          <w:tcPr>
            <w:tcW w:w="7142"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ascii="Arial" w:hAnsi="Arial" w:cs="Arial"/>
                <w:color w:val="000000"/>
                <w:sz w:val="22"/>
                <w:szCs w:val="22"/>
              </w:rPr>
            </w:pPr>
            <w:r>
              <w:rPr>
                <w:rFonts w:cs="宋体"/>
                <w:color w:val="000000"/>
                <w:sz w:val="20"/>
                <w:szCs w:val="20"/>
              </w:rPr>
              <w:t>公开单位：</w:t>
            </w:r>
            <w:r>
              <w:rPr>
                <w:color w:val="000000"/>
                <w:sz w:val="20"/>
                <w:u w:color="auto"/>
              </w:rPr>
              <w:t>重庆市荣昌区清升镇人民政府本级</w:t>
            </w:r>
          </w:p>
        </w:tc>
        <w:tc>
          <w:tcPr>
            <w:tcW w:w="480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ascii="Arial" w:hAnsi="Arial" w:cs="Arial"/>
                <w:color w:val="000000"/>
                <w:sz w:val="22"/>
                <w:szCs w:val="22"/>
              </w:rPr>
            </w:pP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单位：万元</w:t>
            </w:r>
          </w:p>
        </w:tc>
      </w:tr>
      <w:tr>
        <w:tblPrEx>
          <w:tblCellMar>
            <w:top w:w="0" w:type="dxa"/>
            <w:left w:w="0" w:type="dxa"/>
            <w:bottom w:w="0" w:type="dxa"/>
            <w:right w:w="0" w:type="dxa"/>
          </w:tblCellMar>
        </w:tblPrEx>
        <w:trPr>
          <w:trHeight w:val="243" w:hRule="atLeast"/>
        </w:trPr>
        <w:tc>
          <w:tcPr>
            <w:tcW w:w="7142"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8251"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202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344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一、一般公共预算财政拨款收入</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3,396.93</w:t>
            </w: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一、一般公共服务支出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1,163.90</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二、政府性基金预算财政拨款收入</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199.60</w:t>
            </w: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二、外交支出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三、国有资本经营预算财政拨款收入</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三、国防支出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115.40</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四、上级补助收入</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四、公共安全支出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五、事业收入</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五、教育支出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0.48</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六、经营收入</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六、科学技术支出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七、附属单位上缴收入</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七、文化旅游体育与传媒支出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1.62</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八、其他收入</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八、社会保障和就业支出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246.06</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九、卫生健康支出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38.96</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十、节能环保支出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1.60</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十一、城乡社区支出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116.75</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十二、农林水支出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607.99</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十三、交通运输支出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87.85</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十四、资源勘探工业信息等支出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2.14</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十五、商业服务业等支出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十六、金融支出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十七、援助其他地区支出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十八、自然资源海洋气象等支出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13.03</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十九、住房保障支出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1,018.41</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二十、粮油物资储备支出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二十一、国有资本经营预算支出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二十二、灾害防治及应急管理支出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1.00</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二十三、其他支出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186.35</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rPr>
                <w:rFonts w:hint="default" w:cs="宋体"/>
                <w:b/>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二十四、债务还本支出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二十五、债务付息支出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rPr>
                <w:rFonts w:hint="default" w:cs="宋体"/>
                <w:color w:val="000000"/>
                <w:sz w:val="20"/>
                <w:szCs w:val="20"/>
              </w:rPr>
            </w:pP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rPr>
                <w:rFonts w:hint="default" w:cs="宋体"/>
                <w:color w:val="000000"/>
                <w:sz w:val="20"/>
                <w:szCs w:val="20"/>
              </w:rPr>
            </w:pP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二十六、抗疫特别国债安排的支出</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本年收入合计</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3,596.53</w:t>
            </w: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本年支出合计</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3,601.53</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使用非财政拨款结余和专用结余</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结余分配</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年初结转和结余</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5.00</w:t>
            </w: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年末结转和结余</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53" w:hRule="atLeast"/>
        </w:trPr>
        <w:tc>
          <w:tcPr>
            <w:tcW w:w="5122"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202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3,601.53</w:t>
            </w:r>
            <w:r>
              <w:rPr>
                <w:color w:val="000000"/>
                <w:sz w:val="20"/>
                <w:u w:color="auto"/>
              </w:rPr>
              <w:t xml:space="preserve"> </w:t>
            </w:r>
          </w:p>
        </w:tc>
        <w:tc>
          <w:tcPr>
            <w:tcW w:w="480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344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3,601.53</w:t>
            </w:r>
            <w:r>
              <w:rPr>
                <w:color w:val="000000"/>
                <w:sz w:val="20"/>
                <w:u w:color="auto"/>
              </w:rPr>
              <w:t xml:space="preserve"> </w:t>
            </w:r>
          </w:p>
        </w:tc>
      </w:tr>
    </w:tbl>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15378" w:type="dxa"/>
        <w:tblInd w:w="0" w:type="dxa"/>
        <w:tblLayout w:type="fixed"/>
        <w:tblCellMar>
          <w:top w:w="0" w:type="dxa"/>
          <w:left w:w="0" w:type="dxa"/>
          <w:bottom w:w="0" w:type="dxa"/>
          <w:right w:w="0" w:type="dxa"/>
        </w:tblCellMar>
      </w:tblPr>
      <w:tblGrid>
        <w:gridCol w:w="1702"/>
        <w:gridCol w:w="3171"/>
        <w:gridCol w:w="1233"/>
        <w:gridCol w:w="1233"/>
        <w:gridCol w:w="1233"/>
        <w:gridCol w:w="1233"/>
        <w:gridCol w:w="1366"/>
        <w:gridCol w:w="1307"/>
        <w:gridCol w:w="1439"/>
        <w:gridCol w:w="1461"/>
      </w:tblGrid>
      <w:tr>
        <w:tblPrEx>
          <w:tblCellMar>
            <w:top w:w="0" w:type="dxa"/>
            <w:left w:w="0" w:type="dxa"/>
            <w:bottom w:w="0" w:type="dxa"/>
            <w:right w:w="0" w:type="dxa"/>
          </w:tblCellMar>
        </w:tblPrEx>
        <w:trPr>
          <w:trHeight w:val="641" w:hRule="atLeast"/>
        </w:trPr>
        <w:tc>
          <w:tcPr>
            <w:tcW w:w="15378" w:type="dxa"/>
            <w:gridSpan w:val="10"/>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610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r>
              <w:rPr>
                <w:rFonts w:cs="宋体"/>
                <w:color w:val="000000"/>
                <w:sz w:val="20"/>
                <w:szCs w:val="20"/>
              </w:rPr>
              <w:t>公开单位：</w:t>
            </w:r>
            <w:r>
              <w:rPr>
                <w:color w:val="000000"/>
                <w:sz w:val="20"/>
                <w:u w:color="auto"/>
              </w:rPr>
              <w:t>重庆市荣昌区清升镇人民政府本级</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公开02表</w:t>
            </w:r>
          </w:p>
        </w:tc>
      </w:tr>
      <w:tr>
        <w:tblPrEx>
          <w:tblCellMar>
            <w:top w:w="0" w:type="dxa"/>
            <w:left w:w="0" w:type="dxa"/>
            <w:bottom w:w="0" w:type="dxa"/>
            <w:right w:w="0" w:type="dxa"/>
          </w:tblCellMar>
        </w:tblPrEx>
        <w:trPr>
          <w:trHeight w:val="328" w:hRule="atLeast"/>
        </w:trPr>
        <w:tc>
          <w:tcPr>
            <w:tcW w:w="610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单位：万元</w:t>
            </w:r>
          </w:p>
        </w:tc>
      </w:tr>
      <w:tr>
        <w:tblPrEx>
          <w:tblCellMar>
            <w:top w:w="0" w:type="dxa"/>
            <w:left w:w="0" w:type="dxa"/>
            <w:bottom w:w="0" w:type="dxa"/>
            <w:right w:w="0" w:type="dxa"/>
          </w:tblCellMar>
        </w:tblPrEx>
        <w:trPr>
          <w:trHeight w:val="431" w:hRule="atLeast"/>
        </w:trPr>
        <w:tc>
          <w:tcPr>
            <w:tcW w:w="4873"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1233"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1233"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1233"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2599"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1307"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1439"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1461"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1702"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171"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1366"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13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43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46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1702"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17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366"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3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43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46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1702"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17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366"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3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43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46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1702"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17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23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366"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3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43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46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873"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3,596.53</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3,596.53</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1,163.90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1,163.90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人大事务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12.63</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12.63</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2010106</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人大监督</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2010108</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代表工作</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9.93</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9.93</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926.91</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926.91</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789.34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789.34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137.57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137.57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20113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商贸事务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215.67</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215.67</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2011308</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招商引资</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215.67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215.67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8.69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8.69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2.01</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2.01</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其他组织事务支出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6.68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6.68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国防支出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115.40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115.40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20306</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国防动员</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115.40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115.40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2030699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其他国防动员支出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115.40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115.40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205</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教育支出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0.48</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0.48</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20508</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进修及培训</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0.48</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0.48</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2050803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培训支出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1.62</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1.62</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246.06</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246.06</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0.77</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0.77</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0.77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0.77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民政管理事务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2080299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其他民政管理事务支出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0.45</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0.45</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152.69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152.69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52.12</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52.12</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56.57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56.57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44.00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44.00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6.00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6.00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其他优抚支出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20810</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社会福利</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48.21</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48.21</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老年福利</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2081006</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养老服务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34.97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34.97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残疾人事业</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2081199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其他残疾人事业支出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20820</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临时救助</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2082001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临时救助支出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0.49</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0.49</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特困人员救助供养</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3.75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3.75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2082102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农村特困人员救助供养支出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3.75</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3.75</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20825</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其他生活救助</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21.71</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21.71</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2082502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其他农村生活救助</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21.71</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21.71</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10.39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10.39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10.39</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10.39</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38.96</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38.96</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38.42</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38.42</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公务员医疗补助</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11.60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11.60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6.75</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6.75</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0.54</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0.54</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2101506</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医疗保障经办事务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0.54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0.54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污染防治</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2110302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水体</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116.75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116.75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城乡社区公共设施</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103.50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103.50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2120303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小城镇基础设施建设</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103.50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103.50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21208</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国有土地使用权出让收入安排的支出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13.25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13.25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2120899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其他国有土地使用权出让收入安排的支出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13.25</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13.25</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602.99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602.99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19.32</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19.32</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2130108</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病虫害控制</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4.24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4.24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2130119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防灾救灾</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2130122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农业生产发展</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8.08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8.08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2130153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农田建设</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林业和草原</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28.10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28.10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2130205</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森林资源培育</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26.70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26.70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2130234</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林业草原防灾减灾</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21303</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水利</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2.57</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2.57</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水资源节约管理与保护</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2130315</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抗旱</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0.57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0.57</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巩固脱贫攻坚成果衔接乡村振兴</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104.63</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104.63</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95.63</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95.63</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2130506</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社会发展</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448.37</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448.37</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对村级公益事业建设的补助</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251.84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251.84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196.53</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196.53</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交通运输支出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87.85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87.85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公路水路运输</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71.75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71.75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2140104</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公路建设</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58.50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58.50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2140106</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公路养护</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13.25</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13.25</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21406</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车辆购置税支出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16.10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16.10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2140601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车辆购置税用于公路等基础设施建设支出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16.10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16.10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215</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资源勘探工业信息等支出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2.14</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2.14</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21508</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支持中小企业发展和管理支出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2.14</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2.14</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2150899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其他支持中小企业发展和管理支出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2.14</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自然资源海洋气象等支出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13.03</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13.03</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自然资源事务</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13.03</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13.03</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2200106</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自然资源利用与保护</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13.03</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13.03</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1,018.41</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1,018.41</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保障性安居工程支出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975.28</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975.28</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2210108</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老旧小区改造</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103.16</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103.16</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2210199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其他保障性安居工程支出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872.13</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872.13</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43.12</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43.12</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43.12</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43.12</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22407</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自然灾害救灾及恢复重建支出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2240799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其他自然灾害救灾及恢复重建支出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186.35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186.35</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22904</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其他政府性基金及对应专项债务收入安排的支出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162.79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162.79</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2290402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其他地方自行试点项目收益专项债券收入安排的支出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162.79</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162.79</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22960</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彩票公益金安排的支出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23.56</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23.56</w:t>
            </w:r>
            <w:r>
              <w:rPr>
                <w:b/>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2296002</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用于社会福利的彩票公益金支出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18.78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18.78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170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2296006</w:t>
            </w:r>
          </w:p>
        </w:tc>
        <w:tc>
          <w:tcPr>
            <w:tcW w:w="317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用于残疾人事业的彩票公益金支出</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4.78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4.78</w:t>
            </w: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7"/>
        <w:tblW w:w="15378" w:type="dxa"/>
        <w:tblInd w:w="0" w:type="dxa"/>
        <w:tblLayout w:type="fixed"/>
        <w:tblCellMar>
          <w:top w:w="0" w:type="dxa"/>
          <w:left w:w="0" w:type="dxa"/>
          <w:bottom w:w="0" w:type="dxa"/>
          <w:right w:w="0" w:type="dxa"/>
        </w:tblCellMar>
      </w:tblPr>
      <w:tblGrid>
        <w:gridCol w:w="1803"/>
        <w:gridCol w:w="3355"/>
        <w:gridCol w:w="1701"/>
        <w:gridCol w:w="1701"/>
        <w:gridCol w:w="1701"/>
        <w:gridCol w:w="1685"/>
        <w:gridCol w:w="1685"/>
        <w:gridCol w:w="1747"/>
      </w:tblGrid>
      <w:tr>
        <w:tblPrEx>
          <w:tblCellMar>
            <w:top w:w="0" w:type="dxa"/>
            <w:left w:w="0" w:type="dxa"/>
            <w:bottom w:w="0" w:type="dxa"/>
            <w:right w:w="0" w:type="dxa"/>
          </w:tblCellMar>
        </w:tblPrEx>
        <w:trPr>
          <w:trHeight w:val="654" w:hRule="atLeast"/>
        </w:trPr>
        <w:tc>
          <w:tcPr>
            <w:tcW w:w="15378" w:type="dxa"/>
            <w:gridSpan w:val="8"/>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6859"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r>
              <w:rPr>
                <w:rFonts w:cs="宋体"/>
                <w:color w:val="000000"/>
                <w:sz w:val="20"/>
                <w:szCs w:val="20"/>
              </w:rPr>
              <w:t xml:space="preserve">公开单位： </w:t>
            </w:r>
            <w:r>
              <w:rPr>
                <w:color w:val="000000"/>
                <w:sz w:val="20"/>
                <w:u w:color="auto"/>
              </w:rPr>
              <w:t xml:space="preserve">重庆市荣昌区清升镇人民政府本级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公开03表</w:t>
            </w:r>
          </w:p>
        </w:tc>
      </w:tr>
      <w:tr>
        <w:tblPrEx>
          <w:tblCellMar>
            <w:top w:w="0" w:type="dxa"/>
            <w:left w:w="0" w:type="dxa"/>
            <w:bottom w:w="0" w:type="dxa"/>
            <w:right w:w="0" w:type="dxa"/>
          </w:tblCellMar>
        </w:tblPrEx>
        <w:trPr>
          <w:trHeight w:val="342" w:hRule="atLeast"/>
        </w:trPr>
        <w:tc>
          <w:tcPr>
            <w:tcW w:w="685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单位：万元</w:t>
            </w:r>
          </w:p>
        </w:tc>
      </w:tr>
      <w:tr>
        <w:tblPrEx>
          <w:tblCellMar>
            <w:top w:w="0" w:type="dxa"/>
            <w:left w:w="0" w:type="dxa"/>
            <w:bottom w:w="0" w:type="dxa"/>
            <w:right w:w="0" w:type="dxa"/>
          </w:tblCellMar>
        </w:tblPrEx>
        <w:trPr>
          <w:trHeight w:val="362" w:hRule="atLeast"/>
        </w:trPr>
        <w:tc>
          <w:tcPr>
            <w:tcW w:w="5158"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1701"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1701"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701"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1685"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1685"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1747"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1803"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355"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68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68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4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80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35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68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68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4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80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35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68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68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4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80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35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68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68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4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5158"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3,601.53</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1,023.58</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2,577.95</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1,163.90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789.34</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374.56</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人大事务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12.63</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12.63</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2010106</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人大监督</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2.70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2010108</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代表工作</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9.93</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9.93</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926.91</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789.34</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137.57</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789.34</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789.34</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137.57</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137.57</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20113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商贸事务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215.67</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215.67</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2011308</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招商引资</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215.67</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215.67</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8.69</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8.69</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2.01</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2.01</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其他组织事务支出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6.68</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6.68</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国防支出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115.40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115.40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20306</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国防动员</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115.40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115.40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2030699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其他国防动员支出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115.40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115.40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205</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教育支出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0.48</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0.48</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20508</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进修及培训</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0.48</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0.48</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2050803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培训支出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0.48</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0.48</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1.62</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1.62</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246.06</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152.69</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93.37</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0.77</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0.77</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0.77</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0.77</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民政管理事务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0.45</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0.45</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2080299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其他民政管理事务支出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0.45</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0.45</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152.69</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152.69</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52.12</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52.12</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56.57</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56.57</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44.00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44.00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6.00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6.00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其他优抚支出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6.00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6.00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20810</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社会福利</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48.21</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48.21</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老年福利</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13.24</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13.24</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2081006</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养老服务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34.97</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34.97</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残疾人事业</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2081199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其他残疾人事业支出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20820</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临时救助</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0.49</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0.49</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2082001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临时救助支出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0.49</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0.49</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特困人员救助供养</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3.75</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3.75</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2082102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农村特困人员救助供养支出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3.75</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3.75</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20825</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其他生活救助</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21.71</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21.71</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2082502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其他农村生活救助</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21.71</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21.71</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10.39</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10.39</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10.39</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10.39</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38.96</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38.42</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0.54</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38.42</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38.42</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20.08</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20.08</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公务员医疗补助</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11.60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11.60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6.75</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6.75</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0.54</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0.54</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2101506</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医疗保障经办事务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0.54</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0.54</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污染防治</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2110302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水体</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116.75</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116.75</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城乡社区公共设施</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103.50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103.50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2120303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小城镇基础设施建设</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103.50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103.50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21208</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国有土地使用权出让收入安排的支出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13.25</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13.25</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2120899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其他国有土地使用权出让收入安排的支出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13.25</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13.25</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607.99</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607.99</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19.32</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19.32</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2130108</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病虫害控制</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4.24</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4.24</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2130119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防灾救灾</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4.00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4.00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2130122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农业生产发展</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8.08</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8.08</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2130153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农田建设</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3.00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3.00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林业和草原</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28.10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28.10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2130205</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森林资源培育</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26.70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26.70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2130234</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林业草原防灾减灾</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21303</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水利</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7.57</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7.57</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水资源节约管理与保护</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2.00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2130315</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抗旱</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0.57</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0.57</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江河湖库水系综合整治</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5.00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5.00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巩固脱贫攻坚成果衔接乡村振兴</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104.63</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104.63</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95.63</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95.63</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2130506</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社会发展</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9.00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9.00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448.37</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448.37</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对村级公益事业建设的补助</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251.84</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251.84</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196.53</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196.53</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交通运输支出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87.85</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87.85</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公路水路运输</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71.75</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71.75</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2140104</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公路建设</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58.50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58.50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2140106</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公路养护</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13.25</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13.25</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21406</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车辆购置税支出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16.10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16.10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2140601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车辆购置税用于公路等基础设施建设支出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16.10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16.10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215</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资源勘探工业信息等支出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2.14</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2.14</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21508</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支持中小企业发展和管理支出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2.14</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2.14</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2150899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其他支持中小企业发展和管理支出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2.14</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2.14</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自然资源海洋气象等支出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13.03</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13.03</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自然资源事务</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13.03</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13.03</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2200106</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自然资源利用与保护</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13.03</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13.03</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1,018.41</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43.12</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975.28</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保障性安居工程支出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975.28</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975.28</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2210108</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老旧小区改造</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103.16</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103.16</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2210199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其他保障性安居工程支出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872.13</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872.13</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43.12</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43.12</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43.12</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43.12</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22407</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自然灾害救灾及恢复重建支出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1.00</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2240799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其他自然灾害救灾及恢复重建支出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1.00</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186.35</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186.35</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22904</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其他政府性基金及对应专项债务收入安排的支出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162.79</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162.79</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2290402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其他地方自行试点项目收益专项债券收入安排的支出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162.79</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162.79</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22960</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彩票公益金安排的支出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23.56</w:t>
            </w:r>
            <w:r>
              <w:rPr>
                <w:b/>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23.56</w:t>
            </w:r>
            <w:r>
              <w:rPr>
                <w:b/>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2296002</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用于社会福利的彩票公益金支出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18.78</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18.78</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180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2296006</w:t>
            </w:r>
          </w:p>
        </w:tc>
        <w:tc>
          <w:tcPr>
            <w:tcW w:w="335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用于残疾人事业的彩票公益金支出</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4.78</w:t>
            </w: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4.78</w:t>
            </w: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7"/>
        <w:tblW w:w="14732" w:type="dxa"/>
        <w:tblInd w:w="0" w:type="dxa"/>
        <w:tblLayout w:type="fixed"/>
        <w:tblCellMar>
          <w:top w:w="0" w:type="dxa"/>
          <w:left w:w="0" w:type="dxa"/>
          <w:bottom w:w="0" w:type="dxa"/>
          <w:right w:w="0" w:type="dxa"/>
        </w:tblCellMar>
      </w:tblPr>
      <w:tblGrid>
        <w:gridCol w:w="2979"/>
        <w:gridCol w:w="1526"/>
        <w:gridCol w:w="3191"/>
        <w:gridCol w:w="1700"/>
        <w:gridCol w:w="1700"/>
        <w:gridCol w:w="1700"/>
        <w:gridCol w:w="1936"/>
      </w:tblGrid>
      <w:tr>
        <w:tblPrEx>
          <w:tblCellMar>
            <w:top w:w="0" w:type="dxa"/>
            <w:left w:w="0" w:type="dxa"/>
            <w:bottom w:w="0" w:type="dxa"/>
            <w:right w:w="0" w:type="dxa"/>
          </w:tblCellMar>
        </w:tblPrEx>
        <w:trPr>
          <w:trHeight w:val="90" w:hRule="atLeast"/>
        </w:trPr>
        <w:tc>
          <w:tcPr>
            <w:tcW w:w="14732" w:type="dxa"/>
            <w:gridSpan w:val="7"/>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769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r>
              <w:rPr>
                <w:rFonts w:cs="宋体"/>
                <w:color w:val="000000"/>
                <w:sz w:val="20"/>
                <w:szCs w:val="20"/>
              </w:rPr>
              <w:t xml:space="preserve">公开单位： </w:t>
            </w:r>
            <w:r>
              <w:rPr>
                <w:color w:val="000000"/>
                <w:sz w:val="20"/>
                <w:u w:color="auto"/>
              </w:rPr>
              <w:t>重庆市荣昌区清升镇人民政府本级</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40" w:lineRule="exact"/>
              <w:jc w:val="right"/>
              <w:textAlignment w:val="bottom"/>
              <w:rPr>
                <w:rFonts w:hint="default" w:cs="宋体"/>
                <w:color w:val="000000"/>
                <w:sz w:val="20"/>
                <w:szCs w:val="20"/>
              </w:rPr>
            </w:pPr>
            <w:r>
              <w:rPr>
                <w:rFonts w:cs="宋体"/>
                <w:color w:val="000000"/>
                <w:sz w:val="20"/>
                <w:szCs w:val="20"/>
              </w:rPr>
              <w:t>公开04表</w:t>
            </w:r>
          </w:p>
        </w:tc>
      </w:tr>
      <w:tr>
        <w:tblPrEx>
          <w:tblCellMar>
            <w:top w:w="0" w:type="dxa"/>
            <w:left w:w="0" w:type="dxa"/>
            <w:bottom w:w="0" w:type="dxa"/>
            <w:right w:w="0" w:type="dxa"/>
          </w:tblCellMar>
        </w:tblPrEx>
        <w:trPr>
          <w:trHeight w:val="90" w:hRule="atLeast"/>
        </w:trPr>
        <w:tc>
          <w:tcPr>
            <w:tcW w:w="769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单位：万元</w:t>
            </w:r>
          </w:p>
        </w:tc>
      </w:tr>
      <w:tr>
        <w:tblPrEx>
          <w:tblCellMar>
            <w:top w:w="0" w:type="dxa"/>
            <w:left w:w="0" w:type="dxa"/>
            <w:bottom w:w="0" w:type="dxa"/>
            <w:right w:w="0" w:type="dxa"/>
          </w:tblCellMar>
        </w:tblPrEx>
        <w:trPr>
          <w:trHeight w:val="90" w:hRule="atLeast"/>
        </w:trPr>
        <w:tc>
          <w:tcPr>
            <w:tcW w:w="4505"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10227" w:type="dxa"/>
            <w:gridSpan w:val="5"/>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2979"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1526"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3191"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7036" w:type="dxa"/>
            <w:gridSpan w:val="4"/>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297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1526"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3191"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170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170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19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一、一般公共预算财政拨款</w:t>
            </w: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3,396.93</w:t>
            </w:r>
            <w:r>
              <w:rPr>
                <w:color w:val="000000"/>
                <w:sz w:val="18"/>
                <w:u w:color="auto"/>
              </w:rPr>
              <w:t xml:space="preserve"> </w:t>
            </w: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一、一般公共服务支出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1,163.90</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1,163.90</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二、政府性基金预算财政拨款</w:t>
            </w: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199.60</w:t>
            </w:r>
            <w:r>
              <w:rPr>
                <w:color w:val="000000"/>
                <w:sz w:val="18"/>
                <w:u w:color="auto"/>
              </w:rPr>
              <w:t xml:space="preserve"> </w:t>
            </w: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二、外交支出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三、国有资本经营预算财政拨款</w:t>
            </w: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三、国防支出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115.40</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115.40</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四、公共安全支出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五、教育支出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0.48</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0.48</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六、科学技术支出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七、文化旅游体育与传媒支出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1.62</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1.62</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八、社会保障和就业支出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246.06</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246.06</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九、卫生健康支出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38.96</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38.96</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十、节能环保支出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1.60</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1.60</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十一、城乡社区支出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116.75</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103.50</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13.25</w:t>
            </w: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十二、农林水支出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607.99</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607.99</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十三、交通运输支出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87.85</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87.85</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十四、资源勘探工业信息等支出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2.14</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2.14</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十五、商业服务业等支出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十六、金融支出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十七、援助其他地区支出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十八、自然资源海洋气象等支出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13.03</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13.03</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十九、住房保障支出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1,018.41</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1,018.41</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二十、粮油物资储备支出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二十一、国有资本经营预算支出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二十二、灾害防治及应急管理支出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1.00</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1.00</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二十三、其他支出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186.35</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186.35</w:t>
            </w: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二十四、债务还本支出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二十五、债务付息支出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二十六、抗疫特别国债安排的支出</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本年收入合计</w:t>
            </w: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3,596.53</w:t>
            </w:r>
            <w:r>
              <w:rPr>
                <w:color w:val="000000"/>
                <w:sz w:val="18"/>
                <w:u w:color="auto"/>
              </w:rPr>
              <w:t xml:space="preserve"> </w:t>
            </w: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本年支出合计</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3,601.53</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3,401.93</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199.60</w:t>
            </w: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年初财政拨款结转和结余</w:t>
            </w: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5.00</w:t>
            </w:r>
            <w:r>
              <w:rPr>
                <w:color w:val="000000"/>
                <w:sz w:val="18"/>
                <w:u w:color="auto"/>
              </w:rPr>
              <w:t xml:space="preserve"> </w:t>
            </w: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年末财政拨款结转和结余</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一般公共预算财政拨款</w:t>
            </w: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5.00</w:t>
            </w:r>
            <w:r>
              <w:rPr>
                <w:color w:val="000000"/>
                <w:sz w:val="18"/>
                <w:u w:color="auto"/>
              </w:rPr>
              <w:t xml:space="preserve"> </w:t>
            </w:r>
          </w:p>
        </w:tc>
        <w:tc>
          <w:tcPr>
            <w:tcW w:w="319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政府性基金预算财政拨款</w:t>
            </w: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国有资本经营预算财政拨款</w:t>
            </w: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2979"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52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3,601.53</w:t>
            </w:r>
            <w:r>
              <w:rPr>
                <w:color w:val="000000"/>
                <w:sz w:val="18"/>
                <w:u w:color="auto"/>
              </w:rPr>
              <w:t xml:space="preserve"> </w:t>
            </w:r>
          </w:p>
        </w:tc>
        <w:tc>
          <w:tcPr>
            <w:tcW w:w="319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3,601.53</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3,401.93</w:t>
            </w:r>
            <w:r>
              <w:rPr>
                <w:color w:val="000000"/>
                <w:sz w:val="18"/>
                <w:u w:color="auto"/>
              </w:rPr>
              <w:t xml:space="preserve"> </w:t>
            </w:r>
          </w:p>
        </w:tc>
        <w:tc>
          <w:tcPr>
            <w:tcW w:w="170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199.60</w:t>
            </w:r>
            <w:r>
              <w:rPr>
                <w:color w:val="000000"/>
                <w:sz w:val="18"/>
                <w:u w:color="auto"/>
              </w:rPr>
              <w:t xml:space="preserve"> </w:t>
            </w:r>
          </w:p>
        </w:tc>
        <w:tc>
          <w:tcPr>
            <w:tcW w:w="19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15378" w:type="dxa"/>
        <w:tblInd w:w="0" w:type="dxa"/>
        <w:tblLayout w:type="fixed"/>
        <w:tblCellMar>
          <w:top w:w="0" w:type="dxa"/>
          <w:left w:w="0" w:type="dxa"/>
          <w:bottom w:w="0" w:type="dxa"/>
          <w:right w:w="0" w:type="dxa"/>
        </w:tblCellMar>
      </w:tblPr>
      <w:tblGrid>
        <w:gridCol w:w="1857"/>
        <w:gridCol w:w="3549"/>
        <w:gridCol w:w="3319"/>
        <w:gridCol w:w="3319"/>
        <w:gridCol w:w="3334"/>
      </w:tblGrid>
      <w:tr>
        <w:tblPrEx>
          <w:tblCellMar>
            <w:top w:w="0" w:type="dxa"/>
            <w:left w:w="0" w:type="dxa"/>
            <w:bottom w:w="0" w:type="dxa"/>
            <w:right w:w="0" w:type="dxa"/>
          </w:tblCellMar>
        </w:tblPrEx>
        <w:trPr>
          <w:trHeight w:val="510" w:hRule="atLeast"/>
        </w:trPr>
        <w:tc>
          <w:tcPr>
            <w:tcW w:w="15378" w:type="dxa"/>
            <w:gridSpan w:val="5"/>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8725"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r>
              <w:rPr>
                <w:rFonts w:cs="宋体"/>
                <w:color w:val="000000"/>
                <w:sz w:val="20"/>
                <w:szCs w:val="20"/>
              </w:rPr>
              <w:t xml:space="preserve">公开单位： </w:t>
            </w:r>
            <w:r>
              <w:rPr>
                <w:color w:val="000000"/>
                <w:sz w:val="20"/>
                <w:u w:color="auto"/>
              </w:rPr>
              <w:t>重庆市荣昌区清升镇人民政府本级</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公开05表</w:t>
            </w:r>
          </w:p>
        </w:tc>
      </w:tr>
      <w:tr>
        <w:tblPrEx>
          <w:tblCellMar>
            <w:top w:w="0" w:type="dxa"/>
            <w:left w:w="0" w:type="dxa"/>
            <w:bottom w:w="0" w:type="dxa"/>
            <w:right w:w="0" w:type="dxa"/>
          </w:tblCellMar>
        </w:tblPrEx>
        <w:trPr>
          <w:trHeight w:val="285" w:hRule="atLeast"/>
        </w:trPr>
        <w:tc>
          <w:tcPr>
            <w:tcW w:w="8725"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单位：万元</w:t>
            </w:r>
          </w:p>
        </w:tc>
      </w:tr>
      <w:tr>
        <w:tblPrEx>
          <w:tblCellMar>
            <w:top w:w="0" w:type="dxa"/>
            <w:left w:w="0" w:type="dxa"/>
            <w:bottom w:w="0" w:type="dxa"/>
            <w:right w:w="0" w:type="dxa"/>
          </w:tblCellMar>
        </w:tblPrEx>
        <w:trPr>
          <w:trHeight w:val="308" w:hRule="atLeast"/>
        </w:trPr>
        <w:tc>
          <w:tcPr>
            <w:tcW w:w="5406"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9972" w:type="dxa"/>
            <w:gridSpan w:val="3"/>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1857"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549"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3319"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319"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3334"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185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54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31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31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334"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185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54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31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31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334"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5406"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3,401.93</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1,023.58</w:t>
            </w:r>
            <w:r>
              <w:rPr>
                <w:b/>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2,378.35</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1,163.90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789.34</w:t>
            </w:r>
            <w:r>
              <w:rPr>
                <w:b/>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374.56</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人大事务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12.63</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12.63</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2010106</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人大监督</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2.70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2.70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2010108</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代表工作</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9.93</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9.93</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926.91</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789.34</w:t>
            </w:r>
            <w:r>
              <w:rPr>
                <w:b/>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137.57</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789.34</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789.34</w:t>
            </w: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137.57</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137.57</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20113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商贸事务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215.67</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215.67</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2011308</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招商引资</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215.67</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215.67</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8.69</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8.69</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2013202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2.01</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2.01</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其他组织事务支出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6.68</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6.68</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国防支出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115.40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115.40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20306</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国防动员</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115.40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115.40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2030699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其他国防动员支出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115.40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115.40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205</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教育支出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0.48</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0.48</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20508</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进修及培训</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0.48</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0.48</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2050803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培训支出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0.48</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0.48</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1.62</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1.62</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1.62</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1.62</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其他文化和旅游支出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1.62</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1.62</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246.06</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152.69</w:t>
            </w:r>
            <w:r>
              <w:rPr>
                <w:b/>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93.37</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0.77</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0.77</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0.77</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0.77</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民政管理事务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0.45</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0.45</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2080299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其他民政管理事务支出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0.45</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0.45</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152.69</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152.69</w:t>
            </w:r>
            <w:r>
              <w:rPr>
                <w:b/>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52.12</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52.12</w:t>
            </w: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56.57</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56.57</w:t>
            </w: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44.00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44.00</w:t>
            </w: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6.00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6.00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其他优抚支出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6.00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6.00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20810</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社会福利</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48.21</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48.21</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2081002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老年福利</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13.24</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13.24</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2081006</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养老服务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34.97</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34.97</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20811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残疾人事业</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2081199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其他残疾人事业支出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20820</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临时救助</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0.49</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0.49</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2082001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临时救助支出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0.49</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0.49</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特困人员救助供养</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3.75</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3.75</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2082102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农村特困人员救助供养支出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3.75</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3.75</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20825</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其他生活救助</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21.71</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21.71</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2082502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其他农村生活救助</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21.71</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21.71</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10.39</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10.39</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10.39</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10.39</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38.96</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38.42</w:t>
            </w:r>
            <w:r>
              <w:rPr>
                <w:b/>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0.54</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38.42</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38.42</w:t>
            </w:r>
            <w:r>
              <w:rPr>
                <w:b/>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20.08</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20.08</w:t>
            </w: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公务员医疗补助</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11.60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11.60</w:t>
            </w: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6.75</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6.75</w:t>
            </w: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0.54</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0.54</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2101506</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医疗保障经办事务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0.54</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0.54</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污染防治</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2110302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水体</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103.50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103.50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21203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城乡社区公共设施</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103.50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103.50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2120303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小城镇基础设施建设</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103.50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103.50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607.99</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607.99</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19.32</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19.32</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2130108</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病虫害控制</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4.24</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4.24</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2130119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防灾救灾</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4.00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4.00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2130122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农业生产发展</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8.08</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8.08</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2130153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农田建设</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3.00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3.00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林业和草原</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28.10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28.10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2130205</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森林资源培育</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26.70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26.70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2130234</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林业草原防灾减灾</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1.40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1.40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21303</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水利</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7.57</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7.57</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水资源节约管理与保护</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2.00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2.00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2130315</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抗旱</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0.57</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0.57</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2130319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江河湖库水系综合整治</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5.00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5.00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巩固脱贫攻坚成果衔接乡村振兴</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104.63</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104.63</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95.63</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95.63</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2130506</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社会发展</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9.00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9.00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448.37</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448.37</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对村级公益事业建设的补助</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251.84</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251.84</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196.53</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196.53</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交通运输支出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87.85</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87.85</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公路水路运输</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71.75</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71.75</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2140104</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公路建设</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58.50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58.50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2140106</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公路养护</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13.25</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13.25</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21406</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车辆购置税支出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16.10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16.10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2140601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车辆购置税用于公路等基础设施建设支出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16.10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16.10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215</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资源勘探工业信息等支出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2.14</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2.14</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21508</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支持中小企业发展和管理支出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2.14</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2.14</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2150899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其他支持中小企业发展和管理支出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2.14</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2.14</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自然资源海洋气象等支出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13.03</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13.03</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22001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自然资源事务</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13.03</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13.03</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2200106</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自然资源利用与保护</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13.03</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13.03</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1,018.41</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43.12</w:t>
            </w:r>
            <w:r>
              <w:rPr>
                <w:b/>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975.28</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保障性安居工程支出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975.28</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975.28</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2210108</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老旧小区改造</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103.16</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103.16</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2210199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其他保障性安居工程支出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872.13</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872.13</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43.12</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43.12</w:t>
            </w:r>
            <w:r>
              <w:rPr>
                <w:b/>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43.12</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43.12</w:t>
            </w: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22407</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自然灾害救灾及恢复重建支出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1.00</w:t>
            </w:r>
            <w:r>
              <w:rPr>
                <w:b/>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1.00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185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2240799</w:t>
            </w:r>
          </w:p>
        </w:tc>
        <w:tc>
          <w:tcPr>
            <w:tcW w:w="354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其他自然灾害救灾及恢复重建支出</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1.00</w:t>
            </w:r>
            <w:r>
              <w:rPr>
                <w:color w:val="000000"/>
                <w:sz w:val="20"/>
                <w:u w:color="auto"/>
              </w:rPr>
              <w:t xml:space="preserve"> </w:t>
            </w:r>
          </w:p>
        </w:tc>
        <w:tc>
          <w:tcPr>
            <w:tcW w:w="331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1.00</w:t>
            </w:r>
            <w:r>
              <w:rPr>
                <w:color w:val="000000"/>
                <w:sz w:val="20"/>
                <w:u w:color="auto"/>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7"/>
        <w:tblW w:w="15360" w:type="dxa"/>
        <w:tblInd w:w="0" w:type="dxa"/>
        <w:tblLayout w:type="fixed"/>
        <w:tblCellMar>
          <w:top w:w="0" w:type="dxa"/>
          <w:left w:w="0" w:type="dxa"/>
          <w:bottom w:w="0" w:type="dxa"/>
          <w:right w:w="0" w:type="dxa"/>
        </w:tblCellMar>
      </w:tblPr>
      <w:tblGrid>
        <w:gridCol w:w="605"/>
        <w:gridCol w:w="2740"/>
        <w:gridCol w:w="1376"/>
        <w:gridCol w:w="836"/>
        <w:gridCol w:w="1923"/>
        <w:gridCol w:w="1656"/>
        <w:gridCol w:w="808"/>
        <w:gridCol w:w="3527"/>
        <w:gridCol w:w="1889"/>
      </w:tblGrid>
      <w:tr>
        <w:tblPrEx>
          <w:tblCellMar>
            <w:top w:w="0" w:type="dxa"/>
            <w:left w:w="0" w:type="dxa"/>
            <w:bottom w:w="0" w:type="dxa"/>
            <w:right w:w="0" w:type="dxa"/>
          </w:tblCellMar>
        </w:tblPrEx>
        <w:trPr>
          <w:trHeight w:val="90" w:hRule="atLeast"/>
        </w:trPr>
        <w:tc>
          <w:tcPr>
            <w:tcW w:w="15360" w:type="dxa"/>
            <w:gridSpan w:val="9"/>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90" w:hRule="atLeast"/>
        </w:trPr>
        <w:tc>
          <w:tcPr>
            <w:tcW w:w="5557" w:type="dxa"/>
            <w:gridSpan w:val="4"/>
            <w:vMerge w:val="restart"/>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r>
              <w:rPr>
                <w:rFonts w:cs="宋体"/>
                <w:color w:val="000000"/>
                <w:sz w:val="20"/>
                <w:szCs w:val="20"/>
              </w:rPr>
              <w:t xml:space="preserve">公开单位： </w:t>
            </w:r>
            <w:r>
              <w:rPr>
                <w:color w:val="000000"/>
                <w:sz w:val="20"/>
                <w:u w:color="auto"/>
              </w:rPr>
              <w:t>重庆市荣昌区清升镇人民政府本级</w:t>
            </w:r>
          </w:p>
        </w:tc>
        <w:tc>
          <w:tcPr>
            <w:tcW w:w="192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80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3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公开06表</w:t>
            </w:r>
          </w:p>
        </w:tc>
      </w:tr>
      <w:tr>
        <w:tblPrEx>
          <w:tblCellMar>
            <w:top w:w="0" w:type="dxa"/>
            <w:left w:w="0" w:type="dxa"/>
            <w:bottom w:w="0" w:type="dxa"/>
            <w:right w:w="0" w:type="dxa"/>
          </w:tblCellMar>
        </w:tblPrEx>
        <w:trPr>
          <w:trHeight w:val="90" w:hRule="atLeast"/>
        </w:trPr>
        <w:tc>
          <w:tcPr>
            <w:tcW w:w="5557" w:type="dxa"/>
            <w:gridSpan w:val="4"/>
            <w:vMerge w:val="continue"/>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923"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80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352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单位：万元</w:t>
            </w:r>
          </w:p>
        </w:tc>
      </w:tr>
      <w:tr>
        <w:tblPrEx>
          <w:tblCellMar>
            <w:top w:w="0" w:type="dxa"/>
            <w:left w:w="0" w:type="dxa"/>
            <w:bottom w:w="0" w:type="dxa"/>
            <w:right w:w="0" w:type="dxa"/>
          </w:tblCellMar>
        </w:tblPrEx>
        <w:trPr>
          <w:trHeight w:val="90" w:hRule="atLeast"/>
        </w:trPr>
        <w:tc>
          <w:tcPr>
            <w:tcW w:w="4721" w:type="dxa"/>
            <w:gridSpan w:val="3"/>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人员经费</w:t>
            </w:r>
          </w:p>
        </w:tc>
        <w:tc>
          <w:tcPr>
            <w:tcW w:w="10639" w:type="dxa"/>
            <w:gridSpan w:val="6"/>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605"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740"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376"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836"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923"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656"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808"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3527"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889"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60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2740"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1376"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836"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1923"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1656"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808"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352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c>
          <w:tcPr>
            <w:tcW w:w="1889"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工资福利支出</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593.84</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商品和服务支出</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383.50</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资本性支出</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0.85</w:t>
            </w: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30101</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基本工资</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117.85</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30201</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办公费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118.38</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31001</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房屋建筑物购建</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30102</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津贴补贴</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88.05</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30202</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印刷费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16.09</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31002</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办公设备购置</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0.85</w:t>
            </w: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30103</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奖金</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170.52</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30203</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咨询费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4.63</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31003</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专用设备购置</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30106</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伙食补助费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30204</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手续费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31005</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基础设施建设</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30107</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绩效工资</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30205</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水费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4.40</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31006</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大型修缮</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30108</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52.12</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30206</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电费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11.97</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31007</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30109</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职业年金缴费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56.57</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30207</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邮电费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30.84</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31008</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物资储备</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30110</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20.08</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30208</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取暖费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31009</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土地补偿</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30111</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11.60</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30209</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物业管理费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31010</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安置补助</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30112</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其他社会保障缴费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4.02</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30211</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差旅费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12.88</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31011</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30113</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住房公积金</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43.12</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30212</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因公出国（境）费用</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31012</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拆迁补偿</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30114</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医疗费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3.68</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30213</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维修（护）费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2.46</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31013</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公务用车购置</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30199</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其他工资福利支出</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26.24</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30214</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租赁费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3.37</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31019</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其他交通工具购置</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对个人和家庭的补助</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45.39</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30215</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会议费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0.29</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31021</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文物和陈列品购置</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30301</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离休费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30216</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培训费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0.61</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31022</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无形资产购置</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30302</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退休费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30217</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公务接待费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4.04</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31099</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其他资本性支出</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30303</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退职（役）费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30218</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专用材料费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对企业补助</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30304</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抚恤金</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30224</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被装购置费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31201</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资本金注入</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30305</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生活补助</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32.26</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30225</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专用燃料费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31203</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30306</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救济费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30226</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劳务费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52.01</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31204</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费用补贴</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30307</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医疗费补助</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8.13</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30227</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委托业务费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13.82</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31205</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利息补贴</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30308</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助学金</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30228</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工会经费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31.90</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31299</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其他对企业补助</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30309</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奖励金</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4.99</w:t>
            </w: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30229</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福利费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0.03</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其他支出</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30310</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个人农业生产补贴</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30231</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7.30</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39907</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国家赔偿费用支出</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30311</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代缴社会保险费</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30239</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其他交通费用</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27.10</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39908</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30399</w:t>
            </w: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30240</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税金及附加费用</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3.88</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39909</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经常性赠与</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30299</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37.50</w:t>
            </w: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39910</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资本性赠与</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债务利息及费用支出</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39999</w:t>
            </w: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其他支出</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30701</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国内债务付息</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30702</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国外债务付息</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30703</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国内债务发行费用</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60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30704</w:t>
            </w:r>
          </w:p>
        </w:tc>
        <w:tc>
          <w:tcPr>
            <w:tcW w:w="1923"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国外债务发行费用</w:t>
            </w:r>
          </w:p>
        </w:tc>
        <w:tc>
          <w:tcPr>
            <w:tcW w:w="165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3527"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8"/>
                <w:szCs w:val="18"/>
              </w:rPr>
            </w:pP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3345"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人员经费合计</w:t>
            </w:r>
          </w:p>
        </w:tc>
        <w:tc>
          <w:tcPr>
            <w:tcW w:w="137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wordWrap w:val="0"/>
              <w:spacing w:line="200" w:lineRule="exact"/>
              <w:jc w:val="right"/>
              <w:textAlignment w:val="bottom"/>
              <w:rPr>
                <w:rFonts w:hint="default" w:cs="宋体"/>
                <w:color w:val="000000"/>
                <w:sz w:val="18"/>
                <w:szCs w:val="18"/>
              </w:rPr>
            </w:pPr>
            <w:r>
              <w:rPr>
                <w:rFonts w:cs="宋体"/>
                <w:color w:val="000000"/>
                <w:sz w:val="18"/>
                <w:szCs w:val="18"/>
              </w:rPr>
              <w:t>639.23</w:t>
            </w:r>
            <w:r>
              <w:rPr>
                <w:color w:val="000000"/>
                <w:sz w:val="18"/>
                <w:u w:color="auto"/>
              </w:rPr>
              <w:t xml:space="preserve"> </w:t>
            </w:r>
          </w:p>
        </w:tc>
        <w:tc>
          <w:tcPr>
            <w:tcW w:w="8750" w:type="dxa"/>
            <w:gridSpan w:val="5"/>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公用经费合计</w:t>
            </w:r>
          </w:p>
        </w:tc>
        <w:tc>
          <w:tcPr>
            <w:tcW w:w="1889"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384.35</w:t>
            </w:r>
            <w:r>
              <w:rPr>
                <w:color w:val="000000"/>
                <w:sz w:val="18"/>
                <w:u w:color="auto"/>
              </w:rPr>
              <w:t xml:space="preserve"> </w:t>
            </w:r>
          </w:p>
        </w:tc>
      </w:tr>
    </w:tbl>
    <w:p>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15378" w:type="dxa"/>
        <w:tblInd w:w="0" w:type="dxa"/>
        <w:tblLayout w:type="fixed"/>
        <w:tblCellMar>
          <w:top w:w="0" w:type="dxa"/>
          <w:left w:w="0" w:type="dxa"/>
          <w:bottom w:w="0" w:type="dxa"/>
          <w:right w:w="0" w:type="dxa"/>
        </w:tblCellMar>
      </w:tblPr>
      <w:tblGrid>
        <w:gridCol w:w="1854"/>
        <w:gridCol w:w="3088"/>
        <w:gridCol w:w="1707"/>
        <w:gridCol w:w="1707"/>
        <w:gridCol w:w="1707"/>
        <w:gridCol w:w="1707"/>
        <w:gridCol w:w="1772"/>
        <w:gridCol w:w="1836"/>
      </w:tblGrid>
      <w:tr>
        <w:tblPrEx>
          <w:tblCellMar>
            <w:top w:w="0" w:type="dxa"/>
            <w:left w:w="0" w:type="dxa"/>
            <w:bottom w:w="0" w:type="dxa"/>
            <w:right w:w="0" w:type="dxa"/>
          </w:tblCellMar>
        </w:tblPrEx>
        <w:trPr>
          <w:trHeight w:val="644" w:hRule="atLeast"/>
        </w:trPr>
        <w:tc>
          <w:tcPr>
            <w:tcW w:w="15378" w:type="dxa"/>
            <w:gridSpan w:val="8"/>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6649"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r>
              <w:rPr>
                <w:rFonts w:cs="宋体"/>
                <w:color w:val="000000"/>
                <w:sz w:val="20"/>
                <w:szCs w:val="20"/>
              </w:rPr>
              <w:t xml:space="preserve">公开单位： </w:t>
            </w:r>
            <w:r>
              <w:rPr>
                <w:color w:val="000000"/>
                <w:sz w:val="20"/>
                <w:u w:color="auto"/>
              </w:rPr>
              <w:t>重庆市荣昌区清升镇人民政府本级</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公开07表</w:t>
            </w:r>
          </w:p>
        </w:tc>
      </w:tr>
      <w:tr>
        <w:tblPrEx>
          <w:tblCellMar>
            <w:top w:w="0" w:type="dxa"/>
            <w:left w:w="0" w:type="dxa"/>
            <w:bottom w:w="0" w:type="dxa"/>
            <w:right w:w="0" w:type="dxa"/>
          </w:tblCellMar>
        </w:tblPrEx>
        <w:trPr>
          <w:trHeight w:val="329" w:hRule="atLeast"/>
        </w:trPr>
        <w:tc>
          <w:tcPr>
            <w:tcW w:w="664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单位：万元</w:t>
            </w:r>
          </w:p>
        </w:tc>
      </w:tr>
      <w:tr>
        <w:tblPrEx>
          <w:tblCellMar>
            <w:top w:w="0" w:type="dxa"/>
            <w:left w:w="0" w:type="dxa"/>
            <w:bottom w:w="0" w:type="dxa"/>
            <w:right w:w="0" w:type="dxa"/>
          </w:tblCellMar>
        </w:tblPrEx>
        <w:trPr>
          <w:trHeight w:val="339" w:hRule="atLeast"/>
        </w:trPr>
        <w:tc>
          <w:tcPr>
            <w:tcW w:w="4942"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1707"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1707"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5186" w:type="dxa"/>
            <w:gridSpan w:val="3"/>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1836"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1854"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088"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7"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707"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772"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1836"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1854"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088"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72"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836"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1854"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088"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772"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1836"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942"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199.60</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199.60</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199.60</w:t>
            </w:r>
            <w:r>
              <w:rPr>
                <w:b/>
                <w:color w:val="000000"/>
                <w:sz w:val="20"/>
                <w:u w:color="auto"/>
              </w:rPr>
              <w:t xml:space="preserve"> </w:t>
            </w: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r>
      <w:tr>
        <w:tblPrEx>
          <w:tblCellMar>
            <w:top w:w="0" w:type="dxa"/>
            <w:left w:w="0" w:type="dxa"/>
            <w:bottom w:w="0" w:type="dxa"/>
            <w:right w:w="0" w:type="dxa"/>
          </w:tblCellMar>
        </w:tblPrEx>
        <w:trPr>
          <w:trHeight w:val="349" w:hRule="atLeast"/>
        </w:trPr>
        <w:tc>
          <w:tcPr>
            <w:tcW w:w="18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212</w:t>
            </w:r>
          </w:p>
        </w:tc>
        <w:tc>
          <w:tcPr>
            <w:tcW w:w="308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城乡社区支出</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13.25</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13.25</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13.25</w:t>
            </w:r>
            <w:r>
              <w:rPr>
                <w:b/>
                <w:color w:val="000000"/>
                <w:sz w:val="20"/>
                <w:u w:color="auto"/>
              </w:rPr>
              <w:t xml:space="preserve"> </w:t>
            </w: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9" w:hRule="atLeast"/>
        </w:trPr>
        <w:tc>
          <w:tcPr>
            <w:tcW w:w="18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21208</w:t>
            </w:r>
          </w:p>
        </w:tc>
        <w:tc>
          <w:tcPr>
            <w:tcW w:w="308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国有土地使用权出让收入安排的支出</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13.25</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13.25</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13.25</w:t>
            </w:r>
            <w:r>
              <w:rPr>
                <w:b/>
                <w:color w:val="000000"/>
                <w:sz w:val="20"/>
                <w:u w:color="auto"/>
              </w:rPr>
              <w:t xml:space="preserve"> </w:t>
            </w: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9" w:hRule="atLeast"/>
        </w:trPr>
        <w:tc>
          <w:tcPr>
            <w:tcW w:w="18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2120899</w:t>
            </w:r>
          </w:p>
        </w:tc>
        <w:tc>
          <w:tcPr>
            <w:tcW w:w="308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其他国有土地使用权出让收入安排的支出</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13.25</w:t>
            </w: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13.25</w:t>
            </w: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13.25</w:t>
            </w:r>
            <w:r>
              <w:rPr>
                <w:color w:val="000000"/>
                <w:sz w:val="20"/>
                <w:u w:color="auto"/>
              </w:rPr>
              <w:t xml:space="preserve"> </w:t>
            </w: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9" w:hRule="atLeast"/>
        </w:trPr>
        <w:tc>
          <w:tcPr>
            <w:tcW w:w="18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229</w:t>
            </w:r>
          </w:p>
        </w:tc>
        <w:tc>
          <w:tcPr>
            <w:tcW w:w="308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其他支出</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186.35</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186.35</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186.35</w:t>
            </w:r>
            <w:r>
              <w:rPr>
                <w:b/>
                <w:color w:val="000000"/>
                <w:sz w:val="20"/>
                <w:u w:color="auto"/>
              </w:rPr>
              <w:t xml:space="preserve"> </w:t>
            </w: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9" w:hRule="atLeast"/>
        </w:trPr>
        <w:tc>
          <w:tcPr>
            <w:tcW w:w="18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22904</w:t>
            </w:r>
          </w:p>
        </w:tc>
        <w:tc>
          <w:tcPr>
            <w:tcW w:w="308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其他政府性基金及对应专项债务收入安排的支出</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162.79</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162.79</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162.79</w:t>
            </w:r>
            <w:r>
              <w:rPr>
                <w:b/>
                <w:color w:val="000000"/>
                <w:sz w:val="20"/>
                <w:u w:color="auto"/>
              </w:rPr>
              <w:t xml:space="preserve"> </w:t>
            </w: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9" w:hRule="atLeast"/>
        </w:trPr>
        <w:tc>
          <w:tcPr>
            <w:tcW w:w="18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2290402</w:t>
            </w:r>
          </w:p>
        </w:tc>
        <w:tc>
          <w:tcPr>
            <w:tcW w:w="308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其他地方自行试点项目收益专项债券收入安排的支出</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162.79</w:t>
            </w: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162.79</w:t>
            </w: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162.79</w:t>
            </w:r>
            <w:r>
              <w:rPr>
                <w:color w:val="000000"/>
                <w:sz w:val="20"/>
                <w:u w:color="auto"/>
              </w:rPr>
              <w:t xml:space="preserve"> </w:t>
            </w: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9" w:hRule="atLeast"/>
        </w:trPr>
        <w:tc>
          <w:tcPr>
            <w:tcW w:w="18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22960</w:t>
            </w:r>
          </w:p>
        </w:tc>
        <w:tc>
          <w:tcPr>
            <w:tcW w:w="308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b/>
                <w:color w:val="000000"/>
                <w:sz w:val="20"/>
                <w:szCs w:val="20"/>
              </w:rPr>
              <w:t>彩票公益金安排的支出</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23.56</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23.56</w:t>
            </w:r>
            <w:r>
              <w:rPr>
                <w:b/>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23.56</w:t>
            </w:r>
            <w:r>
              <w:rPr>
                <w:b/>
                <w:color w:val="000000"/>
                <w:sz w:val="20"/>
                <w:u w:color="auto"/>
              </w:rPr>
              <w:t xml:space="preserve"> </w:t>
            </w: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9" w:hRule="atLeast"/>
        </w:trPr>
        <w:tc>
          <w:tcPr>
            <w:tcW w:w="18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2296002</w:t>
            </w:r>
          </w:p>
        </w:tc>
        <w:tc>
          <w:tcPr>
            <w:tcW w:w="308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用于社会福利的彩票公益金支出</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18.78</w:t>
            </w: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18.78</w:t>
            </w: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18.78</w:t>
            </w:r>
            <w:r>
              <w:rPr>
                <w:color w:val="000000"/>
                <w:sz w:val="20"/>
                <w:u w:color="auto"/>
              </w:rPr>
              <w:t xml:space="preserve"> </w:t>
            </w: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9" w:hRule="atLeast"/>
        </w:trPr>
        <w:tc>
          <w:tcPr>
            <w:tcW w:w="18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2296006</w:t>
            </w:r>
          </w:p>
        </w:tc>
        <w:tc>
          <w:tcPr>
            <w:tcW w:w="308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both"/>
              <w:textAlignment w:val="center"/>
              <w:rPr>
                <w:rFonts w:hint="default" w:cs="宋体"/>
                <w:color w:val="000000"/>
                <w:sz w:val="20"/>
                <w:szCs w:val="20"/>
              </w:rPr>
            </w:pPr>
            <w:r>
              <w:rPr>
                <w:rFonts w:cs="宋体"/>
                <w:color w:val="000000"/>
                <w:sz w:val="20"/>
                <w:szCs w:val="20"/>
              </w:rPr>
              <w:t>用于残疾人事业的彩票公益金支出</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4.78</w:t>
            </w: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4.78</w:t>
            </w:r>
            <w:r>
              <w:rPr>
                <w:color w:val="000000"/>
                <w:sz w:val="20"/>
                <w:u w:color="auto"/>
              </w:rPr>
              <w:t xml:space="preserve"> </w:t>
            </w:r>
          </w:p>
        </w:tc>
        <w:tc>
          <w:tcPr>
            <w:tcW w:w="1707"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772"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4.78</w:t>
            </w:r>
            <w:r>
              <w:rPr>
                <w:color w:val="000000"/>
                <w:sz w:val="20"/>
                <w:u w:color="auto"/>
              </w:rPr>
              <w:t xml:space="preserve"> </w:t>
            </w:r>
          </w:p>
        </w:tc>
        <w:tc>
          <w:tcPr>
            <w:tcW w:w="183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bl>
    <w:p>
      <w:pPr>
        <w:rPr>
          <w:rFonts w:hint="default" w:cs="宋体"/>
          <w:sz w:val="21"/>
          <w:szCs w:val="21"/>
        </w:rPr>
      </w:pPr>
      <w:r>
        <w:rPr>
          <w:rFonts w:cs="宋体"/>
          <w:sz w:val="20"/>
          <w:szCs w:val="20"/>
        </w:rPr>
        <w:t>备注：1.本表反映单位本年度政府性基金预算财政拨款收入支出及结转和结余情况。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7"/>
        <w:tblW w:w="15378" w:type="dxa"/>
        <w:tblInd w:w="0" w:type="dxa"/>
        <w:tblLayout w:type="fixed"/>
        <w:tblCellMar>
          <w:top w:w="0" w:type="dxa"/>
          <w:left w:w="0" w:type="dxa"/>
          <w:bottom w:w="0" w:type="dxa"/>
          <w:right w:w="0" w:type="dxa"/>
        </w:tblCellMar>
      </w:tblPr>
      <w:tblGrid>
        <w:gridCol w:w="1882"/>
        <w:gridCol w:w="3060"/>
        <w:gridCol w:w="3276"/>
        <w:gridCol w:w="200"/>
        <w:gridCol w:w="3475"/>
        <w:gridCol w:w="77"/>
        <w:gridCol w:w="3408"/>
      </w:tblGrid>
      <w:tr>
        <w:tblPrEx>
          <w:tblCellMar>
            <w:top w:w="0" w:type="dxa"/>
            <w:left w:w="0" w:type="dxa"/>
            <w:bottom w:w="0" w:type="dxa"/>
            <w:right w:w="0" w:type="dxa"/>
          </w:tblCellMar>
        </w:tblPrEx>
        <w:trPr>
          <w:trHeight w:val="650" w:hRule="atLeast"/>
        </w:trPr>
        <w:tc>
          <w:tcPr>
            <w:tcW w:w="15378" w:type="dxa"/>
            <w:gridSpan w:val="7"/>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8218"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r>
              <w:rPr>
                <w:rFonts w:cs="宋体"/>
                <w:color w:val="000000"/>
                <w:sz w:val="20"/>
                <w:szCs w:val="20"/>
              </w:rPr>
              <w:t xml:space="preserve">公开单位： </w:t>
            </w:r>
            <w:r>
              <w:rPr>
                <w:color w:val="000000"/>
                <w:sz w:val="20"/>
                <w:u w:color="auto"/>
              </w:rPr>
              <w:t>重庆市荣昌区清升镇人民政府本级</w:t>
            </w:r>
          </w:p>
        </w:tc>
        <w:tc>
          <w:tcPr>
            <w:tcW w:w="3752" w:type="dxa"/>
            <w:gridSpan w:val="3"/>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340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公开08表</w:t>
            </w:r>
          </w:p>
        </w:tc>
      </w:tr>
      <w:tr>
        <w:tblPrEx>
          <w:tblCellMar>
            <w:top w:w="0" w:type="dxa"/>
            <w:left w:w="0" w:type="dxa"/>
            <w:bottom w:w="0" w:type="dxa"/>
            <w:right w:w="0" w:type="dxa"/>
          </w:tblCellMar>
        </w:tblPrEx>
        <w:trPr>
          <w:trHeight w:val="332" w:hRule="atLeast"/>
        </w:trPr>
        <w:tc>
          <w:tcPr>
            <w:tcW w:w="8218"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3752" w:type="dxa"/>
            <w:gridSpan w:val="3"/>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rPr>
                <w:rFonts w:hint="default" w:cs="宋体"/>
                <w:color w:val="000000"/>
                <w:sz w:val="20"/>
                <w:szCs w:val="20"/>
              </w:rPr>
            </w:pPr>
          </w:p>
        </w:tc>
        <w:tc>
          <w:tcPr>
            <w:tcW w:w="3408"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单位：万元</w:t>
            </w:r>
          </w:p>
        </w:tc>
      </w:tr>
      <w:tr>
        <w:tblPrEx>
          <w:tblCellMar>
            <w:top w:w="0" w:type="dxa"/>
            <w:left w:w="0" w:type="dxa"/>
            <w:bottom w:w="0" w:type="dxa"/>
            <w:right w:w="0" w:type="dxa"/>
          </w:tblCellMar>
        </w:tblPrEx>
        <w:trPr>
          <w:trHeight w:val="422" w:hRule="atLeast"/>
        </w:trPr>
        <w:tc>
          <w:tcPr>
            <w:tcW w:w="4942"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10436" w:type="dxa"/>
            <w:gridSpan w:val="5"/>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1882"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060"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3476" w:type="dxa"/>
            <w:gridSpan w:val="2"/>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475" w:type="dxa"/>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3485" w:type="dxa"/>
            <w:gridSpan w:val="2"/>
            <w:vMerge w:val="restart"/>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1882"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060"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476" w:type="dxa"/>
            <w:gridSpan w:val="2"/>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47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485" w:type="dxa"/>
            <w:gridSpan w:val="2"/>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882"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060"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476" w:type="dxa"/>
            <w:gridSpan w:val="2"/>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47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485" w:type="dxa"/>
            <w:gridSpan w:val="2"/>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1882"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060"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476" w:type="dxa"/>
            <w:gridSpan w:val="2"/>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475" w:type="dxa"/>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c>
          <w:tcPr>
            <w:tcW w:w="3485" w:type="dxa"/>
            <w:gridSpan w:val="2"/>
            <w:vMerge w:val="continue"/>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4942" w:type="dxa"/>
            <w:gridSpan w:val="2"/>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476"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347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jc w:val="right"/>
              <w:rPr>
                <w:rFonts w:hint="default" w:cs="宋体"/>
                <w:b/>
                <w:color w:val="000000"/>
                <w:sz w:val="20"/>
                <w:szCs w:val="20"/>
              </w:rPr>
            </w:pPr>
          </w:p>
        </w:tc>
        <w:tc>
          <w:tcPr>
            <w:tcW w:w="3485"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r>
        <w:rPr>
          <w:rFonts w:hint="default" w:cs="宋体"/>
          <w:sz w:val="21"/>
          <w:szCs w:val="21"/>
        </w:rPr>
        <w:br w:type="page"/>
      </w:r>
    </w:p>
    <w:tbl>
      <w:tblPr>
        <w:tblStyle w:val="7"/>
        <w:tblW w:w="15000" w:type="dxa"/>
        <w:tblInd w:w="0" w:type="dxa"/>
        <w:tblLayout w:type="fixed"/>
        <w:tblCellMar>
          <w:top w:w="0" w:type="dxa"/>
          <w:left w:w="170" w:type="dxa"/>
          <w:bottom w:w="0" w:type="dxa"/>
          <w:right w:w="170" w:type="dxa"/>
        </w:tblCellMar>
      </w:tblPr>
      <w:tblGrid>
        <w:gridCol w:w="4041"/>
        <w:gridCol w:w="2166"/>
        <w:gridCol w:w="2115"/>
        <w:gridCol w:w="4524"/>
        <w:gridCol w:w="2154"/>
      </w:tblGrid>
      <w:tr>
        <w:tblPrEx>
          <w:tblCellMar>
            <w:top w:w="0" w:type="dxa"/>
            <w:left w:w="170" w:type="dxa"/>
            <w:bottom w:w="0" w:type="dxa"/>
            <w:right w:w="170" w:type="dxa"/>
          </w:tblCellMar>
        </w:tblPrEx>
        <w:trPr>
          <w:trHeight w:val="343" w:hRule="atLeast"/>
        </w:trPr>
        <w:tc>
          <w:tcPr>
            <w:tcW w:w="15000" w:type="dxa"/>
            <w:gridSpan w:val="5"/>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机构运行信息表</w:t>
            </w:r>
          </w:p>
        </w:tc>
      </w:tr>
      <w:tr>
        <w:tblPrEx>
          <w:tblCellMar>
            <w:top w:w="0" w:type="dxa"/>
            <w:left w:w="170" w:type="dxa"/>
            <w:bottom w:w="0" w:type="dxa"/>
            <w:right w:w="170" w:type="dxa"/>
          </w:tblCellMar>
        </w:tblPrEx>
        <w:trPr>
          <w:trHeight w:val="244" w:hRule="atLeast"/>
        </w:trPr>
        <w:tc>
          <w:tcPr>
            <w:tcW w:w="4041"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rPr>
                <w:rFonts w:hint="default" w:cs="宋体"/>
                <w:color w:val="000000"/>
                <w:sz w:val="20"/>
                <w:szCs w:val="20"/>
              </w:rPr>
            </w:pP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jc w:val="center"/>
              <w:rPr>
                <w:rFonts w:hint="default" w:cs="宋体"/>
                <w:color w:val="000000"/>
                <w:sz w:val="20"/>
                <w:szCs w:val="20"/>
              </w:rPr>
            </w:pP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jc w:val="right"/>
              <w:rPr>
                <w:rFonts w:hint="default" w:cs="宋体"/>
                <w:color w:val="000000"/>
                <w:sz w:val="20"/>
                <w:szCs w:val="20"/>
              </w:rPr>
            </w:pPr>
          </w:p>
        </w:tc>
        <w:tc>
          <w:tcPr>
            <w:tcW w:w="452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rPr>
                <w:rFonts w:hint="default" w:cs="宋体"/>
                <w:color w:val="000000"/>
                <w:sz w:val="20"/>
                <w:szCs w:val="20"/>
              </w:rPr>
            </w:pP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公开09表</w:t>
            </w:r>
          </w:p>
        </w:tc>
      </w:tr>
      <w:tr>
        <w:tblPrEx>
          <w:tblCellMar>
            <w:top w:w="0" w:type="dxa"/>
            <w:left w:w="170" w:type="dxa"/>
            <w:bottom w:w="0" w:type="dxa"/>
            <w:right w:w="170" w:type="dxa"/>
          </w:tblCellMar>
        </w:tblPrEx>
        <w:trPr>
          <w:trHeight w:val="244" w:hRule="atLeast"/>
        </w:trPr>
        <w:tc>
          <w:tcPr>
            <w:tcW w:w="6207" w:type="dxa"/>
            <w:gridSpan w:val="2"/>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rPr>
                <w:rFonts w:hint="default" w:cs="宋体"/>
                <w:color w:val="000000"/>
                <w:sz w:val="20"/>
                <w:szCs w:val="20"/>
              </w:rPr>
            </w:pPr>
            <w:r>
              <w:rPr>
                <w:rFonts w:cs="宋体"/>
                <w:color w:val="000000"/>
                <w:sz w:val="20"/>
                <w:szCs w:val="20"/>
              </w:rPr>
              <w:t xml:space="preserve">公开单位： </w:t>
            </w:r>
            <w:r>
              <w:rPr>
                <w:color w:val="000000"/>
                <w:sz w:val="20"/>
                <w:u w:color="auto"/>
              </w:rPr>
              <w:t>重庆市荣昌区清升镇人民政府本级</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jc w:val="right"/>
              <w:rPr>
                <w:rFonts w:hint="default" w:cs="宋体"/>
                <w:color w:val="000000"/>
                <w:sz w:val="20"/>
                <w:szCs w:val="20"/>
              </w:rPr>
            </w:pPr>
          </w:p>
        </w:tc>
        <w:tc>
          <w:tcPr>
            <w:tcW w:w="452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rPr>
                <w:rFonts w:hint="default" w:cs="宋体"/>
                <w:color w:val="000000"/>
                <w:sz w:val="20"/>
                <w:szCs w:val="20"/>
              </w:rPr>
            </w:pP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单位：万元</w:t>
            </w:r>
          </w:p>
        </w:tc>
      </w:tr>
      <w:tr>
        <w:tblPrEx>
          <w:tblCellMar>
            <w:top w:w="0" w:type="dxa"/>
            <w:left w:w="170" w:type="dxa"/>
            <w:bottom w:w="0" w:type="dxa"/>
            <w:right w:w="170" w:type="dxa"/>
          </w:tblCellMar>
        </w:tblPrEx>
        <w:trPr>
          <w:trHeight w:val="28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2166"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预算数</w:t>
            </w:r>
          </w:p>
        </w:tc>
        <w:tc>
          <w:tcPr>
            <w:tcW w:w="2115"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决算数</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215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决算数</w:t>
            </w:r>
          </w:p>
        </w:tc>
      </w:tr>
      <w:tr>
        <w:tblPrEx>
          <w:tblCellMar>
            <w:top w:w="0" w:type="dxa"/>
            <w:left w:w="170" w:type="dxa"/>
            <w:bottom w:w="0" w:type="dxa"/>
            <w:right w:w="170" w:type="dxa"/>
          </w:tblCellMar>
        </w:tblPrEx>
        <w:trPr>
          <w:trHeight w:val="28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一、“三公”经费支出</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四、机关运行经费</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384.35</w:t>
            </w: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（一）支出合计</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11.34</w:t>
            </w:r>
            <w:r>
              <w:rPr>
                <w:color w:val="000000"/>
                <w:sz w:val="16"/>
                <w:u w:color="auto"/>
              </w:rPr>
              <w:t xml:space="preserve"> </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11.34</w:t>
            </w: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（一）行政单位</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384.35</w:t>
            </w: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1．因公出国（境）费</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（二）参照公务员法管理事业单位</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2．公务用车购置及运行维护费</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7.30</w:t>
            </w:r>
            <w:r>
              <w:rPr>
                <w:color w:val="000000"/>
                <w:sz w:val="16"/>
                <w:u w:color="auto"/>
              </w:rPr>
              <w:t xml:space="preserve"> </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7.30</w:t>
            </w: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五、资产信息</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（1）公务用车购置费</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（一）车辆数合计（辆）</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 xml:space="preserve">5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（2）公务用车运行维护费</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7.30</w:t>
            </w:r>
            <w:r>
              <w:rPr>
                <w:color w:val="000000"/>
                <w:sz w:val="16"/>
                <w:u w:color="auto"/>
              </w:rPr>
              <w:t xml:space="preserve"> </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7.30</w:t>
            </w: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1．副部（省）级及以上领导用车</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3．公务接待费</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4.04</w:t>
            </w:r>
            <w:r>
              <w:rPr>
                <w:color w:val="000000"/>
                <w:sz w:val="16"/>
                <w:u w:color="auto"/>
              </w:rPr>
              <w:t xml:space="preserve"> </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4.04</w:t>
            </w: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2．主要领导干部用车</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（1）国内接待费</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4.04</w:t>
            </w: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3．机要通信用车</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其中：外事接待费</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4．应急保障用车</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w:t>
            </w: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（2）国（境）外接待费</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5．执法执勤用车</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（二）相关统计数</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6．特种专业技术用车</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1．因公出国（境）团组数（个）</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7．离退休干部用车</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2．因公出国（境）人次数（人）</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8．其他用车</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3．公务用车购置数（辆）</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（二）单价100万元（含）以上设备（不含车辆）</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4．公务用车保有量（辆）</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w:t>
            </w: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六、政府采购支出信息</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5．国内公务接待批次（个）</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63</w:t>
            </w: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（一）政府采购支出合计</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其中：外事接待批次（个）</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1．政府采购货物支出</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6．国内公务接待人次（人）</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505</w:t>
            </w: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2．政府采购工程支出</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其中：外事接待人次（人）</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3．政府采购服务支出</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7．国（境）外公务接待批次（个）</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（二）政府采购授予中小企业合同金额</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8．国（境）外公务接待人次（人）</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其中：授予小微企业合同金额</w:t>
            </w: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86"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二、会议费</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0.29</w:t>
            </w: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6"/>
                <w:szCs w:val="16"/>
              </w:rPr>
            </w:pP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rPr>
                <w:rFonts w:hint="default" w:cs="宋体"/>
                <w:color w:val="000000"/>
                <w:sz w:val="16"/>
                <w:szCs w:val="16"/>
              </w:rPr>
            </w:pPr>
          </w:p>
        </w:tc>
      </w:tr>
      <w:tr>
        <w:tblPrEx>
          <w:tblCellMar>
            <w:top w:w="0" w:type="dxa"/>
            <w:left w:w="170" w:type="dxa"/>
            <w:bottom w:w="0" w:type="dxa"/>
            <w:right w:w="170" w:type="dxa"/>
          </w:tblCellMar>
        </w:tblPrEx>
        <w:trPr>
          <w:trHeight w:val="389" w:hRule="atLeast"/>
        </w:trPr>
        <w:tc>
          <w:tcPr>
            <w:tcW w:w="4041"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三、培训费</w:t>
            </w:r>
          </w:p>
        </w:tc>
        <w:tc>
          <w:tcPr>
            <w:tcW w:w="2166"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1.09</w:t>
            </w:r>
            <w:r>
              <w:rPr>
                <w:color w:val="000000"/>
                <w:sz w:val="16"/>
                <w:u w:color="auto"/>
              </w:rPr>
              <w:t xml:space="preserve"> </w:t>
            </w:r>
          </w:p>
        </w:tc>
        <w:tc>
          <w:tcPr>
            <w:tcW w:w="4524" w:type="dxa"/>
            <w:tcBorders>
              <w:top w:val="single" w:color="000000" w:sz="8" w:space="0"/>
              <w:left w:val="single" w:color="000000" w:sz="8" w:space="0"/>
              <w:bottom w:val="single" w:color="000000" w:sz="8" w:space="0"/>
              <w:right w:val="single" w:color="000000" w:sz="8" w:space="0"/>
            </w:tcBorders>
            <w:shd w:val="clear" w:color="FFFFFF" w:fill="FFFFFF"/>
            <w:tcMar>
              <w:top w:w="15" w:type="dxa"/>
              <w:left w:w="15" w:type="dxa"/>
              <w:right w:w="15" w:type="dxa"/>
            </w:tcMar>
            <w:vAlign w:val="center"/>
          </w:tcPr>
          <w:p>
            <w:pPr>
              <w:spacing w:line="200" w:lineRule="exact"/>
              <w:rPr>
                <w:rFonts w:hint="default" w:cs="宋体"/>
                <w:color w:val="000000"/>
                <w:sz w:val="16"/>
                <w:szCs w:val="16"/>
              </w:rPr>
            </w:pPr>
          </w:p>
        </w:tc>
        <w:tc>
          <w:tcPr>
            <w:tcW w:w="2154"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bottom"/>
          </w:tcPr>
          <w:p>
            <w:pPr>
              <w:spacing w:line="200" w:lineRule="exact"/>
              <w:jc w:val="right"/>
              <w:rPr>
                <w:rFonts w:hint="default" w:cs="宋体"/>
                <w:color w:val="000000"/>
                <w:sz w:val="16"/>
                <w:szCs w:val="16"/>
              </w:rPr>
            </w:pPr>
          </w:p>
        </w:tc>
      </w:tr>
    </w:tbl>
    <w:p>
      <w:pPr>
        <w:rPr>
          <w:rFonts w:hint="default" w:cs="宋体"/>
          <w:sz w:val="21"/>
          <w:szCs w:val="21"/>
        </w:rPr>
      </w:pPr>
      <w:r>
        <w:rPr>
          <w:rFonts w:cs="宋体"/>
          <w:sz w:val="20"/>
          <w:szCs w:val="20"/>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sectPr>
      <w:headerReference r:id="rId3" w:type="default"/>
      <w:footerReference r:id="rId4"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Eras Light ITC"/>
    <w:panose1 w:val="020F0502020204030204"/>
    <w:charset w:val="00"/>
    <w:family w:val="swiss"/>
    <w:pitch w:val="default"/>
    <w:sig w:usb0="00000000" w:usb1="00000000" w:usb2="00000001" w:usb3="00000000" w:csb0="0000019F" w:csb1="00000000"/>
  </w:font>
  <w:font w:name="Eras Light ITC">
    <w:panose1 w:val="020B04020305040208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jmKK6MwIAAGcEAAAOAAAAZHJz&#10;L2Uyb0RvYy54bWytVM2O0zAQviPxDpbvNGkRS1U1XZWtipAqdqUFcXYdp4nkP9luk/IA8AacuHDf&#10;5+pz8NlpumjhsAcu6dgz/ma+b2Y6v+6UJAfhfGN0QcejnBKhuSkbvSvo50/rV1NKfGC6ZNJoUdCj&#10;8PR68fLFvLUzMTG1kaVwBCDaz1pb0DoEO8syz2uhmB8ZKzSclXGKBRzdLisda4GuZDbJ86usNa60&#10;znDhPW5XvZOeEd1zAE1VNVysDN8roUOP6oRkAZR83VhPF6naqhI83FaVF4HIgoJpSF8kgb2N32wx&#10;Z7OdY7Zu+LkE9pwSnnBSrNFIeoFascDI3jV/QamGO+NNFUbcqKwnkhQBi3H+RJv7mlmRuEBqby+i&#10;+/8Hyz8e7hxpSkzC5C0lmim0/PTj++nnw+nXNxIvIVFr/QyR9xaxoXtnOoQP9x6XkXlXORV/wYnA&#10;D4GPF4FFFwiPj6aT6TSHi8M3HICfPT63zof3wigSjYI6dDAJyw4bH/rQISRm02bdSJm6KDVpC3r1&#10;+k2eHlw8AJc6xoo0D2eYSKkvPVqh23ZnnltTHkHTmX5WvOXrBqVsmA93zGE4UD7WJ9ziU0mDlOZs&#10;UVIb9/Vf9zEePYOXkhbDVlCN3aJEftDoJQDDYLjB2A6G3qsbg+kdYy0tTyYeuCAHs3JGfcFOLWMO&#10;uJjmyFTQMJg3oR947CQXy2UKwvRZFjb63vIIHeXxdrkPkDOpHEXplUB34gHzl/p03pU44H+eU9Tj&#10;/8P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jmKK6MwIAAGcEAAAOAAAAAAAAAAEAIAAA&#10;ADUBAABkcnMvZTJvRG9jLnhtbFBLBQYAAAAABgAGAFkBAADaBQ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ALFEI03AgAAZgQA&#10;AA4AAABkcnMvZTJvRG9jLnhtbK1UwW4TMRC9I/EPlu90t0FUIeqmCo2KkCpaqSDOjtebXcn2WLbT&#10;3fIB8AecuHDvd/U7ePZmU1Q49MBlM/aM38x7M5PTs8Fodqt86MhW/Pio5ExZSXVntxX//Oni1Zyz&#10;EIWthSarKn6nAj9bvnxx2ruFmlFLulaeAcSGRe8q3sboFkURZKuMCEfklIWzIW9ExNFvi9qLHuhG&#10;F7OyPCl68rXzJFUIuF2PTr5H9M8BpKbppFqT3Bll44jqlRYRlELbucCXudqmUTJeNU1QkemKg2nM&#10;XySBvUnfYnkqFlsvXNvJfQniOSU84WREZ5H0ALUWUbCd7/6CMp30FKiJR5JMMRLJioDFcflEm5tW&#10;OJW5QOrgDqKH/wcrP95ee9bVmITZCWdWGLT84cf3h5/3D7++sXQJiXoXFoi8cYiNwzsaED7dB1wm&#10;5kPjTfoFJwY/BL47CKyGyGR6NJ/N5yVcEr7ZrHw7zx0oHl87H+J7RYYlo+IeDcy6itvLEFEJQqeQ&#10;lMzSRad1bqK2rK/4yes3ZX5w8OCFtilW5XHYwyRGY+XJisNm2NPcUH0Hlp7GUQlOXnQo5VKEeC08&#10;ZgPVY3viFT6NJqSkvcVZS/7rv+5TPFoGL2c9Zq3iFqvFmf5g0UoAxsnwk7GZDLsz54ThPcZWOplN&#10;PPBRT2bjyXzBSq1SDriElchU8TiZ53Gcd6ykVKtVDsLwOREv7Y2TCXqUcrWL1HRZ5STKqAQkTweM&#10;XxZ/vyppvv8856jHv4f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HgNVFTYAAAACgEAAA8AAAAA&#10;AAAAAQAgAAAAOAAAAGRycy9kb3ducmV2LnhtbFBLAQIUABQAAAAIAIdO4kACxRCNNwIAAGYEAAAO&#10;AAAAAAAAAAEAIAAAAD0BAABkcnMvZTJvRG9jLnhtbFBLBQYAAAAABgAGAFkBAADmBQ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CDFB4E"/>
    <w:multiLevelType w:val="singleLevel"/>
    <w:tmpl w:val="97CDFB4E"/>
    <w:lvl w:ilvl="0" w:tentative="0">
      <w:start w:val="2"/>
      <w:numFmt w:val="chineseCounting"/>
      <w:suff w:val="nothing"/>
      <w:lvlText w:val="（%1）"/>
      <w:lvlJc w:val="left"/>
      <w:rPr>
        <w:rFonts w:hint="eastAsia"/>
      </w:rPr>
    </w:lvl>
  </w:abstractNum>
  <w:abstractNum w:abstractNumId="1">
    <w:nsid w:val="C5339A02"/>
    <w:multiLevelType w:val="singleLevel"/>
    <w:tmpl w:val="C5339A02"/>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1D3BB7"/>
    <w:rsid w:val="002B254B"/>
    <w:rsid w:val="00466C9B"/>
    <w:rsid w:val="00550ABE"/>
    <w:rsid w:val="00770383"/>
    <w:rsid w:val="007819D4"/>
    <w:rsid w:val="007B419D"/>
    <w:rsid w:val="007B7C4B"/>
    <w:rsid w:val="007D3D39"/>
    <w:rsid w:val="00994AF7"/>
    <w:rsid w:val="009B67B8"/>
    <w:rsid w:val="009D2B67"/>
    <w:rsid w:val="00A566F9"/>
    <w:rsid w:val="00AF2751"/>
    <w:rsid w:val="00B03CCD"/>
    <w:rsid w:val="00BE2B89"/>
    <w:rsid w:val="00C10E9E"/>
    <w:rsid w:val="00C20C3E"/>
    <w:rsid w:val="00F73F90"/>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3959BC"/>
    <w:rsid w:val="0F836721"/>
    <w:rsid w:val="0FA25D96"/>
    <w:rsid w:val="107B59E5"/>
    <w:rsid w:val="10EC0126"/>
    <w:rsid w:val="10F70B9A"/>
    <w:rsid w:val="111445C7"/>
    <w:rsid w:val="114278C6"/>
    <w:rsid w:val="1158083A"/>
    <w:rsid w:val="11643A4B"/>
    <w:rsid w:val="1181169D"/>
    <w:rsid w:val="11ED0F98"/>
    <w:rsid w:val="11F03528"/>
    <w:rsid w:val="12C921C4"/>
    <w:rsid w:val="13871C70"/>
    <w:rsid w:val="13A71CB4"/>
    <w:rsid w:val="13AF1D43"/>
    <w:rsid w:val="13CE1647"/>
    <w:rsid w:val="13FD55AB"/>
    <w:rsid w:val="14200702"/>
    <w:rsid w:val="163A6CEE"/>
    <w:rsid w:val="16BB5D51"/>
    <w:rsid w:val="173708E3"/>
    <w:rsid w:val="17C374FC"/>
    <w:rsid w:val="182E4AB6"/>
    <w:rsid w:val="189079DC"/>
    <w:rsid w:val="189B0D0B"/>
    <w:rsid w:val="18B43F7C"/>
    <w:rsid w:val="194A1770"/>
    <w:rsid w:val="19B906A4"/>
    <w:rsid w:val="1B353C83"/>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37024"/>
    <w:rsid w:val="1FCD26AF"/>
    <w:rsid w:val="20311A3D"/>
    <w:rsid w:val="20642787"/>
    <w:rsid w:val="21556F04"/>
    <w:rsid w:val="216823BC"/>
    <w:rsid w:val="22403BD3"/>
    <w:rsid w:val="24B92327"/>
    <w:rsid w:val="24C14514"/>
    <w:rsid w:val="2533755C"/>
    <w:rsid w:val="25791755"/>
    <w:rsid w:val="25E366FA"/>
    <w:rsid w:val="26396DF4"/>
    <w:rsid w:val="27167136"/>
    <w:rsid w:val="271B442C"/>
    <w:rsid w:val="27B23302"/>
    <w:rsid w:val="29310A5F"/>
    <w:rsid w:val="29B05173"/>
    <w:rsid w:val="29C37A35"/>
    <w:rsid w:val="2A076083"/>
    <w:rsid w:val="2A5212E5"/>
    <w:rsid w:val="2A73162E"/>
    <w:rsid w:val="2B167953"/>
    <w:rsid w:val="2B200583"/>
    <w:rsid w:val="2B8209DE"/>
    <w:rsid w:val="2C636760"/>
    <w:rsid w:val="2C6762A3"/>
    <w:rsid w:val="2F115E11"/>
    <w:rsid w:val="2FCA4B37"/>
    <w:rsid w:val="2FE029D7"/>
    <w:rsid w:val="2FF06E00"/>
    <w:rsid w:val="300C0A3B"/>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4205A9"/>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591EF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9A3EB9"/>
    <w:rsid w:val="43BB152F"/>
    <w:rsid w:val="44C37687"/>
    <w:rsid w:val="45862C13"/>
    <w:rsid w:val="45CB699A"/>
    <w:rsid w:val="465B470D"/>
    <w:rsid w:val="469D6AD4"/>
    <w:rsid w:val="471E6C84"/>
    <w:rsid w:val="4748792B"/>
    <w:rsid w:val="475D719D"/>
    <w:rsid w:val="47674801"/>
    <w:rsid w:val="48225EF7"/>
    <w:rsid w:val="488F422B"/>
    <w:rsid w:val="48E36915"/>
    <w:rsid w:val="48EB6572"/>
    <w:rsid w:val="495C4A24"/>
    <w:rsid w:val="497135DF"/>
    <w:rsid w:val="4A263DF2"/>
    <w:rsid w:val="4A6F6675"/>
    <w:rsid w:val="4B135857"/>
    <w:rsid w:val="4B7951CB"/>
    <w:rsid w:val="4B7C315C"/>
    <w:rsid w:val="4DAC4ACA"/>
    <w:rsid w:val="4DBE01D2"/>
    <w:rsid w:val="4E075EC0"/>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829E0"/>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F2D4A41"/>
    <w:rsid w:val="60C74F6C"/>
    <w:rsid w:val="61025A59"/>
    <w:rsid w:val="613D5BBC"/>
    <w:rsid w:val="61536C39"/>
    <w:rsid w:val="61881FA5"/>
    <w:rsid w:val="62944DD7"/>
    <w:rsid w:val="6319381F"/>
    <w:rsid w:val="63C25DC5"/>
    <w:rsid w:val="63C62057"/>
    <w:rsid w:val="64571EF5"/>
    <w:rsid w:val="649D1460"/>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7EC97EE"/>
    <w:rsid w:val="781926BC"/>
    <w:rsid w:val="796D60A4"/>
    <w:rsid w:val="79A031D5"/>
    <w:rsid w:val="7A1525F7"/>
    <w:rsid w:val="7B420052"/>
    <w:rsid w:val="7BD06A28"/>
    <w:rsid w:val="7C3A7C0B"/>
    <w:rsid w:val="7C5248E4"/>
    <w:rsid w:val="7C566698"/>
    <w:rsid w:val="7C5866A3"/>
    <w:rsid w:val="7CAD302A"/>
    <w:rsid w:val="7D7406BB"/>
    <w:rsid w:val="7DE94331"/>
    <w:rsid w:val="7F446A19"/>
    <w:rsid w:val="7F7452B9"/>
    <w:rsid w:val="7F7B7635"/>
    <w:rsid w:val="FFFD4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4001</Words>
  <Characters>22811</Characters>
  <Lines>190</Lines>
  <Paragraphs>53</Paragraphs>
  <TotalTime>2</TotalTime>
  <ScaleCrop>false</ScaleCrop>
  <LinksUpToDate>false</LinksUpToDate>
  <CharactersWithSpaces>26759</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admin2</cp:lastModifiedBy>
  <dcterms:modified xsi:type="dcterms:W3CDTF">2026-05-26T11:04:38Z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BB46EABDBB2749749395447164B066B3_12</vt:lpwstr>
  </property>
</Properties>
</file>